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可行性分析</w:t>
      </w:r>
    </w:p>
    <w:p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—SE2018—G04简易查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“简易查”股票助手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    </w:t>
      </w:r>
      <w:r>
        <w:rPr>
          <w:rFonts w:hint="eastAsia" w:eastAsiaTheme="minorEastAsia"/>
          <w:sz w:val="40"/>
          <w:szCs w:val="48"/>
          <w:lang w:val="en-US" w:eastAsia="zh-CN"/>
        </w:rPr>
        <w:drawing>
          <wp:inline distT="0" distB="0" distL="114300" distR="114300">
            <wp:extent cx="2995930" cy="2973070"/>
            <wp:effectExtent l="0" t="0" r="13970" b="17780"/>
            <wp:docPr id="6" name="图片 6" descr="18507276663652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50727666365244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55"/>
        </w:tabs>
        <w:spacing w:before="156" w:beforeLines="50"/>
        <w:ind w:right="1615" w:rightChars="769"/>
        <w:jc w:val="both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pStyle w:val="9"/>
        <w:rPr>
          <w:rFonts w:ascii="华文新魏" w:hAnsi="微软雅黑"/>
          <w:b/>
          <w:color w:val="auto"/>
          <w:sz w:val="28"/>
          <w:szCs w:val="30"/>
        </w:rPr>
      </w:pPr>
      <w:r>
        <w:rPr>
          <w:rFonts w:hint="eastAsia" w:ascii="宋体" w:hAnsi="宋体" w:eastAsia="宋体"/>
          <w:b/>
          <w:color w:val="auto"/>
          <w:sz w:val="28"/>
          <w:szCs w:val="30"/>
        </w:rPr>
        <w:t>小组：G04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       </w:t>
      </w:r>
      <w:r>
        <w:rPr>
          <w:b/>
          <w:sz w:val="28"/>
          <w:szCs w:val="28"/>
        </w:rPr>
        <w:t>骆佳</w:t>
      </w:r>
      <w:r>
        <w:rPr>
          <w:rFonts w:hint="eastAsia"/>
          <w:b/>
          <w:sz w:val="28"/>
          <w:szCs w:val="28"/>
        </w:rPr>
        <w:t>俊   徐双铅   吕迪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tbl>
      <w:tblPr>
        <w:tblStyle w:val="12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b/>
                <w:sz w:val="44"/>
                <w:szCs w:val="44"/>
              </w:rPr>
              <w:br w:type="page"/>
            </w: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根据进度修改（更换插图）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8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1.6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根据进度，详细报告，参数和变量详细化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2018/6/8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9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1.7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个股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k线图改为实时走势图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2018/6/15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1.8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更新文档，加入图标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2018/6/22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2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_Toc17885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_Toc17885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_Toc16818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_Toc16818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_Toc9640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_Toc9640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_Toc1879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_Toc1879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_Toc15809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_Toc15249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_Toc15249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_Toc1191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_Toc1191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_Toc12482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_Toc12482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_Toc27022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_Toc27022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_Toc20030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_Toc20030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_Toc24485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_Toc24485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_Toc26366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_Toc26366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_Toc28790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_Toc28790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_Toc16117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_Toc30327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_Toc30327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_Toc31711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_Toc31711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_Toc26892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_Toc26892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_Toc26057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_Toc11640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_Toc15526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_Toc15526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_Toc15517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_Toc15517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_Toc21411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_Toc11132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_Toc11132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_Toc26660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_Toc26660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_Toc21700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_Toc21700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_Toc6536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_Toc6536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_Toc5125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_Toc5125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_Toc20515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_Toc20515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_Toc18233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_Toc18233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_Toc5402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_Toc5402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_Toc12730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_Toc12730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_Toc10753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12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</w:pPr>
    </w:p>
    <w:p>
      <w:pPr>
        <w:pStyle w:val="14"/>
      </w:pPr>
      <w:bookmarkStart w:id="0" w:name="_Toc17885"/>
      <w:r>
        <w:rPr>
          <w:rFonts w:hint="eastAsia"/>
        </w:rPr>
        <w:t>引言</w:t>
      </w:r>
      <w:bookmarkEnd w:id="0"/>
    </w:p>
    <w:p>
      <w:pPr>
        <w:pStyle w:val="15"/>
      </w:pPr>
      <w:bookmarkStart w:id="1" w:name="_Toc16818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5"/>
      </w:pPr>
      <w:bookmarkStart w:id="2" w:name="_Toc9640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5"/>
      </w:pPr>
      <w:bookmarkStart w:id="3" w:name="_Toc1879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5"/>
      </w:pPr>
      <w:bookmarkStart w:id="4" w:name="_Toc15809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</w:t>
      </w:r>
      <w:r>
        <w:rPr>
          <w:rFonts w:hint="eastAsia"/>
          <w:szCs w:val="21"/>
          <w:lang w:eastAsia="zh-CN"/>
        </w:rPr>
        <w:t>和实时走势图</w:t>
      </w:r>
      <w:r>
        <w:rPr>
          <w:rFonts w:hint="eastAsia"/>
          <w:szCs w:val="21"/>
        </w:rPr>
        <w:t>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5"/>
      </w:pPr>
      <w:bookmarkStart w:id="5" w:name="_Toc15249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4"/>
      </w:pPr>
      <w:bookmarkStart w:id="6" w:name="_Toc1191"/>
      <w:r>
        <w:rPr>
          <w:rFonts w:hint="eastAsia"/>
        </w:rPr>
        <w:t>可行性分析的前提</w:t>
      </w:r>
      <w:bookmarkEnd w:id="6"/>
    </w:p>
    <w:p>
      <w:pPr>
        <w:pStyle w:val="15"/>
      </w:pPr>
      <w:bookmarkStart w:id="7" w:name="_Toc12482"/>
      <w:r>
        <w:rPr>
          <w:rFonts w:hint="eastAsia"/>
        </w:rPr>
        <w:t>2.1</w:t>
      </w:r>
      <w:bookmarkStart w:id="8" w:name="_Toc235842277"/>
      <w:bookmarkStart w:id="9" w:name="_Toc497383814"/>
      <w:bookmarkStart w:id="10" w:name="_Toc495856401"/>
      <w:bookmarkStart w:id="11" w:name="_Toc235938402"/>
      <w:bookmarkStart w:id="12" w:name="_Toc235842525"/>
      <w:bookmarkStart w:id="13" w:name="_Toc496460848"/>
      <w:bookmarkStart w:id="14" w:name="_Toc235938037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5"/>
      </w:pPr>
      <w:bookmarkStart w:id="15" w:name="_Toc27022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</w:t>
      </w:r>
      <w:r>
        <w:rPr>
          <w:rFonts w:hint="eastAsia"/>
          <w:szCs w:val="21"/>
          <w:highlight w:val="lightGray"/>
          <w:lang w:eastAsia="zh-CN"/>
        </w:rPr>
        <w:t>代码，名称，开盘，</w:t>
      </w:r>
      <w:r>
        <w:rPr>
          <w:rFonts w:hint="eastAsia"/>
          <w:szCs w:val="21"/>
          <w:highlight w:val="lightGray"/>
        </w:rPr>
        <w:t>最高，最低，</w:t>
      </w:r>
      <w:r>
        <w:rPr>
          <w:rFonts w:hint="eastAsia"/>
          <w:szCs w:val="21"/>
          <w:highlight w:val="lightGray"/>
          <w:lang w:eastAsia="zh-CN"/>
        </w:rPr>
        <w:t>涨跌，换手</w:t>
      </w:r>
      <w:r>
        <w:rPr>
          <w:rFonts w:hint="eastAsia"/>
          <w:szCs w:val="21"/>
        </w:rPr>
        <w:t>）并且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</w:t>
      </w:r>
      <w:r>
        <w:rPr>
          <w:rFonts w:hint="eastAsia"/>
          <w:szCs w:val="21"/>
          <w:lang w:eastAsia="zh-CN"/>
        </w:rPr>
        <w:t>，实时走势图</w:t>
      </w:r>
      <w:r>
        <w:rPr>
          <w:rFonts w:hint="eastAsia"/>
          <w:szCs w:val="21"/>
        </w:rPr>
        <w:t>）。在开盘时跟盘，提供数据分析。用户利用提供的变量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highlight w:val="lightGray"/>
          <w:lang w:eastAsia="zh-CN"/>
        </w:rPr>
        <w:t>股价超过，低于，日涨幅超过，低于，</w:t>
      </w:r>
      <w:r>
        <w:rPr>
          <w:rFonts w:hint="eastAsia"/>
          <w:szCs w:val="21"/>
          <w:highlight w:val="lightGray"/>
          <w:lang w:val="en-US" w:eastAsia="zh-CN"/>
        </w:rPr>
        <w:t>5分钟涨幅超过，跌幅超过，换手率大于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5"/>
      </w:pPr>
      <w:bookmarkStart w:id="16" w:name="_Toc20030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4"/>
      </w:pPr>
      <w:bookmarkStart w:id="17" w:name="_Toc24485"/>
      <w:r>
        <w:rPr>
          <w:rFonts w:hint="eastAsia"/>
        </w:rPr>
        <w:t>软件的技术可行性</w:t>
      </w:r>
      <w:bookmarkEnd w:id="17"/>
    </w:p>
    <w:p>
      <w:pPr>
        <w:pStyle w:val="15"/>
      </w:pPr>
      <w:bookmarkStart w:id="18" w:name="_Toc26366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实时走势图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</w:t>
      </w:r>
      <w:bookmarkStart w:id="39" w:name="_GoBack"/>
      <w:bookmarkEnd w:id="39"/>
      <w:r>
        <w:rPr>
          <w:rFonts w:hint="eastAsia"/>
        </w:rPr>
        <w:t>作结合起来从而制成属于自己的策略）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5"/>
      </w:pPr>
      <w:bookmarkStart w:id="19" w:name="_Toc28790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</w:t>
      </w:r>
      <w:r>
        <w:rPr>
          <w:rFonts w:hint="eastAsia"/>
          <w:lang w:eastAsia="zh-CN"/>
        </w:rPr>
        <w:t>和实时走势图</w:t>
      </w:r>
      <w:r>
        <w:rPr>
          <w:rFonts w:hint="eastAsia"/>
        </w:rPr>
        <w:t>。</w:t>
      </w:r>
    </w:p>
    <w:p>
      <w:pPr>
        <w:rPr>
          <w:sz w:val="18"/>
          <w:szCs w:val="18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</w:t>
            </w:r>
            <w:r>
              <w:rPr>
                <w:rFonts w:hint="eastAsia"/>
                <w:sz w:val="18"/>
                <w:szCs w:val="18"/>
                <w:lang w:eastAsia="zh-CN"/>
              </w:rPr>
              <w:t>，实时走势图</w:t>
            </w:r>
            <w:r>
              <w:rPr>
                <w:rFonts w:hint="eastAsia"/>
                <w:sz w:val="18"/>
                <w:szCs w:val="18"/>
              </w:rPr>
              <w:t>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5"/>
      </w:pPr>
      <w:bookmarkStart w:id="20" w:name="_Toc16117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5"/>
      </w:pPr>
      <w:bookmarkStart w:id="21" w:name="_Toc30327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5"/>
      </w:pPr>
      <w:bookmarkStart w:id="22" w:name="_Toc31711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5"/>
        <w:ind w:firstLine="0"/>
      </w:pPr>
    </w:p>
    <w:p>
      <w:pPr>
        <w:pStyle w:val="15"/>
      </w:pPr>
      <w:bookmarkStart w:id="23" w:name="_Toc26892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5"/>
      </w:pPr>
      <w:bookmarkStart w:id="24" w:name="_Toc26057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4"/>
      </w:pPr>
      <w:bookmarkStart w:id="25" w:name="_Toc11640"/>
      <w:r>
        <w:rPr>
          <w:rFonts w:hint="eastAsia"/>
        </w:rPr>
        <w:t>软件的经济可行性</w:t>
      </w:r>
      <w:bookmarkEnd w:id="25"/>
    </w:p>
    <w:p>
      <w:pPr>
        <w:pStyle w:val="15"/>
      </w:pPr>
      <w:bookmarkStart w:id="26" w:name="_Toc15526"/>
      <w:r>
        <w:rPr>
          <w:rFonts w:hint="eastAsia"/>
        </w:rPr>
        <w:t>4.1项目投资</w:t>
      </w:r>
      <w:bookmarkEnd w:id="26"/>
    </w:p>
    <w:tbl>
      <w:tblPr>
        <w:tblStyle w:val="13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5"/>
      </w:pPr>
      <w:bookmarkStart w:id="27" w:name="_Toc15517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5"/>
      </w:pPr>
      <w:bookmarkStart w:id="28" w:name="_Toc21411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5"/>
      </w:pPr>
      <w:bookmarkStart w:id="29" w:name="_Toc11132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4"/>
      </w:pPr>
      <w:bookmarkStart w:id="30" w:name="_Toc26660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3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4"/>
      </w:pPr>
      <w:bookmarkStart w:id="31" w:name="_Toc21700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4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4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4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4"/>
      </w:pPr>
      <w:bookmarkStart w:id="32" w:name="_Toc6536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4"/>
      </w:pPr>
      <w:bookmarkStart w:id="33" w:name="_Toc5125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4"/>
      </w:pPr>
      <w:bookmarkStart w:id="34" w:name="_Toc20515"/>
      <w:r>
        <w:rPr>
          <w:rFonts w:hint="eastAsia"/>
        </w:rPr>
        <w:t>项目风险</w:t>
      </w:r>
      <w:bookmarkEnd w:id="34"/>
    </w:p>
    <w:p>
      <w:pPr>
        <w:pStyle w:val="15"/>
        <w:rPr>
          <w:rFonts w:hint="eastAsia"/>
        </w:rPr>
      </w:pPr>
      <w:bookmarkStart w:id="35" w:name="_Toc18233"/>
    </w:p>
    <w:p>
      <w:pPr>
        <w:pStyle w:val="15"/>
        <w:rPr>
          <w:rFonts w:hint="eastAsia"/>
        </w:rPr>
      </w:pPr>
    </w:p>
    <w:p>
      <w:pPr>
        <w:pStyle w:val="15"/>
      </w:pPr>
      <w:r>
        <w:rPr>
          <w:rFonts w:hint="eastAsia"/>
        </w:rPr>
        <w:t>9.1风险类别</w:t>
      </w:r>
      <w:bookmarkEnd w:id="35"/>
    </w:p>
    <w:tbl>
      <w:tblPr>
        <w:tblStyle w:val="1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5"/>
      </w:pPr>
      <w:bookmarkStart w:id="36" w:name="_Toc5402"/>
      <w:r>
        <w:rPr>
          <w:rFonts w:hint="eastAsia"/>
        </w:rPr>
        <w:t>9.2风险评估</w:t>
      </w:r>
      <w:bookmarkEnd w:id="3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5"/>
      </w:pPr>
      <w:bookmarkStart w:id="37" w:name="_Toc12730"/>
      <w:r>
        <w:rPr>
          <w:rFonts w:hint="eastAsia"/>
        </w:rPr>
        <w:t>9.3风险控制</w:t>
      </w:r>
      <w:bookmarkEnd w:id="3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4"/>
      </w:pPr>
      <w:r>
        <w:rPr>
          <w:rFonts w:hint="eastAsia"/>
          <w:sz w:val="18"/>
          <w:szCs w:val="18"/>
        </w:rPr>
        <w:t xml:space="preserve">  </w:t>
      </w:r>
      <w:bookmarkStart w:id="38" w:name="_Toc10753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4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315485B"/>
    <w:rsid w:val="172E0A7B"/>
    <w:rsid w:val="173F087C"/>
    <w:rsid w:val="18704AFE"/>
    <w:rsid w:val="2A0062C3"/>
    <w:rsid w:val="2B3A0CBA"/>
    <w:rsid w:val="30EF3554"/>
    <w:rsid w:val="478306A0"/>
    <w:rsid w:val="4D3C4068"/>
    <w:rsid w:val="633B2AAC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qFormat/>
    <w:uiPriority w:val="2"/>
    <w:pPr>
      <w:widowControl/>
      <w:spacing w:before="440" w:after="40"/>
      <w:contextualSpacing/>
      <w:jc w:val="center"/>
    </w:pPr>
    <w:rPr>
      <w:rFonts w:ascii="Constantia" w:hAnsi="Constantia" w:eastAsia="华文新魏"/>
      <w:color w:val="3F251D"/>
      <w:kern w:val="28"/>
      <w:sz w:val="60"/>
      <w:szCs w:val="60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5">
    <w:name w:val="二级标题"/>
    <w:basedOn w:val="14"/>
    <w:next w:val="1"/>
    <w:link w:val="16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6">
    <w:name w:val="二级标题 字符"/>
    <w:link w:val="15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7">
    <w:name w:val="三级标题"/>
    <w:basedOn w:val="15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8">
    <w:name w:val="四级标题"/>
    <w:basedOn w:val="17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9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4"/>
    <w:qFormat/>
    <w:uiPriority w:val="99"/>
    <w:rPr>
      <w:sz w:val="18"/>
      <w:szCs w:val="18"/>
    </w:rPr>
  </w:style>
  <w:style w:type="paragraph" w:customStyle="1" w:styleId="22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3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