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被考核人姓名：骆佳俊             编制日期： 2018年3月30日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2018-04-01T09:02:52Z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