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HINTO — Legal Drafting Notes</w:t>
      </w:r>
    </w:p>
    <w:p>
      <w:pPr>
        <w:spacing w:after="120" w:line="300"/>
        <w:rPr>
          <w:i/>
          <w:iCs/>
        </w:rPr>
      </w:pPr>
      <w:r>
        <w:rPr>
          <w:i/>
          <w:iCs/>
        </w:rPr>
        <w:t xml:space="preserve">Companion document for the Privacy Policy and Terms of Service drafts</w:t>
      </w:r>
    </w:p>
    <w:p>
      <w:pPr>
        <w:spacing w:after="120" w:line="300"/>
        <w:rPr>
          <w:i/>
          <w:iCs/>
        </w:rPr>
      </w:pPr>
      <w:r>
        <w:rPr>
          <w:i/>
          <w:iCs/>
        </w:rPr>
        <w:t xml:space="preserve">Effective draft date: May 16, 2026</w:t>
      </w:r>
    </w:p>
    <w:p>
      <w:pPr>
        <w:pBdr>
          <w:bottom w:val="single" w:color="888888" w:sz="6" w:space="1"/>
        </w:pBdr>
        <w:spacing w:after="80" w:before="80"/>
      </w:pPr>
      <w:r>
        <w:t xml:space="preserve"/>
      </w:r>
    </w:p>
    <w:p>
      <w:pPr>
        <w:pStyle w:val="Heading1"/>
      </w:pPr>
      <w:r>
        <w:t xml:space="preserve">1. Purpose of This Document</w:t>
      </w:r>
    </w:p>
    <w:p>
      <w:pPr>
        <w:spacing w:after="120" w:line="300"/>
      </w:pPr>
      <w:r>
        <w:t xml:space="preserve">This document is a cover sheet for the HINTO Privacy Policy and Terms of Service drafts. It is intended to give counsel everything needed to review the drafts efficiently: the product facts the drafts are built on, the choices baked in, the placeholder fields that must be filled, and the specific items flagged inline for legal judgment.</w:t>
      </w:r>
    </w:p>
    <w:p>
      <w:pPr>
        <w:spacing w:after="120" w:line="300"/>
      </w:pPr>
      <w:r>
        <w:t xml:space="preserve">Companion files in the same folder: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HINTO_Privacy_Policy_DRAFT.docx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HINTO_Terms_of_Service_DRAFT.docx</w:t>
      </w:r>
    </w:p>
    <w:p>
      <w:pPr>
        <w:spacing w:after="120" w:line="300"/>
      </w:pPr>
      <w:r>
        <w:t xml:space="preserve">Both drafts are stamped “DRAFT FOR LEGAL REVIEW” in the page footer and use amber italic notes inline at each point that requires counsel attention.</w:t>
      </w:r>
    </w:p>
    <w:p>
      <w:pPr>
        <w:pStyle w:val="Heading1"/>
      </w:pPr>
      <w:r>
        <w:t xml:space="preserve">2. Product Summary the Drafts Assume</w:t>
      </w:r>
    </w:p>
    <w:p>
      <w:pPr>
        <w:spacing w:after="120" w:line="300"/>
      </w:pPr>
      <w:r>
        <w:t xml:space="preserve">These facts shape almost every section of both documents. Please flag any inaccuracies before review proceeds.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What HINTO is: </w:t>
      </w:r>
      <w:r>
        <w:t xml:space="preserve">social relationship coaching and voting platform. Users maintain ranked lists of romantic interests (situationships), invite friends to vote and comment, and chat with an AI relationship coach.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Audience: </w:t>
      </w:r>
      <w:r>
        <w:t xml:space="preserve">users 16 and older. Targeted toward women 16–35.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Platforms: </w:t>
      </w:r>
      <w:r>
        <w:t xml:space="preserve">iOS (native SwiftUI) and web.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Entity / jurisdiction: </w:t>
      </w:r>
      <w:r>
        <w:t xml:space="preserve">U.S.-based, headquartered in Seattle, WA. Legal entity name left as a placeholder.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Monetization: </w:t>
      </w:r>
      <w:r>
        <w:t xml:space="preserve">subscriptions and in-app purchases on Apple App Store, Google Play, and web.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Marketing: </w:t>
      </w:r>
      <w:r>
        <w:t xml:space="preserve">first-party marketing only. We do NOT sell user data and do NOT share user data with third parties for those third parties’ own marketing.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HAIDAA: </w:t>
      </w:r>
      <w:r>
        <w:t xml:space="preserve">an opt-in research and data platform that explores health-related correlations across our suite of applications. Strictly opt-in, revocable, presented in a separate consent flow.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Sensitive data: </w:t>
      </w:r>
      <w:r>
        <w:t xml:space="preserve">treated with heightened safeguards — situationship details, rankings, friend votes/comments, AI coach conversations, friends/connections lists pulled from social providers.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Enforcement posture: </w:t>
      </w:r>
      <w:r>
        <w:t xml:space="preserve">we reserve the right to suspend or terminate accounts that violate policies, especially anti-harassment and anti-stalking rules.</w:t>
      </w:r>
    </w:p>
    <w:p>
      <w:pPr>
        <w:pStyle w:val="Heading1"/>
      </w:pPr>
      <w:r>
        <w:t xml:space="preserve">3. Third Parties Referenced in the Drafts</w:t>
      </w:r>
    </w:p>
    <w:p>
      <w:pPr>
        <w:spacing w:after="120" w:line="300"/>
      </w:pPr>
      <w:r>
        <w:t xml:space="preserve">None of these are used to share user data for third-party marketing. Each is treated as a Service Provider operating under our instructions.</w:t>
      </w:r>
    </w:p>
    <w:p>
      <w:pPr>
        <w:pStyle w:val="Heading2"/>
      </w:pPr>
      <w:r>
        <w:t xml:space="preserve">3.1 AI Subprocessors (in-product features)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</w:rPr>
              <w:t xml:space="preserve">Provider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</w:rPr>
              <w:t xml:space="preserve">Counsel action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OpenAI, L.L.C.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AI relationship coach and in-product intelligence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Confirm API tier and DPA; verify training/retention settings are disabled per draft language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Anthropic, PBC.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AI relationship coach and in-product intelligence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Confirm API tier and DPA; verify training/retention settings are disabled per draft language</w:t>
            </w:r>
          </w:p>
        </w:tc>
      </w:tr>
    </w:tbl>
    <w:p>
      <w:pPr>
        <w:pStyle w:val="Heading2"/>
      </w:pPr>
      <w:r>
        <w:t xml:space="preserve">3.2 Authentication / Social Providers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60"/>
        <w:gridCol w:w="28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</w:rPr>
              <w:t xml:space="preserve">Provider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</w:rPr>
              <w:t xml:space="preserve">Used for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</w:rPr>
              <w:t xml:space="preserve">Friends list access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Apple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Sign in with Apple; App Store IAP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Not applicable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Meta (Facebook/Instagram)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Social login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Optional, user-authorized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Google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Google sign-in; Google Play billing (where applicable)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Not applicable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Snap (Snapchat)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Social login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Optional, user-authorized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TikTok / ByteDance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Social login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Optional, user-authorized</w:t>
            </w:r>
          </w:p>
        </w:tc>
      </w:tr>
    </w:tbl>
    <w:p>
      <w:pPr>
        <w:pStyle w:val="Heading2"/>
      </w:pPr>
      <w:r>
        <w:t xml:space="preserve">3.3 Infrastructure / Operations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Database, auth, storage hosting (Supabase and cloud hosting provider — specific list TBD by counsel).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Analytics, crash reporting, product monitoring (TBD).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Email and push notification delivery (TBD).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Payment processors: Apple App Store, Google Play, web payment processor (TBD).</w:t>
      </w:r>
    </w:p>
    <w:p>
      <w:pPr>
        <w:pStyle w:val="Heading1"/>
      </w:pPr>
      <w:r>
        <w:t xml:space="preserve">4. Choices Baked Into the Drafts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760"/>
        <w:gridCol w:w="12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</w:rPr>
              <w:t xml:space="preserve">Topic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</w:rPr>
              <w:t xml:space="preserve">Choice in drafts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Governing law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Washington State + applicable U.S. federal law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User direction (Seattle, WA)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Venue (non-arbitrable claims)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Exclusive in King County, WA state/federal courts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Standard for WA-seated entity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Dispute resolution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Mandatory pre-suit informal resolution (60 days) → binding individual arbitration (JAMS, FAA) → class action waiver and jury trial waiver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User selected binding arbitration + class action waiver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Arbitration opt-out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30-day right to opt out by emailing legal contact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Standard best practice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Age policy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16+ self-attestation; we may suspend/terminate if false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User selected self-attestation only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Privacy regulations addressed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GDPR (EEA) and UK GDPR explicitly; general U.S. principles. No CCPA-specific section.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User selected GDPR/UK only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Sensitive data treatment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Situationships, voting content, AI coach chats, and friend lists are explicitly labeled “Sensitive Information”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User identified relationship/dating info as sensitive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Data sale / sharing for ads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Explicit statement we do not sell or share for third-party marketing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User confirmed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HAIDAA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Opt-in only, separate consent, revocable, withdrawal does not affect completed research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User-defined product behavior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Apple IAP terms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Full Apple-as-third-party-beneficiary clause + maintenance/warranty/IP/liability allocation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Required by Apple guidelines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Liability cap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Greater of fees paid in prior 12 months or $100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Standard SaaS template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Account deletion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Self-serve from in-app settings; data deleted per retention schedule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Drafted as user-facing default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AI coach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Disclaimer that outputs are informational, not medical/mental health/legal/financial advice; safety carve-out recommended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Risk-driven</w:t>
            </w:r>
          </w:p>
        </w:tc>
      </w:tr>
    </w:tbl>
    <w:p>
      <w:pPr>
        <w:pStyle w:val="Heading1"/>
      </w:pPr>
      <w:r>
        <w:t xml:space="preserve">5. Placeholders to Fill Before Publication</w:t>
      </w:r>
    </w:p>
    <w:p>
      <w:pPr>
        <w:spacing w:after="120" w:line="300"/>
      </w:pPr>
      <w:r>
        <w:t xml:space="preserve">Every bracketed string below appears in one or both drafts and must be replaced by counsel or the business owner.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</w:rPr>
              <w:t xml:space="preserve">Placeholder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</w:rPr>
              <w:t xml:space="preserve">Used in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[COMPANY LEGAL NAME]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Both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Full legal entity name of the HINTO operating company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[STREET ADDRESS], Seattle, WA [ZIP]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Both (Contact sections)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Registered office or business address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[PRIVACY CONTACT EMAIL]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Privacy Policy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Suggest privacy@&lt;domain&gt;; will receive GDPR data subject requests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[LEGAL CONTACT EMAIL]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Terms of Service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</w:rPr>
              <w:t xml:space="preserve">Suggest legal@&lt;domain&gt;; receives DMCA notices, arbitration opt-outs, refund requests</w:t>
            </w:r>
          </w:p>
        </w:tc>
      </w:tr>
    </w:tbl>
    <w:p>
      <w:pPr>
        <w:spacing w:after="120" w:line="300"/>
      </w:pPr>
      <w:r>
        <w:t xml:space="preserve">If you have a designated EU/UK GDPR Article 27 representative, add that information to the Privacy Policy Section 16.</w:t>
      </w:r>
    </w:p>
    <w:p>
      <w:pPr>
        <w:pStyle w:val="Heading1"/>
      </w:pPr>
      <w:r>
        <w:t xml:space="preserve">6. Inline Counsel Notes (Issues Flagged in the Drafts)</w:t>
      </w:r>
    </w:p>
    <w:p>
      <w:pPr>
        <w:spacing w:after="120" w:line="300"/>
      </w:pPr>
      <w:r>
        <w:t xml:space="preserve">These appear as amber italic “LEGAL REVIEW NOTE” callouts in the drafts. Listed here in reading order.</w:t>
      </w:r>
    </w:p>
    <w:p>
      <w:pPr>
        <w:pStyle w:val="Heading2"/>
      </w:pPr>
      <w:r>
        <w:t xml:space="preserve">6.1 Privacy Policy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§3.2 Sensitive content: </w:t>
      </w:r>
      <w:r>
        <w:t xml:space="preserve">confirm whether HINTO content (sexuality, mental health context, political opinion expressed in coach chats, etc.) falls within GDPR Article 9 “special categories,” and adjust consent flows if so.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§6.1 AI subprocessors: </w:t>
      </w:r>
      <w:r>
        <w:t xml:space="preserve">confirm exact OpenAI and Anthropic API tier, the corresponding Data Processing Addenda, and whether the actual settings disable training and limit retention. Adjust the draft language to match reality.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§6.3 Infrastructure: </w:t>
      </w:r>
      <w:r>
        <w:t xml:space="preserve">insert the maintained subprocessor list (Supabase, hosting region, analytics, email/SMS), ideally with a link to a public subprocessor page.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§8 HAIDAA: </w:t>
      </w:r>
      <w:r>
        <w:t xml:space="preserve">confirm whether HAIDAA processing qualifies as “scientific research” under GDPR Art. 89, whether IRB or equivalent oversight is required, and whether any HAIDAA data fields trigger HIPAA or state health-data laws — in particular the Washington My Health My Data Act (MHMDA), which has a broad “consumer health data” definition and requires separate consent and a posted Consumer Health Data Privacy Policy.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§10 Retention: </w:t>
      </w:r>
      <w:r>
        <w:t xml:space="preserve">confirm actual retention windows for logs, AI conversation transcripts, and HAIDAA datasets, and align with applicable record-keeping laws.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§14 Third parties in user content: </w:t>
      </w:r>
      <w:r>
        <w:t xml:space="preserve">consider a dedicated takedown / data subject request workflow for non-user third parties named in situationships. They are data subjects under GDPR even if they never used HINTO.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§16 Contact: </w:t>
      </w:r>
      <w:r>
        <w:t xml:space="preserve">if HINTO has any EU/UK users, designate (and disclose) an Article 27 GDPR representative and a UK GDPR representative.</w:t>
      </w:r>
    </w:p>
    <w:p>
      <w:pPr>
        <w:pStyle w:val="Heading2"/>
      </w:pPr>
      <w:r>
        <w:t xml:space="preserve">6.2 Terms of Service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§4.1 AI Coach Disclaimer: </w:t>
      </w:r>
      <w:r>
        <w:t xml:space="preserve">consider adding a dedicated safety module pointing users to crisis resources (e.g., 988 Suicide &amp; Crisis Lifeline) given the sensitive nature of relationship content.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§16 Arbitration: </w:t>
      </w:r>
      <w:r>
        <w:t xml:space="preserve">confirm choice of arbitration provider (JAMS vs. AAA), mass-arbitration handling (e.g., bellwether/batching), fee shifting, and California-specific consumer-rights carve-outs. Confirm the 60-day informal resolution and 30-day opt-out windows are what we want.</w:t>
      </w:r>
    </w:p>
    <w:p>
      <w:pPr>
        <w:pStyle w:val="Heading1"/>
      </w:pPr>
      <w:r>
        <w:t xml:space="preserve">7. Open Questions for the Business and Counsel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Will HINTO actually operate outside the U.S. at launch? If not, GDPR sections can be retained but transfer mechanism language could be simplified.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Should we add a California-specific notice section (CCPA/CPRA) now in case users from California sign up? The user explicitly opted out of CCPA scope for this draft; flag for re-evaluation.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Confirm whether parental consent will ever be required for 16–17 year olds (e.g., in specific markets that mandate it).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Confirm subprocessor list and whether we publish it on a public page (recommended).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Confirm whether AI coach conversations are ever used for model training, evaluation, or safety review. Today’s draft says no general model training; clarify internal evaluation policy.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Confirm whether HAIDAA data could include anything that qualifies as “consumer health data” under WA MHMDA, OR “sensitive personal information” under emerging state laws.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Confirm DMCA designated agent registration with the U.S. Copyright Office (separate filing required for safe harbor).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Confirm export control and sanctions screening expectations for the user base.</w:t>
      </w:r>
    </w:p>
    <w:p>
      <w:pPr>
        <w:pStyle w:val="Heading1"/>
      </w:pPr>
      <w:r>
        <w:t xml:space="preserve">8. Recommended Review Process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Counsel walks through Section 5 (placeholders) and replaces every bracketed field.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Counsel resolves each inline “LEGAL REVIEW NOTE” callout (Section 6 above lists them all).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Business confirms the product facts in Section 2 are accurate as of the launch date.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Counsel finalizes the subprocessor list and publishes it on a dedicated URL referenced from the Privacy Policy.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After clean copies are produced, store the original drafts and the “redlined → clean” pair in version control with effective-date stamps.</w:t>
      </w:r>
    </w:p>
    <w:p>
      <w:pPr>
        <w:pStyle w:val="Heading1"/>
      </w:pPr>
      <w:r>
        <w:t xml:space="preserve">9. What Is NOT Included in These Drafts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California-specific CCPA/CPRA notice section (opted out per user direction).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Cookie banner copy or a separate cookie policy page (web-only; recommend adding pre-launch).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Community Guidelines / Acceptable Use Policy as a standalone document (the ToS includes the core rules in §5; a separate trust-and-safety page is recommended).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Children’s privacy / COPPA-specific notice (we are 16+ only).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Vendor DPA with Apple, Google, OpenAI, Anthropic, Meta, Snap, TikTok (handled separately at the contract layer).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HAIDAA consent flow microcopy (in-product UX, drafted separately).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Specific WA My Health My Data Act consumer health data privacy policy, if scoping determines it is required.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</w:rPr>
      <w:t xml:space="preserve">Page </w:t>
    </w:r>
    <w:r>
      <w:rPr>
        <w:color w:val="666666"/>
      </w:rPr>
      <w:fldChar w:fldCharType="begin"/>
      <w:instrText xml:space="preserve">PAGE</w:instrText>
      <w:fldChar w:fldCharType="separate"/>
      <w:fldChar w:fldCharType="end"/>
    </w:r>
    <w:r>
      <w:rPr>
        <w:color w:val="666666"/>
      </w:rPr>
      <w:t xml:space="preserve"> of </w:t>
    </w:r>
    <w:r>
      <w:rPr>
        <w:color w:val="666666"/>
      </w:rPr>
      <w:fldChar w:fldCharType="begin"/>
      <w:instrText xml:space="preserve">NUMPAGES</w:instrText>
      <w:fldChar w:fldCharType="separate"/>
      <w:fldChar w:fldCharType="end"/>
    </w:r>
    <w:r>
      <w:rPr>
        <w:i/>
        <w:iCs/>
        <w:color w:val="B45309"/>
      </w:rPr>
      <w:t xml:space="preserve">  —  CONFIDENTIAL — DRAFT NOTES FOR COUNSEL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</w:rPr>
      <w:t xml:space="preserve">HINTO — Legal Drafting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HINTO Legal Drafting Notes</dc:title>
  <dc:creator>HINTO</dc:creator>
  <dc:description>Companion notes to the Privacy Policy and Terms of Service drafts.</dc:description>
  <cp:lastModifiedBy>Un-named</cp:lastModifiedBy>
  <cp:revision>1</cp:revision>
  <dcterms:created xsi:type="dcterms:W3CDTF">2026-05-16T20:58:28.543Z</dcterms:created>
  <dcterms:modified xsi:type="dcterms:W3CDTF">2026-05-16T20:58:28.558Z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