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28"/>
        </w:rPr>
      </w:pPr>
      <w:r>
        <w:rPr>
          <w:b/>
          <w:sz w:val="28"/>
        </w:rPr>
        <w:t>Пятница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Трамвайный,15 – день! (12:30) Яндекс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098"/>
        <w:gridCol w:w="676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Глумнушина Полина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#2 (грибной суп-пюре, свинина,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Зеленин Артем Олегович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Изотова Анна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Илюшина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Севрюк О.Б.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ФРИЛАНСЕР #2 (грибной суп-пюре, кебаб (гов-свин), розочка)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Соколова Владимира Валерьевна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ФРИЛАНСЕР #2 (грибной суп-пюре, кебаб (гов-свин), розочка)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Фрай Елена Константиновна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вечер! (15:30) Яндекс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3151"/>
        <w:gridCol w:w="571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 С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</w:tbl>
    <w:p w:rsidR="00A77B3E">
      <w:pPr>
        <w:rPr>
          <w:b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