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jc w:val="center"/>
      </w:pPr>
      <w:r>
        <w:rPr>
          <w:rFonts w:ascii="Calibri" w:hAnsi="Calibri"/>
          <w:b/>
          <w:i w:val="0"/>
          <w:color w:val="6C2BD9"/>
          <w:sz w:val="52"/>
        </w:rPr>
        <w:t>MALVOYA OY</w:t>
      </w:r>
    </w:p>
    <w:p>
      <w:pPr>
        <w:jc w:val="center"/>
      </w:pPr>
      <w:r>
        <w:rPr>
          <w:rFonts w:ascii="Calibri" w:hAnsi="Calibri"/>
          <w:b/>
          <w:i w:val="0"/>
          <w:color w:val="0A0A0A"/>
          <w:sz w:val="30"/>
        </w:rPr>
        <w:t>NON-DISCLOSURE AND CONFIDENTIALITY AGREEMENT</w:t>
      </w:r>
    </w:p>
    <w:p>
      <w:pPr>
        <w:jc w:val="center"/>
      </w:pPr>
      <w:r>
        <w:rPr>
          <w:rFonts w:ascii="Calibri" w:hAnsi="Calibri"/>
          <w:b w:val="0"/>
          <w:i/>
          <w:color w:val="4B5563"/>
          <w:sz w:val="18"/>
        </w:rPr>
        <w:t>STRICTLY CONFIDENTIAL  |  PROPRIETARY  |  LEGALLY BINDING</w:t>
      </w:r>
    </w:p>
    <w:p>
      <w:pPr>
        <w:spacing w:before="80" w:after="80"/>
      </w:pPr>
      <w:r>
        <w:rPr>
          <w:rFonts w:ascii="Calibri" w:hAnsi="Calibri"/>
          <w:b w:val="0"/>
          <w:i w:val="0"/>
          <w:color w:val="CCCCCC"/>
          <w:sz w:val="16"/>
        </w:rPr>
        <w:t>──────────────────────────────────────────────────────────────────────────────────────────</w:t>
      </w:r>
    </w:p>
    <w:tbl>
      <w:tblPr>
        <w:tblStyle w:val="TableGrid"/>
        <w:tblW w:type="auto" w:w="0"/>
        <w:jc w:val="center"/>
        <w:tblLayout w:type="autofit"/>
        <w:tblLook w:firstColumn="1" w:firstRow="1" w:lastColumn="0" w:lastRow="0" w:noHBand="0" w:noVBand="1" w:val="04A0"/>
      </w:tblPr>
      <w:tblGrid>
        <w:gridCol w:w="4419"/>
        <w:gridCol w:w="4419"/>
      </w:tblGrid>
      <w:tr>
        <w:tc>
          <w:tcPr>
            <w:tcW w:type="dxa" w:w="4419"/>
          </w:tcPr>
          <w:p>
            <w:r>
              <w:rPr>
                <w:rFonts w:ascii="Calibri" w:hAnsi="Calibri"/>
                <w:b/>
                <w:i w:val="0"/>
                <w:color w:val="0A0A0A"/>
                <w:sz w:val="18"/>
              </w:rPr>
              <w:t>Document Reference:</w:t>
            </w:r>
          </w:p>
        </w:tc>
        <w:tc>
          <w:tcPr>
            <w:tcW w:type="dxa" w:w="4419"/>
          </w:tcPr>
          <w:p>
            <w:r>
              <w:rPr>
                <w:rFonts w:ascii="Calibri" w:hAnsi="Calibri"/>
                <w:b w:val="0"/>
                <w:i w:val="0"/>
                <w:color w:val="4B5563"/>
                <w:sz w:val="18"/>
              </w:rPr>
              <w:t>MALVOYA-NDA-2026-[SEQUENCE NUMBER]</w:t>
            </w:r>
          </w:p>
        </w:tc>
      </w:tr>
      <w:tr>
        <w:tc>
          <w:tcPr>
            <w:tcW w:type="dxa" w:w="4419"/>
          </w:tcPr>
          <w:p>
            <w:r>
              <w:rPr>
                <w:rFonts w:ascii="Calibri" w:hAnsi="Calibri"/>
                <w:b/>
                <w:i w:val="0"/>
                <w:color w:val="0A0A0A"/>
                <w:sz w:val="18"/>
              </w:rPr>
              <w:t>Agreement Version:</w:t>
            </w:r>
          </w:p>
        </w:tc>
        <w:tc>
          <w:tcPr>
            <w:tcW w:type="dxa" w:w="4419"/>
          </w:tcPr>
          <w:p>
            <w:r>
              <w:rPr>
                <w:rFonts w:ascii="Calibri" w:hAnsi="Calibri"/>
                <w:b w:val="0"/>
                <w:i w:val="0"/>
                <w:color w:val="4B5563"/>
                <w:sz w:val="18"/>
              </w:rPr>
              <w:t>1.0</w:t>
            </w:r>
          </w:p>
        </w:tc>
      </w:tr>
      <w:tr>
        <w:tc>
          <w:tcPr>
            <w:tcW w:type="dxa" w:w="4419"/>
          </w:tcPr>
          <w:p>
            <w:r>
              <w:rPr>
                <w:rFonts w:ascii="Calibri" w:hAnsi="Calibri"/>
                <w:b/>
                <w:i w:val="0"/>
                <w:color w:val="0A0A0A"/>
                <w:sz w:val="18"/>
              </w:rPr>
              <w:t>Governing Law:</w:t>
            </w:r>
          </w:p>
        </w:tc>
        <w:tc>
          <w:tcPr>
            <w:tcW w:type="dxa" w:w="4419"/>
          </w:tcPr>
          <w:p>
            <w:r>
              <w:rPr>
                <w:rFonts w:ascii="Calibri" w:hAnsi="Calibri"/>
                <w:b w:val="0"/>
                <w:i w:val="0"/>
                <w:color w:val="4B5563"/>
                <w:sz w:val="18"/>
              </w:rPr>
              <w:t>Republic of Finland / European Union</w:t>
            </w:r>
          </w:p>
        </w:tc>
      </w:tr>
      <w:tr>
        <w:tc>
          <w:tcPr>
            <w:tcW w:type="dxa" w:w="4419"/>
          </w:tcPr>
          <w:p>
            <w:r>
              <w:rPr>
                <w:rFonts w:ascii="Calibri" w:hAnsi="Calibri"/>
                <w:b/>
                <w:i w:val="0"/>
                <w:color w:val="0A0A0A"/>
                <w:sz w:val="18"/>
              </w:rPr>
              <w:t>Jurisdiction:</w:t>
            </w:r>
          </w:p>
        </w:tc>
        <w:tc>
          <w:tcPr>
            <w:tcW w:type="dxa" w:w="4419"/>
          </w:tcPr>
          <w:p>
            <w:r>
              <w:rPr>
                <w:rFonts w:ascii="Calibri" w:hAnsi="Calibri"/>
                <w:b w:val="0"/>
                <w:i w:val="0"/>
                <w:color w:val="4B5563"/>
                <w:sz w:val="18"/>
              </w:rPr>
              <w:t>Helsinki District Court (Helsingin käräjäoikeus)</w:t>
            </w:r>
          </w:p>
        </w:tc>
      </w:tr>
      <w:tr>
        <w:tc>
          <w:tcPr>
            <w:tcW w:type="dxa" w:w="4419"/>
          </w:tcPr>
          <w:p>
            <w:r>
              <w:rPr>
                <w:rFonts w:ascii="Calibri" w:hAnsi="Calibri"/>
                <w:b/>
                <w:i w:val="0"/>
                <w:color w:val="0A0A0A"/>
                <w:sz w:val="18"/>
              </w:rPr>
              <w:t>Effective Date:</w:t>
            </w:r>
          </w:p>
        </w:tc>
        <w:tc>
          <w:tcPr>
            <w:tcW w:type="dxa" w:w="4419"/>
          </w:tcPr>
          <w:p>
            <w:r>
              <w:rPr>
                <w:rFonts w:ascii="Calibri" w:hAnsi="Calibri"/>
                <w:b w:val="0"/>
                <w:i w:val="0"/>
                <w:color w:val="4B5563"/>
                <w:sz w:val="18"/>
              </w:rPr>
              <w:t>_________________________  (DD/MM/YYYY)</w:t>
            </w:r>
          </w:p>
        </w:tc>
      </w:tr>
    </w:tbl>
    <w:p/>
    <w:p>
      <w:pPr>
        <w:spacing w:before="360" w:after="120"/>
        <w:jc w:val="left"/>
      </w:pPr>
      <w:r>
        <w:rPr>
          <w:rFonts w:ascii="Calibri" w:hAnsi="Calibri"/>
          <w:b/>
          <w:i w:val="0"/>
          <w:color w:val="6C2BD9"/>
          <w:sz w:val="32"/>
        </w:rPr>
        <w:t>PARTIES</w:t>
      </w:r>
    </w:p>
    <w:p>
      <w:pPr>
        <w:spacing w:before="240" w:after="80"/>
        <w:jc w:val="left"/>
      </w:pPr>
      <w:r>
        <w:rPr>
          <w:rFonts w:ascii="Calibri" w:hAnsi="Calibri"/>
          <w:b/>
          <w:i w:val="0"/>
          <w:color w:val="6C2BD9"/>
          <w:sz w:val="26"/>
        </w:rPr>
        <w:t>DISCLOSING PARTY — MALVOYA OY</w:t>
      </w:r>
    </w:p>
    <w:p>
      <w:pPr>
        <w:spacing w:after="40"/>
        <w:ind w:left="360"/>
      </w:pPr>
      <w:r>
        <w:rPr>
          <w:rFonts w:ascii="Calibri" w:hAnsi="Calibri"/>
          <w:b/>
          <w:i w:val="0"/>
          <w:color w:val="0A0A0A"/>
          <w:sz w:val="20"/>
        </w:rPr>
        <w:t xml:space="preserve">Company Name:  </w:t>
      </w:r>
      <w:r>
        <w:rPr>
          <w:rFonts w:ascii="Calibri" w:hAnsi="Calibri"/>
          <w:b w:val="0"/>
          <w:i w:val="0"/>
          <w:color w:val="4B5563"/>
          <w:sz w:val="20"/>
        </w:rPr>
        <w:t>Malvoya Oy</w:t>
      </w:r>
    </w:p>
    <w:p>
      <w:pPr>
        <w:spacing w:after="40"/>
        <w:ind w:left="360"/>
      </w:pPr>
      <w:r>
        <w:rPr>
          <w:rFonts w:ascii="Calibri" w:hAnsi="Calibri"/>
          <w:b/>
          <w:i w:val="0"/>
          <w:color w:val="0A0A0A"/>
          <w:sz w:val="20"/>
        </w:rPr>
        <w:t xml:space="preserve">Business ID (Y-tunnus):  </w:t>
      </w:r>
      <w:r>
        <w:rPr>
          <w:rFonts w:ascii="Calibri" w:hAnsi="Calibri"/>
          <w:b w:val="0"/>
          <w:i w:val="0"/>
          <w:color w:val="4B5563"/>
          <w:sz w:val="20"/>
        </w:rPr>
        <w:t>_________________________</w:t>
      </w:r>
    </w:p>
    <w:p>
      <w:pPr>
        <w:spacing w:after="40"/>
        <w:ind w:left="360"/>
      </w:pPr>
      <w:r>
        <w:rPr>
          <w:rFonts w:ascii="Calibri" w:hAnsi="Calibri"/>
          <w:b/>
          <w:i w:val="0"/>
          <w:color w:val="0A0A0A"/>
          <w:sz w:val="20"/>
        </w:rPr>
        <w:t xml:space="preserve">Registered Address:  </w:t>
      </w:r>
      <w:r>
        <w:rPr>
          <w:rFonts w:ascii="Calibri" w:hAnsi="Calibri"/>
          <w:b w:val="0"/>
          <w:i w:val="0"/>
          <w:color w:val="4B5563"/>
          <w:sz w:val="20"/>
        </w:rPr>
        <w:t>Helsinki, Republic of Finland</w:t>
      </w:r>
    </w:p>
    <w:p>
      <w:pPr>
        <w:spacing w:after="40"/>
        <w:ind w:left="360"/>
      </w:pPr>
      <w:r>
        <w:rPr>
          <w:rFonts w:ascii="Calibri" w:hAnsi="Calibri"/>
          <w:b/>
          <w:i w:val="0"/>
          <w:color w:val="0A0A0A"/>
          <w:sz w:val="20"/>
        </w:rPr>
        <w:t xml:space="preserve">Legal Representative:  </w:t>
      </w:r>
      <w:r>
        <w:rPr>
          <w:rFonts w:ascii="Calibri" w:hAnsi="Calibri"/>
          <w:b w:val="0"/>
          <w:i w:val="0"/>
          <w:color w:val="4B5563"/>
          <w:sz w:val="20"/>
        </w:rPr>
        <w:t>_________________________</w:t>
      </w:r>
    </w:p>
    <w:p>
      <w:pPr>
        <w:spacing w:after="40"/>
        <w:ind w:left="360"/>
      </w:pPr>
      <w:r>
        <w:rPr>
          <w:rFonts w:ascii="Calibri" w:hAnsi="Calibri"/>
          <w:b/>
          <w:i w:val="0"/>
          <w:color w:val="0A0A0A"/>
          <w:sz w:val="20"/>
        </w:rPr>
        <w:t xml:space="preserve">Email:  </w:t>
      </w:r>
      <w:r>
        <w:rPr>
          <w:rFonts w:ascii="Calibri" w:hAnsi="Calibri"/>
          <w:b w:val="0"/>
          <w:i w:val="0"/>
          <w:color w:val="4B5563"/>
          <w:sz w:val="20"/>
        </w:rPr>
        <w:t>_________________________</w:t>
      </w:r>
    </w:p>
    <w:p/>
    <w:p>
      <w:pPr>
        <w:spacing w:before="240" w:after="80"/>
        <w:jc w:val="left"/>
      </w:pPr>
      <w:r>
        <w:rPr>
          <w:rFonts w:ascii="Calibri" w:hAnsi="Calibri"/>
          <w:b/>
          <w:i w:val="0"/>
          <w:color w:val="0D6E4F"/>
          <w:sz w:val="26"/>
        </w:rPr>
        <w:t>RECEIVING PARTY — RECIPIENT</w:t>
      </w:r>
    </w:p>
    <w:p>
      <w:pPr>
        <w:spacing w:after="40"/>
        <w:ind w:left="360"/>
      </w:pPr>
      <w:r>
        <w:rPr>
          <w:rFonts w:ascii="Calibri" w:hAnsi="Calibri"/>
          <w:b/>
          <w:i w:val="0"/>
          <w:color w:val="0A0A0A"/>
          <w:sz w:val="20"/>
        </w:rPr>
        <w:t xml:space="preserve">Full Legal Name / Company:  </w:t>
      </w:r>
      <w:r>
        <w:rPr>
          <w:rFonts w:ascii="Calibri" w:hAnsi="Calibri"/>
          <w:b w:val="0"/>
          <w:i w:val="0"/>
          <w:color w:val="4B5563"/>
          <w:sz w:val="20"/>
        </w:rPr>
        <w:t>_________________________</w:t>
      </w:r>
    </w:p>
    <w:p>
      <w:pPr>
        <w:spacing w:after="40"/>
        <w:ind w:left="360"/>
      </w:pPr>
      <w:r>
        <w:rPr>
          <w:rFonts w:ascii="Calibri" w:hAnsi="Calibri"/>
          <w:b/>
          <w:i w:val="0"/>
          <w:color w:val="0A0A0A"/>
          <w:sz w:val="20"/>
        </w:rPr>
        <w:t xml:space="preserve">Identity / Business ID:  </w:t>
      </w:r>
      <w:r>
        <w:rPr>
          <w:rFonts w:ascii="Calibri" w:hAnsi="Calibri"/>
          <w:b w:val="0"/>
          <w:i w:val="0"/>
          <w:color w:val="4B5563"/>
          <w:sz w:val="20"/>
        </w:rPr>
        <w:t>_________________________</w:t>
      </w:r>
    </w:p>
    <w:p>
      <w:pPr>
        <w:spacing w:after="40"/>
        <w:ind w:left="360"/>
      </w:pPr>
      <w:r>
        <w:rPr>
          <w:rFonts w:ascii="Calibri" w:hAnsi="Calibri"/>
          <w:b/>
          <w:i w:val="0"/>
          <w:color w:val="0A0A0A"/>
          <w:sz w:val="20"/>
        </w:rPr>
        <w:t xml:space="preserve">Registered / Home Address:  </w:t>
      </w:r>
      <w:r>
        <w:rPr>
          <w:rFonts w:ascii="Calibri" w:hAnsi="Calibri"/>
          <w:b w:val="0"/>
          <w:i w:val="0"/>
          <w:color w:val="4B5563"/>
          <w:sz w:val="20"/>
        </w:rPr>
        <w:t>_________________________</w:t>
      </w:r>
    </w:p>
    <w:p>
      <w:pPr>
        <w:spacing w:after="40"/>
        <w:ind w:left="360"/>
      </w:pPr>
      <w:r>
        <w:rPr>
          <w:rFonts w:ascii="Calibri" w:hAnsi="Calibri"/>
          <w:b/>
          <w:i w:val="0"/>
          <w:color w:val="0A0A0A"/>
          <w:sz w:val="20"/>
        </w:rPr>
        <w:t xml:space="preserve">Legal Representative (if entity):  </w:t>
      </w:r>
      <w:r>
        <w:rPr>
          <w:rFonts w:ascii="Calibri" w:hAnsi="Calibri"/>
          <w:b w:val="0"/>
          <w:i w:val="0"/>
          <w:color w:val="4B5563"/>
          <w:sz w:val="20"/>
        </w:rPr>
        <w:t>_________________________</w:t>
      </w:r>
    </w:p>
    <w:p>
      <w:pPr>
        <w:spacing w:after="40"/>
        <w:ind w:left="360"/>
      </w:pPr>
      <w:r>
        <w:rPr>
          <w:rFonts w:ascii="Calibri" w:hAnsi="Calibri"/>
          <w:b/>
          <w:i w:val="0"/>
          <w:color w:val="0A0A0A"/>
          <w:sz w:val="20"/>
        </w:rPr>
        <w:t xml:space="preserve">Email:  </w:t>
      </w:r>
      <w:r>
        <w:rPr>
          <w:rFonts w:ascii="Calibri" w:hAnsi="Calibri"/>
          <w:b w:val="0"/>
          <w:i w:val="0"/>
          <w:color w:val="4B5563"/>
          <w:sz w:val="20"/>
        </w:rPr>
        <w:t>_________________________</w:t>
      </w:r>
    </w:p>
    <w:p>
      <w:pPr>
        <w:spacing w:after="40"/>
        <w:ind w:left="360"/>
      </w:pPr>
      <w:r>
        <w:rPr>
          <w:rFonts w:ascii="Calibri" w:hAnsi="Calibri"/>
          <w:b/>
          <w:i w:val="0"/>
          <w:color w:val="0A0A0A"/>
          <w:sz w:val="20"/>
        </w:rPr>
        <w:t xml:space="preserve">Capacity / Role:  </w:t>
      </w:r>
      <w:r>
        <w:rPr>
          <w:rFonts w:ascii="Calibri" w:hAnsi="Calibri"/>
          <w:b w:val="0"/>
          <w:i w:val="0"/>
          <w:color w:val="4B5563"/>
          <w:sz w:val="20"/>
        </w:rPr>
        <w:t>☐ Investor  ☐ Merchant Partner  ☐ Technology Partner  ☐ Courier Partner  ☐ Advisor  ☐ Employee/Contractor  ☐ Other: __________</w:t>
      </w:r>
    </w:p>
    <w:p>
      <w:pPr>
        <w:spacing w:before="80" w:after="80"/>
      </w:pPr>
      <w:r>
        <w:rPr>
          <w:rFonts w:ascii="Calibri" w:hAnsi="Calibri"/>
          <w:b w:val="0"/>
          <w:i w:val="0"/>
          <w:color w:val="CCCCCC"/>
          <w:sz w:val="16"/>
        </w:rPr>
        <w:t>──────────────────────────────────────────────────────────────────────────────────────────</w:t>
      </w:r>
    </w:p>
    <w:p>
      <w:pPr>
        <w:spacing w:before="360" w:after="120"/>
        <w:jc w:val="left"/>
      </w:pPr>
      <w:r>
        <w:rPr>
          <w:rFonts w:ascii="Calibri" w:hAnsi="Calibri"/>
          <w:b/>
          <w:i w:val="0"/>
          <w:color w:val="6C2BD9"/>
          <w:sz w:val="32"/>
        </w:rPr>
        <w:t>RECITALS</w:t>
      </w:r>
    </w:p>
    <w:p>
      <w:pPr>
        <w:spacing w:after="120"/>
      </w:pPr>
      <w:r>
        <w:rPr>
          <w:rFonts w:ascii="Calibri" w:hAnsi="Calibri"/>
          <w:b w:val="0"/>
          <w:i w:val="0"/>
          <w:color w:val="0A0A0A"/>
          <w:sz w:val="20"/>
        </w:rPr>
        <w:t>WHEREAS, Malvoya Oy is developing and operating a proprietary multi-sided delivery and retail marketplace platform consisting of three interconnected mobile and web applications (the "Malvoya Platform"), connecting customers, independent retail merchants, and independent courier professionals across Finland and the European Union;</w:t>
      </w:r>
    </w:p>
    <w:p>
      <w:pPr>
        <w:spacing w:after="120"/>
      </w:pPr>
      <w:r>
        <w:rPr>
          <w:rFonts w:ascii="Calibri" w:hAnsi="Calibri"/>
          <w:b w:val="0"/>
          <w:i w:val="0"/>
          <w:color w:val="0A0A0A"/>
          <w:sz w:val="20"/>
        </w:rPr>
        <w:t>WHEREAS, in connection with the Parties' evaluation, negotiation, and/or commercial relationship regarding a potential investment, partnership, employment, licensing, or service arrangement (collectively, the "Purpose"), it is necessary for Malvoya to disclose certain of its Confidential Information to the Recipient;</w:t>
      </w:r>
    </w:p>
    <w:p>
      <w:pPr>
        <w:spacing w:after="120"/>
      </w:pPr>
      <w:r>
        <w:rPr>
          <w:rFonts w:ascii="Calibri" w:hAnsi="Calibri"/>
          <w:b w:val="0"/>
          <w:i w:val="0"/>
          <w:color w:val="0A0A0A"/>
          <w:sz w:val="20"/>
        </w:rPr>
        <w:t>WHEREAS, the Parties desire to protect the integrity, commercial value, and proprietary nature of Malvoya's Confidential Information and wish to define their respective rights and obligations with respect thereto;</w:t>
      </w:r>
    </w:p>
    <w:p>
      <w:pPr>
        <w:spacing w:after="120"/>
      </w:pPr>
      <w:r>
        <w:rPr>
          <w:rFonts w:ascii="Calibri" w:hAnsi="Calibri"/>
          <w:b w:val="0"/>
          <w:i/>
          <w:color w:val="0A0A0A"/>
          <w:sz w:val="20"/>
        </w:rPr>
        <w:t>NOW, THEREFORE, in consideration of the mutual promises, covenants, and conditions set forth herein, and for other good and valuable consideration, the receipt and sufficiency of which are hereby acknowledged, the Parties agree as follows:</w:t>
      </w:r>
    </w:p>
    <w:p>
      <w:pPr>
        <w:spacing w:before="80" w:after="80"/>
      </w:pPr>
      <w:r>
        <w:rPr>
          <w:rFonts w:ascii="Calibri" w:hAnsi="Calibri"/>
          <w:b w:val="0"/>
          <w:i w:val="0"/>
          <w:color w:val="CCCCCC"/>
          <w:sz w:val="16"/>
        </w:rPr>
        <w:t>──────────────────────────────────────────────────────────────────────────────────────────</w:t>
      </w:r>
    </w:p>
    <w:p>
      <w:pPr>
        <w:spacing w:before="360" w:after="120"/>
        <w:jc w:val="left"/>
      </w:pPr>
      <w:r>
        <w:rPr>
          <w:rFonts w:ascii="Calibri" w:hAnsi="Calibri"/>
          <w:b/>
          <w:i w:val="0"/>
          <w:color w:val="6C2BD9"/>
          <w:sz w:val="32"/>
        </w:rPr>
        <w:t>ARTICLE 1 — DEFINITIONS</w:t>
      </w:r>
    </w:p>
    <w:p>
      <w:pPr>
        <w:spacing w:after="120"/>
        <w:ind w:left="288"/>
      </w:pPr>
      <w:r>
        <w:rPr>
          <w:rFonts w:ascii="Calibri" w:hAnsi="Calibri"/>
          <w:b/>
          <w:i w:val="0"/>
          <w:color w:val="6C2BD9"/>
          <w:sz w:val="20"/>
        </w:rPr>
        <w:t xml:space="preserve">1.1  "Confidential Information":  </w:t>
      </w:r>
      <w:r>
        <w:rPr>
          <w:rFonts w:ascii="Calibri" w:hAnsi="Calibri"/>
          <w:b w:val="0"/>
          <w:i w:val="0"/>
          <w:color w:val="0A0A0A"/>
          <w:sz w:val="20"/>
        </w:rPr>
        <w:t>means any and all information, data, materials, and knowledge disclosed by Malvoya (the Disclosing Party) to the Recipient, whether in written, oral, visual, electronic, digital, coded, or any other form, that: (a) is marked or identified as "Confidential," "Proprietary," "Restricted," or similar designation at the time of disclosure; or (b) by its nature, content, or the circumstances of its disclosure, would be understood by a reasonable person in the relevant industry to be confidential or proprietary; or (c) is not generally known or available to the public through no fault of the Recipient.</w:t>
      </w:r>
    </w:p>
    <w:p>
      <w:pPr>
        <w:spacing w:after="120"/>
        <w:ind w:left="288"/>
      </w:pPr>
      <w:r>
        <w:rPr>
          <w:rFonts w:ascii="Calibri" w:hAnsi="Calibri"/>
          <w:b/>
          <w:i w:val="0"/>
          <w:color w:val="6C2BD9"/>
          <w:sz w:val="20"/>
        </w:rPr>
        <w:t xml:space="preserve">1.2  Confidential Information specifically includes::  </w:t>
      </w:r>
      <w:r>
        <w:rPr>
          <w:rFonts w:ascii="Calibri" w:hAnsi="Calibri"/>
          <w:b w:val="0"/>
          <w:i w:val="0"/>
          <w:color w:val="0A0A0A"/>
          <w:sz w:val="20"/>
        </w:rPr>
        <w:t>without limitation — (i) The Malvoya Platform's proprietary source code, algorithms, APIs, database schemas, and infrastructure (Firebase / Google Cloud); (ii) Business model, revenue model, pricing strategies, commission structures, and unit economics; (iii) Investor presentations, pitch decks, financial projections, cap table structures, and fundraising strategies; (iv) Merchant partnership strategies, onboarding terms, and the proprietary 5%–10% volume-based commission model; (v) Courier recruitment strategies, the €3.00 guaranteed base rate model, distance bonus formula, and fleet expansion plans; (vi) Customer acquisition strategies, analytics data, and retention models; (vii) Proprietary dispatch algorithms, geolocation routing logic, ETA calculation methods, and order-matching system specifications; (viii) Market expansion roadmaps for Nordic, Baltic, and broader EU markets; (ix) Personnel data, salary information, and organizational structure; (x) Any derivative works, analyses, or notes derived from any of the above.</w:t>
      </w:r>
    </w:p>
    <w:p>
      <w:pPr>
        <w:spacing w:after="120"/>
        <w:ind w:left="288"/>
      </w:pPr>
      <w:r>
        <w:rPr>
          <w:rFonts w:ascii="Calibri" w:hAnsi="Calibri"/>
          <w:b/>
          <w:i w:val="0"/>
          <w:color w:val="6C2BD9"/>
          <w:sz w:val="20"/>
        </w:rPr>
        <w:t xml:space="preserve">1.3  "Purpose":  </w:t>
      </w:r>
      <w:r>
        <w:rPr>
          <w:rFonts w:ascii="Calibri" w:hAnsi="Calibri"/>
          <w:b w:val="0"/>
          <w:i w:val="0"/>
          <w:color w:val="0A0A0A"/>
          <w:sz w:val="20"/>
        </w:rPr>
        <w:t>means the specific business discussions, evaluation, and/or commercial engagement for which the Recipient is receiving access to Confidential Information, as specified in the Recipient's designated Capacity / Role.</w:t>
      </w:r>
    </w:p>
    <w:p>
      <w:pPr>
        <w:spacing w:after="120"/>
        <w:ind w:left="288"/>
      </w:pPr>
      <w:r>
        <w:rPr>
          <w:rFonts w:ascii="Calibri" w:hAnsi="Calibri"/>
          <w:b/>
          <w:i w:val="0"/>
          <w:color w:val="6C2BD9"/>
          <w:sz w:val="20"/>
        </w:rPr>
        <w:t xml:space="preserve">1.4  "Malvoya Platform":  </w:t>
      </w:r>
      <w:r>
        <w:rPr>
          <w:rFonts w:ascii="Calibri" w:hAnsi="Calibri"/>
          <w:b w:val="0"/>
          <w:i w:val="0"/>
          <w:color w:val="0A0A0A"/>
          <w:sz w:val="20"/>
        </w:rPr>
        <w:t>means the ensemble of proprietary software products operated by Malvoya Oy, including the Malvoya Customer App, Malvoya Vendor/Merchant App, Malvoya Courier App, and Malvoya Admin Console.</w:t>
      </w:r>
    </w:p>
    <w:p>
      <w:pPr>
        <w:spacing w:after="120"/>
        <w:ind w:left="288"/>
      </w:pPr>
      <w:r>
        <w:rPr>
          <w:rFonts w:ascii="Calibri" w:hAnsi="Calibri"/>
          <w:b/>
          <w:i w:val="0"/>
          <w:color w:val="6C2BD9"/>
          <w:sz w:val="20"/>
        </w:rPr>
        <w:t xml:space="preserve">1.5  "Authorized Representatives":  </w:t>
      </w:r>
      <w:r>
        <w:rPr>
          <w:rFonts w:ascii="Calibri" w:hAnsi="Calibri"/>
          <w:b w:val="0"/>
          <w:i w:val="0"/>
          <w:color w:val="0A0A0A"/>
          <w:sz w:val="20"/>
        </w:rPr>
        <w:t>means the Recipient's employees, officers, directors, legal counsel, and financial advisors who (a) have a strict need to know the Confidential Information for the Purpose, and (b) are bound by obligations of confidentiality no less protective than those set forth herein.</w:t>
      </w:r>
    </w:p>
    <w:p>
      <w:pPr>
        <w:spacing w:before="80" w:after="80"/>
      </w:pPr>
      <w:r>
        <w:rPr>
          <w:rFonts w:ascii="Calibri" w:hAnsi="Calibri"/>
          <w:b w:val="0"/>
          <w:i w:val="0"/>
          <w:color w:val="CCCCCC"/>
          <w:sz w:val="16"/>
        </w:rPr>
        <w:t>──────────────────────────────────────────────────────────────────────────────────────────</w:t>
      </w:r>
    </w:p>
    <w:p>
      <w:pPr>
        <w:spacing w:before="360" w:after="120"/>
        <w:jc w:val="left"/>
      </w:pPr>
      <w:r>
        <w:rPr>
          <w:rFonts w:ascii="Calibri" w:hAnsi="Calibri"/>
          <w:b/>
          <w:i w:val="0"/>
          <w:color w:val="6C2BD9"/>
          <w:sz w:val="32"/>
        </w:rPr>
        <w:t>ARTICLE 2 — CONFIDENTIALITY OBLIGATIONS</w:t>
      </w:r>
    </w:p>
    <w:p>
      <w:pPr>
        <w:spacing w:after="120"/>
        <w:ind w:left="288"/>
      </w:pPr>
      <w:r>
        <w:rPr>
          <w:rFonts w:ascii="Calibri" w:hAnsi="Calibri"/>
          <w:b/>
          <w:i w:val="0"/>
          <w:color w:val="6C2BD9"/>
          <w:sz w:val="20"/>
        </w:rPr>
        <w:t xml:space="preserve">2.1  Non-Disclosure.  </w:t>
      </w:r>
      <w:r>
        <w:rPr>
          <w:rFonts w:ascii="Calibri" w:hAnsi="Calibri"/>
          <w:b w:val="0"/>
          <w:i w:val="0"/>
          <w:color w:val="0A0A0A"/>
          <w:sz w:val="20"/>
        </w:rPr>
        <w:t>The Recipient shall hold all Confidential Information in the strictest confidence and shall not, directly or indirectly: (a) disclose, reveal, publish, or make available any Confidential Information to any third party without Malvoya's prior express written consent; (b) use any Confidential Information for any purpose other than the Purpose; or (c) copy, reproduce, reverse engineer, or create derivative works from any Confidential Information.</w:t>
      </w:r>
    </w:p>
    <w:p>
      <w:pPr>
        <w:spacing w:after="120"/>
        <w:ind w:left="288"/>
      </w:pPr>
      <w:r>
        <w:rPr>
          <w:rFonts w:ascii="Calibri" w:hAnsi="Calibri"/>
          <w:b/>
          <w:i w:val="0"/>
          <w:color w:val="6C2BD9"/>
          <w:sz w:val="20"/>
        </w:rPr>
        <w:t xml:space="preserve">2.2  Standard of Care.  </w:t>
      </w:r>
      <w:r>
        <w:rPr>
          <w:rFonts w:ascii="Calibri" w:hAnsi="Calibri"/>
          <w:b w:val="0"/>
          <w:i w:val="0"/>
          <w:color w:val="0A0A0A"/>
          <w:sz w:val="20"/>
        </w:rPr>
        <w:t>The Recipient shall protect Confidential Information using no less than reasonable care consistent with Finnish industry standards, and in any event no less than the care it uses to protect its own most sensitive confidential information.</w:t>
      </w:r>
    </w:p>
    <w:p>
      <w:pPr>
        <w:spacing w:after="120"/>
        <w:ind w:left="288"/>
      </w:pPr>
      <w:r>
        <w:rPr>
          <w:rFonts w:ascii="Calibri" w:hAnsi="Calibri"/>
          <w:b/>
          <w:i w:val="0"/>
          <w:color w:val="6C2BD9"/>
          <w:sz w:val="20"/>
        </w:rPr>
        <w:t xml:space="preserve">2.3  Authorized Representatives.  </w:t>
      </w:r>
      <w:r>
        <w:rPr>
          <w:rFonts w:ascii="Calibri" w:hAnsi="Calibri"/>
          <w:b w:val="0"/>
          <w:i w:val="0"/>
          <w:color w:val="0A0A0A"/>
          <w:sz w:val="20"/>
        </w:rPr>
        <w:t>The Recipient may disclose Confidential Information only to Authorized Representatives, shall inform each of the confidential nature of the information, and shall remain fully liable for any breach by any Authorized Representative.</w:t>
      </w:r>
    </w:p>
    <w:p>
      <w:pPr>
        <w:spacing w:after="120"/>
        <w:ind w:left="288"/>
      </w:pPr>
      <w:r>
        <w:rPr>
          <w:rFonts w:ascii="Calibri" w:hAnsi="Calibri"/>
          <w:b/>
          <w:i w:val="0"/>
          <w:color w:val="6C2BD9"/>
          <w:sz w:val="20"/>
        </w:rPr>
        <w:t xml:space="preserve">2.4  Immediate Notification.  </w:t>
      </w:r>
      <w:r>
        <w:rPr>
          <w:rFonts w:ascii="Calibri" w:hAnsi="Calibri"/>
          <w:b w:val="0"/>
          <w:i w:val="0"/>
          <w:color w:val="0A0A0A"/>
          <w:sz w:val="20"/>
        </w:rPr>
        <w:t>In the event of any unauthorized disclosure or misuse of Confidential Information, the Recipient shall notify Malvoya in writing within 48 hours, providing full details and all remedial steps taken.</w:t>
      </w:r>
    </w:p>
    <w:p>
      <w:pPr>
        <w:spacing w:before="80" w:after="80"/>
      </w:pPr>
      <w:r>
        <w:rPr>
          <w:rFonts w:ascii="Calibri" w:hAnsi="Calibri"/>
          <w:b w:val="0"/>
          <w:i w:val="0"/>
          <w:color w:val="CCCCCC"/>
          <w:sz w:val="16"/>
        </w:rPr>
        <w:t>──────────────────────────────────────────────────────────────────────────────────────────</w:t>
      </w:r>
    </w:p>
    <w:p>
      <w:pPr>
        <w:spacing w:before="360" w:after="120"/>
        <w:jc w:val="left"/>
      </w:pPr>
      <w:r>
        <w:rPr>
          <w:rFonts w:ascii="Calibri" w:hAnsi="Calibri"/>
          <w:b/>
          <w:i w:val="0"/>
          <w:color w:val="6C2BD9"/>
          <w:sz w:val="32"/>
        </w:rPr>
        <w:t>ARTICLE 3 — EXCLUSIONS</w:t>
      </w:r>
    </w:p>
    <w:p>
      <w:pPr>
        <w:spacing w:after="120"/>
        <w:ind w:left="288"/>
      </w:pPr>
      <w:r>
        <w:rPr>
          <w:rFonts w:ascii="Calibri" w:hAnsi="Calibri"/>
          <w:b/>
          <w:i w:val="0"/>
          <w:color w:val="6C2BD9"/>
          <w:sz w:val="20"/>
        </w:rPr>
        <w:t xml:space="preserve">3.1  Excluded Information.  </w:t>
      </w:r>
      <w:r>
        <w:rPr>
          <w:rFonts w:ascii="Calibri" w:hAnsi="Calibri"/>
          <w:b w:val="0"/>
          <w:i w:val="0"/>
          <w:color w:val="0A0A0A"/>
          <w:sz w:val="20"/>
        </w:rPr>
        <w:t>The obligations herein shall not apply to information that: (a) was publicly available at the time of disclosure through no fault of Recipient; (b) was already known to Recipient prior to disclosure; (c) was independently developed by Recipient without use of Confidential Information; or (d) was lawfully received from a third party with no confidentiality obligation to Malvoya.</w:t>
      </w:r>
    </w:p>
    <w:p>
      <w:pPr>
        <w:spacing w:after="120"/>
        <w:ind w:left="288"/>
      </w:pPr>
      <w:r>
        <w:rPr>
          <w:rFonts w:ascii="Calibri" w:hAnsi="Calibri"/>
          <w:b/>
          <w:i w:val="0"/>
          <w:color w:val="6C2BD9"/>
          <w:sz w:val="20"/>
        </w:rPr>
        <w:t xml:space="preserve">3.2  Required Legal Disclosure.  </w:t>
      </w:r>
      <w:r>
        <w:rPr>
          <w:rFonts w:ascii="Calibri" w:hAnsi="Calibri"/>
          <w:b w:val="0"/>
          <w:i w:val="0"/>
          <w:color w:val="0A0A0A"/>
          <w:sz w:val="20"/>
        </w:rPr>
        <w:t>If legally compelled to disclose, the Recipient shall: (a) provide Malvoya at least 5 business days' prior written notice; (b) cooperate with Malvoya in seeking a protective order; and (c) disclose only the minimum portion legally required.</w:t>
      </w:r>
    </w:p>
    <w:p>
      <w:pPr>
        <w:spacing w:before="80" w:after="80"/>
      </w:pPr>
      <w:r>
        <w:rPr>
          <w:rFonts w:ascii="Calibri" w:hAnsi="Calibri"/>
          <w:b w:val="0"/>
          <w:i w:val="0"/>
          <w:color w:val="CCCCCC"/>
          <w:sz w:val="16"/>
        </w:rPr>
        <w:t>──────────────────────────────────────────────────────────────────────────────────────────</w:t>
      </w:r>
    </w:p>
    <w:p>
      <w:pPr>
        <w:spacing w:before="360" w:after="120"/>
        <w:jc w:val="left"/>
      </w:pPr>
      <w:r>
        <w:rPr>
          <w:rFonts w:ascii="Calibri" w:hAnsi="Calibri"/>
          <w:b/>
          <w:i w:val="0"/>
          <w:color w:val="6C2BD9"/>
          <w:sz w:val="32"/>
        </w:rPr>
        <w:t>ARTICLE 4 — INTELLECTUAL PROPERTY &amp; OWNERSHIP</w:t>
      </w:r>
    </w:p>
    <w:p>
      <w:pPr>
        <w:spacing w:after="120"/>
        <w:ind w:left="288"/>
      </w:pPr>
      <w:r>
        <w:rPr>
          <w:rFonts w:ascii="Calibri" w:hAnsi="Calibri"/>
          <w:b/>
          <w:i w:val="0"/>
          <w:color w:val="6C2BD9"/>
          <w:sz w:val="20"/>
        </w:rPr>
        <w:t xml:space="preserve">4.1  Retention of Ownership.  </w:t>
      </w:r>
      <w:r>
        <w:rPr>
          <w:rFonts w:ascii="Calibri" w:hAnsi="Calibri"/>
          <w:b w:val="0"/>
          <w:i w:val="0"/>
          <w:color w:val="0A0A0A"/>
          <w:sz w:val="20"/>
        </w:rPr>
        <w:t>All Confidential Information remains the sole and exclusive property of Malvoya Oy at all times. This Agreement grants no license, right, title, or interest in any Malvoya intellectual property.</w:t>
      </w:r>
    </w:p>
    <w:p>
      <w:pPr>
        <w:spacing w:after="120"/>
        <w:ind w:left="288"/>
      </w:pPr>
      <w:r>
        <w:rPr>
          <w:rFonts w:ascii="Calibri" w:hAnsi="Calibri"/>
          <w:b/>
          <w:i w:val="0"/>
          <w:color w:val="6C2BD9"/>
          <w:sz w:val="20"/>
        </w:rPr>
        <w:t xml:space="preserve">4.2  No License by Implication.  </w:t>
      </w:r>
      <w:r>
        <w:rPr>
          <w:rFonts w:ascii="Calibri" w:hAnsi="Calibri"/>
          <w:b w:val="0"/>
          <w:i w:val="0"/>
          <w:color w:val="0A0A0A"/>
          <w:sz w:val="20"/>
        </w:rPr>
        <w:t>Nothing herein shall be construed to grant any license to use Malvoya's trademarks, logos, or brand identifiers.</w:t>
      </w:r>
    </w:p>
    <w:p>
      <w:pPr>
        <w:spacing w:after="120"/>
        <w:ind w:left="288"/>
      </w:pPr>
      <w:r>
        <w:rPr>
          <w:rFonts w:ascii="Calibri" w:hAnsi="Calibri"/>
          <w:b/>
          <w:i w:val="0"/>
          <w:color w:val="6C2BD9"/>
          <w:sz w:val="20"/>
        </w:rPr>
        <w:t xml:space="preserve">4.3  Malvoya Platform IP.  </w:t>
      </w:r>
      <w:r>
        <w:rPr>
          <w:rFonts w:ascii="Calibri" w:hAnsi="Calibri"/>
          <w:b w:val="0"/>
          <w:i w:val="0"/>
          <w:color w:val="0A0A0A"/>
          <w:sz w:val="20"/>
        </w:rPr>
        <w:t>The Recipient acknowledges that the Malvoya Platform constitutes trade secrets. Reverse engineering, decompilation, or disassembly of any part of the Platform is strictly prohibited. Any feedback or suggestions communicated by the Recipient become the exclusive property of Malvoya Oy.</w:t>
      </w:r>
    </w:p>
    <w:p>
      <w:pPr>
        <w:spacing w:before="80" w:after="80"/>
      </w:pPr>
      <w:r>
        <w:rPr>
          <w:rFonts w:ascii="Calibri" w:hAnsi="Calibri"/>
          <w:b w:val="0"/>
          <w:i w:val="0"/>
          <w:color w:val="CCCCCC"/>
          <w:sz w:val="16"/>
        </w:rPr>
        <w:t>──────────────────────────────────────────────────────────────────────────────────────────</w:t>
      </w:r>
    </w:p>
    <w:p>
      <w:pPr>
        <w:spacing w:before="360" w:after="120"/>
        <w:jc w:val="left"/>
      </w:pPr>
      <w:r>
        <w:rPr>
          <w:rFonts w:ascii="Calibri" w:hAnsi="Calibri"/>
          <w:b/>
          <w:i w:val="0"/>
          <w:color w:val="6C2BD9"/>
          <w:sz w:val="32"/>
        </w:rPr>
        <w:t>ARTICLE 5 — NON-SOLICITATION &amp; NON-CIRCUMVENTION</w:t>
      </w:r>
    </w:p>
    <w:p>
      <w:pPr>
        <w:spacing w:after="120"/>
        <w:ind w:left="288"/>
      </w:pPr>
      <w:r>
        <w:rPr>
          <w:rFonts w:ascii="Calibri" w:hAnsi="Calibri"/>
          <w:b/>
          <w:i w:val="0"/>
          <w:color w:val="6C2BD9"/>
          <w:sz w:val="20"/>
        </w:rPr>
        <w:t xml:space="preserve">5.1  Non-Solicitation.  </w:t>
      </w:r>
      <w:r>
        <w:rPr>
          <w:rFonts w:ascii="Calibri" w:hAnsi="Calibri"/>
          <w:b w:val="0"/>
          <w:i w:val="0"/>
          <w:color w:val="0A0A0A"/>
          <w:sz w:val="20"/>
        </w:rPr>
        <w:t>For 24 months following expiration or termination, the Recipient shall not directly or indirectly recruit, hire, or solicit any Malvoya employee, contractor, merchant partner, or courier partner known through the Purpose.</w:t>
      </w:r>
    </w:p>
    <w:p>
      <w:pPr>
        <w:spacing w:after="120"/>
        <w:ind w:left="288"/>
      </w:pPr>
      <w:r>
        <w:rPr>
          <w:rFonts w:ascii="Calibri" w:hAnsi="Calibri"/>
          <w:b/>
          <w:i w:val="0"/>
          <w:color w:val="6C2BD9"/>
          <w:sz w:val="20"/>
        </w:rPr>
        <w:t xml:space="preserve">5.2  Non-Circumvention.  </w:t>
      </w:r>
      <w:r>
        <w:rPr>
          <w:rFonts w:ascii="Calibri" w:hAnsi="Calibri"/>
          <w:b w:val="0"/>
          <w:i w:val="0"/>
          <w:color w:val="0A0A0A"/>
          <w:sz w:val="20"/>
        </w:rPr>
        <w:t>The Recipient shall not use Confidential Information to: (a) replicate or build a competing platform; (b) contact Malvoya's merchants, couriers, or investors without prior written consent; or (c) circumvent Malvoya's role in any transaction originating from disclosed Confidential Information.</w:t>
      </w:r>
    </w:p>
    <w:p>
      <w:pPr>
        <w:spacing w:before="80" w:after="80"/>
      </w:pPr>
      <w:r>
        <w:rPr>
          <w:rFonts w:ascii="Calibri" w:hAnsi="Calibri"/>
          <w:b w:val="0"/>
          <w:i w:val="0"/>
          <w:color w:val="CCCCCC"/>
          <w:sz w:val="16"/>
        </w:rPr>
        <w:t>──────────────────────────────────────────────────────────────────────────────────────────</w:t>
      </w:r>
    </w:p>
    <w:p>
      <w:pPr>
        <w:spacing w:before="360" w:after="120"/>
        <w:jc w:val="left"/>
      </w:pPr>
      <w:r>
        <w:rPr>
          <w:rFonts w:ascii="Calibri" w:hAnsi="Calibri"/>
          <w:b/>
          <w:i w:val="0"/>
          <w:color w:val="6C2BD9"/>
          <w:sz w:val="32"/>
        </w:rPr>
        <w:t>ARTICLE 6 — TERM AND TERMINATION</w:t>
      </w:r>
    </w:p>
    <w:p>
      <w:pPr>
        <w:spacing w:after="120"/>
        <w:ind w:left="288"/>
      </w:pPr>
      <w:r>
        <w:rPr>
          <w:rFonts w:ascii="Calibri" w:hAnsi="Calibri"/>
          <w:b/>
          <w:i w:val="0"/>
          <w:color w:val="6C2BD9"/>
          <w:sz w:val="20"/>
        </w:rPr>
        <w:t xml:space="preserve">6.1  Duration.  </w:t>
      </w:r>
      <w:r>
        <w:rPr>
          <w:rFonts w:ascii="Calibri" w:hAnsi="Calibri"/>
          <w:b w:val="0"/>
          <w:i w:val="0"/>
          <w:color w:val="0A0A0A"/>
          <w:sz w:val="20"/>
        </w:rPr>
        <w:t>This Agreement is effective for three (3) years from the Effective Date unless earlier terminated.</w:t>
      </w:r>
    </w:p>
    <w:p>
      <w:pPr>
        <w:spacing w:after="120"/>
        <w:ind w:left="288"/>
      </w:pPr>
      <w:r>
        <w:rPr>
          <w:rFonts w:ascii="Calibri" w:hAnsi="Calibri"/>
          <w:b/>
          <w:i w:val="0"/>
          <w:color w:val="6C2BD9"/>
          <w:sz w:val="20"/>
        </w:rPr>
        <w:t xml:space="preserve">6.2  Survival.  </w:t>
      </w:r>
      <w:r>
        <w:rPr>
          <w:rFonts w:ascii="Calibri" w:hAnsi="Calibri"/>
          <w:b w:val="0"/>
          <w:i w:val="0"/>
          <w:color w:val="0A0A0A"/>
          <w:sz w:val="20"/>
        </w:rPr>
        <w:t>Confidentiality obligations survive for 3 years post-termination for general Confidential Information, and indefinitely for trade secrets under EU Directive 2016/943.</w:t>
      </w:r>
    </w:p>
    <w:p>
      <w:pPr>
        <w:spacing w:after="120"/>
        <w:ind w:left="288"/>
      </w:pPr>
      <w:r>
        <w:rPr>
          <w:rFonts w:ascii="Calibri" w:hAnsi="Calibri"/>
          <w:b/>
          <w:i w:val="0"/>
          <w:color w:val="6C2BD9"/>
          <w:sz w:val="20"/>
        </w:rPr>
        <w:t xml:space="preserve">6.3  Return / Destruction.  </w:t>
      </w:r>
      <w:r>
        <w:rPr>
          <w:rFonts w:ascii="Calibri" w:hAnsi="Calibri"/>
          <w:b w:val="0"/>
          <w:i w:val="0"/>
          <w:color w:val="0A0A0A"/>
          <w:sz w:val="20"/>
        </w:rPr>
        <w:t>Upon expiration or written request, the Recipient shall within 10 business days return or permanently destroy all Confidential Information (all copies, electronic and physical), and deliver a signed certification of full compliance.</w:t>
      </w:r>
    </w:p>
    <w:p>
      <w:pPr>
        <w:spacing w:before="80" w:after="80"/>
      </w:pPr>
      <w:r>
        <w:rPr>
          <w:rFonts w:ascii="Calibri" w:hAnsi="Calibri"/>
          <w:b w:val="0"/>
          <w:i w:val="0"/>
          <w:color w:val="CCCCCC"/>
          <w:sz w:val="16"/>
        </w:rPr>
        <w:t>──────────────────────────────────────────────────────────────────────────────────────────</w:t>
      </w:r>
    </w:p>
    <w:p>
      <w:pPr>
        <w:spacing w:before="360" w:after="120"/>
        <w:jc w:val="left"/>
      </w:pPr>
      <w:r>
        <w:rPr>
          <w:rFonts w:ascii="Calibri" w:hAnsi="Calibri"/>
          <w:b/>
          <w:i w:val="0"/>
          <w:color w:val="6C2BD9"/>
          <w:sz w:val="32"/>
        </w:rPr>
        <w:t>ARTICLE 7 — REMEDIES</w:t>
      </w:r>
    </w:p>
    <w:p>
      <w:pPr>
        <w:spacing w:after="120"/>
        <w:ind w:left="288"/>
      </w:pPr>
      <w:r>
        <w:rPr>
          <w:rFonts w:ascii="Calibri" w:hAnsi="Calibri"/>
          <w:b/>
          <w:i w:val="0"/>
          <w:color w:val="6C2BD9"/>
          <w:sz w:val="20"/>
        </w:rPr>
        <w:t xml:space="preserve">7.1  Irreparable Harm.  </w:t>
      </w:r>
      <w:r>
        <w:rPr>
          <w:rFonts w:ascii="Calibri" w:hAnsi="Calibri"/>
          <w:b w:val="0"/>
          <w:i w:val="0"/>
          <w:color w:val="0A0A0A"/>
          <w:sz w:val="20"/>
        </w:rPr>
        <w:t>The Recipient acknowledges that breach of this Agreement would cause immediate, irreparable harm to Malvoya for which monetary damages alone are an inadequate remedy.</w:t>
      </w:r>
    </w:p>
    <w:p>
      <w:pPr>
        <w:spacing w:after="120"/>
        <w:ind w:left="288"/>
      </w:pPr>
      <w:r>
        <w:rPr>
          <w:rFonts w:ascii="Calibri" w:hAnsi="Calibri"/>
          <w:b/>
          <w:i w:val="0"/>
          <w:color w:val="6C2BD9"/>
          <w:sz w:val="20"/>
        </w:rPr>
        <w:t xml:space="preserve">7.2  Injunctive Relief.  </w:t>
      </w:r>
      <w:r>
        <w:rPr>
          <w:rFonts w:ascii="Calibri" w:hAnsi="Calibri"/>
          <w:b w:val="0"/>
          <w:i w:val="0"/>
          <w:color w:val="0A0A0A"/>
          <w:sz w:val="20"/>
        </w:rPr>
        <w:t>Malvoya shall be entitled to seek immediate injunctive relief and specific performance without posting bond or proof of actual damages.</w:t>
      </w:r>
    </w:p>
    <w:p>
      <w:pPr>
        <w:spacing w:after="120"/>
        <w:ind w:left="288"/>
      </w:pPr>
      <w:r>
        <w:rPr>
          <w:rFonts w:ascii="Calibri" w:hAnsi="Calibri"/>
          <w:b/>
          <w:i w:val="0"/>
          <w:color w:val="6C2BD9"/>
          <w:sz w:val="20"/>
        </w:rPr>
        <w:t xml:space="preserve">7.3  Liquidated Damages.  </w:t>
      </w:r>
      <w:r>
        <w:rPr>
          <w:rFonts w:ascii="Calibri" w:hAnsi="Calibri"/>
          <w:b w:val="0"/>
          <w:i w:val="0"/>
          <w:color w:val="0A0A0A"/>
          <w:sz w:val="20"/>
        </w:rPr>
        <w:t>In the event of a proven material breach: (a) €25,000 per incident of unauthorized disclosure to a third party; (b) €75,000 per incident of using Confidential Information to build a competing product or circumvent Malvoya's business; (c) €150,000 per incident of unauthorized disclosure of Malvoya Platform source code, algorithms, or technical architecture. These represent genuine pre-estimates of loss, not a penalty.</w:t>
      </w:r>
    </w:p>
    <w:p>
      <w:pPr>
        <w:spacing w:after="120"/>
        <w:ind w:left="288"/>
      </w:pPr>
      <w:r>
        <w:rPr>
          <w:rFonts w:ascii="Calibri" w:hAnsi="Calibri"/>
          <w:b/>
          <w:i w:val="0"/>
          <w:color w:val="6C2BD9"/>
          <w:sz w:val="20"/>
        </w:rPr>
        <w:t xml:space="preserve">7.4  Cumulative Remedies.  </w:t>
      </w:r>
      <w:r>
        <w:rPr>
          <w:rFonts w:ascii="Calibri" w:hAnsi="Calibri"/>
          <w:b w:val="0"/>
          <w:i w:val="0"/>
          <w:color w:val="0A0A0A"/>
          <w:sz w:val="20"/>
        </w:rPr>
        <w:t>Rights and remedies are cumulative and in addition to all other rights available under applicable law.</w:t>
      </w:r>
    </w:p>
    <w:p>
      <w:pPr>
        <w:spacing w:before="80" w:after="80"/>
      </w:pPr>
      <w:r>
        <w:rPr>
          <w:rFonts w:ascii="Calibri" w:hAnsi="Calibri"/>
          <w:b w:val="0"/>
          <w:i w:val="0"/>
          <w:color w:val="CCCCCC"/>
          <w:sz w:val="16"/>
        </w:rPr>
        <w:t>──────────────────────────────────────────────────────────────────────────────────────────</w:t>
      </w:r>
    </w:p>
    <w:p>
      <w:pPr>
        <w:spacing w:before="360" w:after="120"/>
        <w:jc w:val="left"/>
      </w:pPr>
      <w:r>
        <w:rPr>
          <w:rFonts w:ascii="Calibri" w:hAnsi="Calibri"/>
          <w:b/>
          <w:i w:val="0"/>
          <w:color w:val="6C2BD9"/>
          <w:sz w:val="32"/>
        </w:rPr>
        <w:t>ARTICLE 8 — DATA PROTECTION &amp; GDPR</w:t>
      </w:r>
    </w:p>
    <w:p>
      <w:pPr>
        <w:spacing w:after="120"/>
        <w:ind w:left="288"/>
      </w:pPr>
      <w:r>
        <w:rPr>
          <w:rFonts w:ascii="Calibri" w:hAnsi="Calibri"/>
          <w:b/>
          <w:i w:val="0"/>
          <w:color w:val="6C2BD9"/>
          <w:sz w:val="20"/>
        </w:rPr>
        <w:t xml:space="preserve">8.1  Compliance.  </w:t>
      </w:r>
      <w:r>
        <w:rPr>
          <w:rFonts w:ascii="Calibri" w:hAnsi="Calibri"/>
          <w:b w:val="0"/>
          <w:i w:val="0"/>
          <w:color w:val="0A0A0A"/>
          <w:sz w:val="20"/>
        </w:rPr>
        <w:t>Each Party shall comply with EU GDPR (2016/679), the Finnish Data Protection Act (1050/2018), and all guidance of the Finnish Data Protection Ombudsman.</w:t>
      </w:r>
    </w:p>
    <w:p>
      <w:pPr>
        <w:spacing w:after="120"/>
        <w:ind w:left="288"/>
      </w:pPr>
      <w:r>
        <w:rPr>
          <w:rFonts w:ascii="Calibri" w:hAnsi="Calibri"/>
          <w:b/>
          <w:i w:val="0"/>
          <w:color w:val="6C2BD9"/>
          <w:sz w:val="20"/>
        </w:rPr>
        <w:t xml:space="preserve">8.2  Personal Data.  </w:t>
      </w:r>
      <w:r>
        <w:rPr>
          <w:rFonts w:ascii="Calibri" w:hAnsi="Calibri"/>
          <w:b w:val="0"/>
          <w:i w:val="0"/>
          <w:color w:val="0A0A0A"/>
          <w:sz w:val="20"/>
        </w:rPr>
        <w:t>To the extent Confidential Information includes personal data, the Recipient shall: (a) process only as strictly necessary for the Purpose; (b) implement appropriate technical and organizational security measures; (c) not transfer outside the EEA without appropriate GDPR Chapter V safeguards; and (d) notify Malvoya of any personal data breach within 72 hours.</w:t>
      </w:r>
    </w:p>
    <w:p>
      <w:pPr>
        <w:spacing w:before="80" w:after="80"/>
      </w:pPr>
      <w:r>
        <w:rPr>
          <w:rFonts w:ascii="Calibri" w:hAnsi="Calibri"/>
          <w:b w:val="0"/>
          <w:i w:val="0"/>
          <w:color w:val="CCCCCC"/>
          <w:sz w:val="16"/>
        </w:rPr>
        <w:t>──────────────────────────────────────────────────────────────────────────────────────────</w:t>
      </w:r>
    </w:p>
    <w:p>
      <w:pPr>
        <w:spacing w:before="360" w:after="120"/>
        <w:jc w:val="left"/>
      </w:pPr>
      <w:r>
        <w:rPr>
          <w:rFonts w:ascii="Calibri" w:hAnsi="Calibri"/>
          <w:b/>
          <w:i w:val="0"/>
          <w:color w:val="6C2BD9"/>
          <w:sz w:val="32"/>
        </w:rPr>
        <w:t>ARTICLE 9 — GENERAL PROVISIONS</w:t>
      </w:r>
    </w:p>
    <w:p>
      <w:pPr>
        <w:spacing w:after="120"/>
        <w:ind w:left="288"/>
      </w:pPr>
      <w:r>
        <w:rPr>
          <w:rFonts w:ascii="Calibri" w:hAnsi="Calibri"/>
          <w:b/>
          <w:i w:val="0"/>
          <w:color w:val="6C2BD9"/>
          <w:sz w:val="20"/>
        </w:rPr>
        <w:t xml:space="preserve">9.1  Governing Law.  </w:t>
      </w:r>
      <w:r>
        <w:rPr>
          <w:rFonts w:ascii="Calibri" w:hAnsi="Calibri"/>
          <w:b w:val="0"/>
          <w:i w:val="0"/>
          <w:color w:val="0A0A0A"/>
          <w:sz w:val="20"/>
        </w:rPr>
        <w:t>This Agreement is governed exclusively by the laws of the Republic of Finland.</w:t>
      </w:r>
    </w:p>
    <w:p>
      <w:pPr>
        <w:spacing w:after="120"/>
        <w:ind w:left="288"/>
      </w:pPr>
      <w:r>
        <w:rPr>
          <w:rFonts w:ascii="Calibri" w:hAnsi="Calibri"/>
          <w:b/>
          <w:i w:val="0"/>
          <w:color w:val="6C2BD9"/>
          <w:sz w:val="20"/>
        </w:rPr>
        <w:t xml:space="preserve">9.2  Dispute Resolution.  </w:t>
      </w:r>
      <w:r>
        <w:rPr>
          <w:rFonts w:ascii="Calibri" w:hAnsi="Calibri"/>
          <w:b w:val="0"/>
          <w:i w:val="0"/>
          <w:color w:val="0A0A0A"/>
          <w:sz w:val="20"/>
        </w:rPr>
        <w:t>Disputes shall be settled by the Helsinki District Court as first instance, or by FAI arbitration if the Parties mutually agree within 30 days of dispute arising.</w:t>
      </w:r>
    </w:p>
    <w:p>
      <w:pPr>
        <w:spacing w:after="120"/>
        <w:ind w:left="288"/>
      </w:pPr>
      <w:r>
        <w:rPr>
          <w:rFonts w:ascii="Calibri" w:hAnsi="Calibri"/>
          <w:b/>
          <w:i w:val="0"/>
          <w:color w:val="6C2BD9"/>
          <w:sz w:val="20"/>
        </w:rPr>
        <w:t xml:space="preserve">9.3  Entire Agreement.  </w:t>
      </w:r>
      <w:r>
        <w:rPr>
          <w:rFonts w:ascii="Calibri" w:hAnsi="Calibri"/>
          <w:b w:val="0"/>
          <w:i w:val="0"/>
          <w:color w:val="0A0A0A"/>
          <w:sz w:val="20"/>
        </w:rPr>
        <w:t>This Agreement constitutes the entire agreement of the Parties and supersedes all prior negotiations and understandings on this subject matter.</w:t>
      </w:r>
    </w:p>
    <w:p>
      <w:pPr>
        <w:spacing w:after="120"/>
        <w:ind w:left="288"/>
      </w:pPr>
      <w:r>
        <w:rPr>
          <w:rFonts w:ascii="Calibri" w:hAnsi="Calibri"/>
          <w:b/>
          <w:i w:val="0"/>
          <w:color w:val="6C2BD9"/>
          <w:sz w:val="20"/>
        </w:rPr>
        <w:t xml:space="preserve">9.4  Amendment.  </w:t>
      </w:r>
      <w:r>
        <w:rPr>
          <w:rFonts w:ascii="Calibri" w:hAnsi="Calibri"/>
          <w:b w:val="0"/>
          <w:i w:val="0"/>
          <w:color w:val="0A0A0A"/>
          <w:sz w:val="20"/>
        </w:rPr>
        <w:t>Amendments require a written instrument signed by authorized representatives of both Parties.</w:t>
      </w:r>
    </w:p>
    <w:p>
      <w:pPr>
        <w:spacing w:after="120"/>
        <w:ind w:left="288"/>
      </w:pPr>
      <w:r>
        <w:rPr>
          <w:rFonts w:ascii="Calibri" w:hAnsi="Calibri"/>
          <w:b/>
          <w:i w:val="0"/>
          <w:color w:val="6C2BD9"/>
          <w:sz w:val="20"/>
        </w:rPr>
        <w:t xml:space="preserve">9.5  Severability.  </w:t>
      </w:r>
      <w:r>
        <w:rPr>
          <w:rFonts w:ascii="Calibri" w:hAnsi="Calibri"/>
          <w:b w:val="0"/>
          <w:i w:val="0"/>
          <w:color w:val="0A0A0A"/>
          <w:sz w:val="20"/>
        </w:rPr>
        <w:t>Invalid provisions shall be replaced by valid provisions most closely approximating the original intent. Remaining provisions remain in full force.</w:t>
      </w:r>
    </w:p>
    <w:p>
      <w:pPr>
        <w:spacing w:after="120"/>
        <w:ind w:left="288"/>
      </w:pPr>
      <w:r>
        <w:rPr>
          <w:rFonts w:ascii="Calibri" w:hAnsi="Calibri"/>
          <w:b/>
          <w:i w:val="0"/>
          <w:color w:val="6C2BD9"/>
          <w:sz w:val="20"/>
        </w:rPr>
        <w:t xml:space="preserve">9.6  Assignment.  </w:t>
      </w:r>
      <w:r>
        <w:rPr>
          <w:rFonts w:ascii="Calibri" w:hAnsi="Calibri"/>
          <w:b w:val="0"/>
          <w:i w:val="0"/>
          <w:color w:val="0A0A0A"/>
          <w:sz w:val="20"/>
        </w:rPr>
        <w:t>The Recipient may not assign any rights or obligations without Malvoya's prior written consent. Any unauthorized assignment is null and void.</w:t>
      </w:r>
    </w:p>
    <w:p>
      <w:pPr>
        <w:spacing w:after="120"/>
        <w:ind w:left="288"/>
      </w:pPr>
      <w:r>
        <w:rPr>
          <w:rFonts w:ascii="Calibri" w:hAnsi="Calibri"/>
          <w:b/>
          <w:i w:val="0"/>
          <w:color w:val="6C2BD9"/>
          <w:sz w:val="20"/>
        </w:rPr>
        <w:t xml:space="preserve">9.7  Electronic Signature.  </w:t>
      </w:r>
      <w:r>
        <w:rPr>
          <w:rFonts w:ascii="Calibri" w:hAnsi="Calibri"/>
          <w:b w:val="0"/>
          <w:i w:val="0"/>
          <w:color w:val="0A0A0A"/>
          <w:sz w:val="20"/>
        </w:rPr>
        <w:t>Electronic signatures (DocuSign, Signicat, scanned wet-ink) are legally binding under eIDAS Regulation (EU) No 910/2014 and Finnish Act on Electronic Signatures (14/2003).</w:t>
      </w:r>
    </w:p>
    <w:p>
      <w:pPr>
        <w:spacing w:before="80" w:after="80"/>
      </w:pPr>
      <w:r>
        <w:rPr>
          <w:rFonts w:ascii="Calibri" w:hAnsi="Calibri"/>
          <w:b w:val="0"/>
          <w:i w:val="0"/>
          <w:color w:val="CCCCCC"/>
          <w:sz w:val="16"/>
        </w:rPr>
        <w:t>──────────────────────────────────────────────────────────────────────────────────────────</w:t>
      </w:r>
    </w:p>
    <w:p>
      <w:pPr>
        <w:spacing w:before="360" w:after="120"/>
        <w:jc w:val="left"/>
      </w:pPr>
      <w:r>
        <w:rPr>
          <w:rFonts w:ascii="Calibri" w:hAnsi="Calibri"/>
          <w:b/>
          <w:i w:val="0"/>
          <w:color w:val="6C2BD9"/>
          <w:sz w:val="32"/>
        </w:rPr>
        <w:t>ARTICLE 10 — ACKNOWLEDGMENT</w:t>
      </w:r>
    </w:p>
    <w:p>
      <w:pPr>
        <w:spacing w:after="120"/>
        <w:ind w:left="288"/>
      </w:pPr>
      <w:r>
        <w:rPr>
          <w:rFonts w:ascii="Calibri" w:hAnsi="Calibri"/>
          <w:b w:val="0"/>
          <w:i w:val="0"/>
          <w:color w:val="0A0A0A"/>
          <w:sz w:val="20"/>
        </w:rPr>
        <w:t>By signing below, the Parties acknowledge that they have read, understood, and agree to be bound by all terms and conditions of this Non-Disclosure and Confidentiality Agreement.</w:t>
      </w:r>
    </w:p>
    <w:p>
      <w:pPr>
        <w:spacing w:before="80" w:after="80"/>
      </w:pPr>
      <w:r>
        <w:rPr>
          <w:rFonts w:ascii="Calibri" w:hAnsi="Calibri"/>
          <w:b w:val="0"/>
          <w:i w:val="0"/>
          <w:color w:val="CCCCCC"/>
          <w:sz w:val="16"/>
        </w:rPr>
        <w:t>──────────────────────────────────────────────────────────────────────────────────────────</w:t>
      </w:r>
    </w:p>
    <w:p>
      <w:pPr>
        <w:spacing w:before="360" w:after="120"/>
        <w:jc w:val="left"/>
      </w:pPr>
      <w:r>
        <w:rPr>
          <w:rFonts w:ascii="Calibri" w:hAnsi="Calibri"/>
          <w:b/>
          <w:i w:val="0"/>
          <w:color w:val="6C2BD9"/>
          <w:sz w:val="32"/>
        </w:rPr>
        <w:t>SIGNATURES</w:t>
      </w:r>
    </w:p>
    <w:tbl>
      <w:tblPr>
        <w:tblStyle w:val="TableGrid"/>
        <w:tblW w:type="auto" w:w="0"/>
        <w:jc w:val="center"/>
        <w:tblLook w:firstColumn="1" w:firstRow="1" w:lastColumn="0" w:lastRow="0" w:noHBand="0" w:noVBand="1" w:val="04A0"/>
      </w:tblPr>
      <w:tblGrid>
        <w:gridCol w:w="4419"/>
        <w:gridCol w:w="4419"/>
      </w:tblGrid>
      <w:tr>
        <w:tc>
          <w:tcPr>
            <w:tcW w:type="dxa" w:w="4419"/>
          </w:tcPr>
          <w:p>
            <w:r>
              <w:rPr>
                <w:rFonts w:ascii="Calibri" w:hAnsi="Calibri"/>
                <w:b/>
                <w:i w:val="0"/>
                <w:color w:val="6C2BD9"/>
                <w:sz w:val="22"/>
              </w:rPr>
              <w:t>DISCLOSING PARTY — MALVOYA OY</w:t>
              <w:br/>
            </w:r>
            <w:r>
              <w:rPr>
                <w:rFonts w:ascii="Calibri" w:hAnsi="Calibri"/>
                <w:b w:val="0"/>
                <w:i w:val="0"/>
                <w:color w:val="0A0A0A"/>
                <w:sz w:val="20"/>
              </w:rPr>
              <w:br/>
              <w:t>Signature:</w:t>
              <w:br/>
              <w:t>______________________________________</w:t>
              <w:br/>
            </w:r>
            <w:r>
              <w:rPr>
                <w:rFonts w:ascii="Calibri" w:hAnsi="Calibri"/>
                <w:b w:val="0"/>
                <w:i w:val="0"/>
                <w:color w:val="0A0A0A"/>
                <w:sz w:val="20"/>
              </w:rPr>
              <w:br/>
              <w:t>Full Name:</w:t>
              <w:br/>
              <w:t>______________________________________</w:t>
              <w:br/>
            </w:r>
            <w:r>
              <w:rPr>
                <w:rFonts w:ascii="Calibri" w:hAnsi="Calibri"/>
                <w:b w:val="0"/>
                <w:i w:val="0"/>
                <w:color w:val="0A0A0A"/>
                <w:sz w:val="20"/>
              </w:rPr>
              <w:br/>
              <w:t>Title:</w:t>
              <w:br/>
              <w:t>______________________________________</w:t>
              <w:br/>
            </w:r>
            <w:r>
              <w:rPr>
                <w:rFonts w:ascii="Calibri" w:hAnsi="Calibri"/>
                <w:b w:val="0"/>
                <w:i w:val="0"/>
                <w:color w:val="0A0A0A"/>
                <w:sz w:val="20"/>
              </w:rPr>
              <w:br/>
              <w:t>Date:</w:t>
              <w:br/>
              <w:t>______________________________________</w:t>
              <w:br/>
            </w:r>
            <w:r>
              <w:rPr>
                <w:rFonts w:ascii="Calibri" w:hAnsi="Calibri"/>
                <w:b w:val="0"/>
                <w:i w:val="0"/>
                <w:color w:val="0A0A0A"/>
                <w:sz w:val="20"/>
              </w:rPr>
              <w:br/>
              <w:t>Place: Helsinki, Finland</w:t>
              <w:br/>
              <w:t>______________________________________</w:t>
              <w:br/>
            </w:r>
          </w:p>
        </w:tc>
        <w:tc>
          <w:tcPr>
            <w:tcW w:type="dxa" w:w="4419"/>
          </w:tcPr>
          <w:p>
            <w:r>
              <w:rPr>
                <w:rFonts w:ascii="Calibri" w:hAnsi="Calibri"/>
                <w:b/>
                <w:i w:val="0"/>
                <w:color w:val="0D6E4F"/>
                <w:sz w:val="22"/>
              </w:rPr>
              <w:t>RECEIVING PARTY — RECIPIENT</w:t>
              <w:br/>
            </w:r>
            <w:r>
              <w:rPr>
                <w:rFonts w:ascii="Calibri" w:hAnsi="Calibri"/>
                <w:b w:val="0"/>
                <w:i w:val="0"/>
                <w:color w:val="0A0A0A"/>
                <w:sz w:val="20"/>
              </w:rPr>
              <w:br/>
              <w:t>Signature:</w:t>
              <w:br/>
              <w:t>______________________________________</w:t>
              <w:br/>
            </w:r>
            <w:r>
              <w:rPr>
                <w:rFonts w:ascii="Calibri" w:hAnsi="Calibri"/>
                <w:b w:val="0"/>
                <w:i w:val="0"/>
                <w:color w:val="0A0A0A"/>
                <w:sz w:val="20"/>
              </w:rPr>
              <w:br/>
              <w:t>Full Name:</w:t>
              <w:br/>
              <w:t>______________________________________</w:t>
              <w:br/>
            </w:r>
            <w:r>
              <w:rPr>
                <w:rFonts w:ascii="Calibri" w:hAnsi="Calibri"/>
                <w:b w:val="0"/>
                <w:i w:val="0"/>
                <w:color w:val="0A0A0A"/>
                <w:sz w:val="20"/>
              </w:rPr>
              <w:br/>
              <w:t>Title / Capacity:</w:t>
              <w:br/>
              <w:t>______________________________________</w:t>
              <w:br/>
            </w:r>
            <w:r>
              <w:rPr>
                <w:rFonts w:ascii="Calibri" w:hAnsi="Calibri"/>
                <w:b w:val="0"/>
                <w:i w:val="0"/>
                <w:color w:val="0A0A0A"/>
                <w:sz w:val="20"/>
              </w:rPr>
              <w:br/>
              <w:t>Identity / Business ID:</w:t>
              <w:br/>
              <w:t>______________________________________</w:t>
              <w:br/>
            </w:r>
            <w:r>
              <w:rPr>
                <w:rFonts w:ascii="Calibri" w:hAnsi="Calibri"/>
                <w:b w:val="0"/>
                <w:i w:val="0"/>
                <w:color w:val="0A0A0A"/>
                <w:sz w:val="20"/>
              </w:rPr>
              <w:br/>
              <w:t>Date:</w:t>
              <w:br/>
              <w:t>______________________________________</w:t>
              <w:br/>
            </w:r>
            <w:r>
              <w:rPr>
                <w:rFonts w:ascii="Calibri" w:hAnsi="Calibri"/>
                <w:b w:val="0"/>
                <w:i w:val="0"/>
                <w:color w:val="0A0A0A"/>
                <w:sz w:val="20"/>
              </w:rPr>
              <w:br/>
              <w:t>Place:</w:t>
              <w:br/>
              <w:t>______________________________________</w:t>
              <w:br/>
            </w:r>
          </w:p>
        </w:tc>
      </w:tr>
    </w:tbl>
    <w:p/>
    <w:p>
      <w:pPr>
        <w:spacing w:before="240" w:after="80"/>
        <w:jc w:val="left"/>
      </w:pPr>
      <w:r>
        <w:rPr>
          <w:rFonts w:ascii="Calibri" w:hAnsi="Calibri"/>
          <w:b/>
          <w:i w:val="0"/>
          <w:color w:val="4B5563"/>
          <w:sz w:val="26"/>
        </w:rPr>
        <w:t>WITNESS (Optional — Recommended for Investor Agreements)</w:t>
      </w:r>
    </w:p>
    <w:tbl>
      <w:tblPr>
        <w:tblStyle w:val="TableGrid"/>
        <w:tblW w:type="auto" w:w="0"/>
        <w:jc w:val="center"/>
        <w:tblLook w:firstColumn="1" w:firstRow="1" w:lastColumn="0" w:lastRow="0" w:noHBand="0" w:noVBand="1" w:val="04A0"/>
      </w:tblPr>
      <w:tblGrid>
        <w:gridCol w:w="4419"/>
        <w:gridCol w:w="4419"/>
      </w:tblGrid>
      <w:tr>
        <w:tc>
          <w:tcPr>
            <w:tcW w:type="dxa" w:w="4419"/>
          </w:tcPr>
          <w:p/>
          <w:p>
            <w:r>
              <w:rPr>
                <w:rFonts w:ascii="Calibri" w:hAnsi="Calibri"/>
                <w:b w:val="0"/>
                <w:i w:val="0"/>
                <w:color w:val="0A0A0A"/>
                <w:sz w:val="20"/>
              </w:rPr>
              <w:t>Witness Signature:</w:t>
              <w:br/>
              <w:t>______________________________________</w:t>
              <w:br/>
            </w:r>
          </w:p>
          <w:p>
            <w:r>
              <w:rPr>
                <w:rFonts w:ascii="Calibri" w:hAnsi="Calibri"/>
                <w:b w:val="0"/>
                <w:i w:val="0"/>
                <w:color w:val="0A0A0A"/>
                <w:sz w:val="20"/>
              </w:rPr>
              <w:t>Witness Full Name:</w:t>
              <w:br/>
              <w:t>______________________________________</w:t>
              <w:br/>
            </w:r>
          </w:p>
          <w:p>
            <w:r>
              <w:rPr>
                <w:rFonts w:ascii="Calibri" w:hAnsi="Calibri"/>
                <w:b w:val="0"/>
                <w:i w:val="0"/>
                <w:color w:val="0A0A0A"/>
                <w:sz w:val="20"/>
              </w:rPr>
              <w:t>Date:</w:t>
              <w:br/>
              <w:t>______________________________________</w:t>
              <w:br/>
            </w:r>
          </w:p>
          <w:p>
            <w:r>
              <w:rPr>
                <w:rFonts w:ascii="Calibri" w:hAnsi="Calibri"/>
                <w:b w:val="0"/>
                <w:i w:val="0"/>
                <w:color w:val="0A0A0A"/>
                <w:sz w:val="20"/>
              </w:rPr>
              <w:t>Place:</w:t>
              <w:br/>
              <w:t>______________________________________</w:t>
              <w:br/>
            </w:r>
          </w:p>
        </w:tc>
        <w:tc>
          <w:tcPr>
            <w:tcW w:type="dxa" w:w="4419"/>
          </w:tcPr>
          <w:p/>
        </w:tc>
      </w:tr>
    </w:tbl>
    <w:p/>
    <w:p>
      <w:pPr>
        <w:jc w:val="center"/>
      </w:pPr>
      <w:r>
        <w:rPr>
          <w:rFonts w:ascii="Calibri" w:hAnsi="Calibri"/>
          <w:b w:val="0"/>
          <w:i/>
          <w:color w:val="4B5563"/>
          <w:sz w:val="16"/>
        </w:rPr>
        <w:t>MALVOYA OY  |  Helsinki, Finland  |  STRICTLY CONFIDENTIAL &amp; PROPRIETARY</w:t>
        <w:br/>
        <w:t>Unauthorized reproduction or distribution of this document is prohibited.</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