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500"/>
      </w:pPr>
    </w:p>
    <w:p>
      <w:pPr>
        <w:jc w:val="center"/>
      </w:pPr>
      <w:r>
        <w:rPr>
          <w:rFonts w:ascii="Times New Roman" w:cs="Times New Roman" w:eastAsia="Times New Roman" w:hAnsi="Times New Roman"/>
          <w:color w:val="C19A6B"/>
          <w:sz w:val="28"/>
          <w:szCs w:val="28"/>
        </w:rPr>
        <w:t xml:space="preserve">ИНТЕГРИРОВАННАЯ МЕТОДОЛОГИЯ</w:t>
      </w:r>
    </w:p>
    <w:p>
      <w:pPr>
        <w:spacing w:before="400"/>
      </w:pPr>
    </w:p>
    <w:p>
      <w:pPr>
        <w:jc w:val="center"/>
      </w:pPr>
      <w:r>
        <w:rPr>
          <w:rFonts w:ascii="Times New Roman" w:cs="Times New Roman" w:eastAsia="Times New Roman" w:hAnsi="Times New Roman"/>
          <w:b/>
          <w:bCs/>
          <w:color w:val="26211F"/>
          <w:sz w:val="72"/>
          <w:szCs w:val="72"/>
        </w:rPr>
        <w:t xml:space="preserve">LD2 + Dynamic Artifacts</w:t>
      </w:r>
    </w:p>
    <w:p>
      <w:pPr>
        <w:spacing w:before="200"/>
        <w:jc w:val="center"/>
      </w:pPr>
      <w:r>
        <w:rPr>
          <w:rFonts w:ascii="Times New Roman" w:cs="Times New Roman" w:eastAsia="Times New Roman" w:hAnsi="Times New Roman"/>
          <w:color w:val="6B6361"/>
          <w:sz w:val="36"/>
          <w:szCs w:val="36"/>
        </w:rPr>
        <w:t xml:space="preserve">Предиктивная система лояльности</w:t>
      </w:r>
    </w:p>
    <w:p>
      <w:pPr>
        <w:spacing w:before="100"/>
        <w:jc w:val="center"/>
      </w:pPr>
      <w:r>
        <w:rPr>
          <w:rFonts w:ascii="Times New Roman" w:cs="Times New Roman" w:eastAsia="Times New Roman" w:hAnsi="Times New Roman"/>
          <w:color w:val="6B6361"/>
          <w:sz w:val="36"/>
          <w:szCs w:val="36"/>
        </w:rPr>
        <w:t xml:space="preserve">на основе динамических артефактов</w:t>
      </w:r>
    </w:p>
    <w:p>
      <w:pPr>
        <w:spacing w:before="2000"/>
      </w:pPr>
    </w:p>
    <w:p>
      <w:pPr>
        <w:jc w:val="center"/>
      </w:pPr>
      <w:r>
        <w:rPr>
          <w:rFonts w:ascii="Times New Roman" w:cs="Times New Roman" w:eastAsia="Times New Roman" w:hAnsi="Times New Roman"/>
          <w:i/>
          <w:iCs/>
          <w:color w:val="3D3735"/>
          <w:sz w:val="24"/>
          <w:szCs w:val="24"/>
        </w:rPr>
        <w:t xml:space="preserve">Объединение стратегической методологии лояльности</w:t>
      </w:r>
    </w:p>
    <w:p>
      <w:pPr>
        <w:jc w:val="center"/>
      </w:pPr>
      <w:r>
        <w:rPr>
          <w:rFonts w:ascii="Times New Roman" w:cs="Times New Roman" w:eastAsia="Times New Roman" w:hAnsi="Times New Roman"/>
          <w:i/>
          <w:iCs/>
          <w:color w:val="3D3735"/>
          <w:sz w:val="24"/>
          <w:szCs w:val="24"/>
        </w:rPr>
        <w:t xml:space="preserve">с технической методологией предиктивного анализа</w:t>
      </w:r>
    </w:p>
    <w:p>
      <w:pPr>
        <w:spacing w:before="2500"/>
      </w:pPr>
    </w:p>
    <w:p>
      <w:pPr>
        <w:jc w:val="center"/>
      </w:pPr>
      <w:r>
        <w:rPr>
          <w:rFonts w:ascii="Times New Roman" w:cs="Times New Roman" w:eastAsia="Times New Roman" w:hAnsi="Times New Roman"/>
          <w:color w:val="C19A6B"/>
          <w:sz w:val="28"/>
          <w:szCs w:val="28"/>
        </w:rPr>
        <w:t xml:space="preserve">Версия 1.0  |  2025</w:t>
      </w:r>
    </w:p>
    <w:p>
      <w:pPr>
        <w:sectPr>
          <w:pgSz w:w="11906" w:h="16838" w:orient="portrait"/>
          <w:pgMar w:top="0" w:right="0" w:bottom="0" w:left="0" w:header="708" w:footer="708" w:gutter="0"/>
          <w:pgNumType/>
          <w:docGrid w:linePitch="360"/>
        </w:sectPr>
      </w:pPr>
    </w:p>
    <w:sdt>
      <w:sdtPr>
        <w:alias w:val="Содержание"/>
      </w:sdtPr>
      <w:sdtContent>
        <w:p>
          <w:r>
            <w:fldChar w:fldCharType="begin" w:dirty="true"/>
          </w:r>
          <w:r>
            <w:instrText xml:space="preserve">TOC \h \o "1-3"</w:instrText>
          </w:r>
          <w:r>
            <w:fldChar w:fldCharType="separate"/>
          </w:r>
        </w:p>
        <w:p>
          <w:pPr>
            <w:pStyle w:val="9"/>
            <w:tabs>
              <w:tab w:val="right" w:leader="dot" w:pos="9026"/>
            </w:tabs>
            <w:spacing w:before="120" w:after="60"/>
          </w:pPr>
          <w:r>
            <w:t>ЧАСТЬ I. ТЕОРЕТИЧЕСКИЕ ОСНОВЫ</w:t>
          </w:r>
          <w:r>
            <w:tab/>
          </w:r>
          <w:r>
            <w:t>3</w:t>
          </w:r>
        </w:p>
        <w:p>
          <w:pPr>
            <w:pStyle w:val="9"/>
            <w:tabs>
              <w:tab w:val="right" w:leader="dot" w:pos="9026"/>
            </w:tabs>
            <w:spacing w:before="120" w:after="60"/>
          </w:pPr>
          <w:hyperlink w:anchor="_Toc100000" w:history="1">
            <w:r>
              <w:rPr>
                <w:rStyle w:val="Hyperlink"/>
              </w:rPr>
              <w:t>1. Введение: две методологии — одна цель</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2. Архитектура интеграции</w:t>
            </w:r>
            <w:r>
              <w:tab/>
            </w:r>
            <w:r>
              <w:fldChar w:fldCharType="begin"/>
            </w:r>
            <w:r>
              <w:instrText xml:space="preserve"> PAGEREF _Toc100003 \h </w:instrText>
            </w:r>
            <w:r>
              <w:fldChar w:fldCharType="separate"/>
            </w:r>
            <w:r>
              <w:t>5</w:t>
            </w:r>
            <w:r>
              <w:fldChar w:fldCharType="end"/>
            </w:r>
          </w:hyperlink>
        </w:p>
        <w:p>
          <w:pPr>
            <w:pStyle w:val="9"/>
            <w:tabs>
              <w:tab w:val="right" w:leader="dot" w:pos="9026"/>
            </w:tabs>
            <w:spacing w:before="120" w:after="60"/>
          </w:pPr>
          <w:r>
            <w:t>ЧАСТЬ II. ТЕХНИЧЕСКАЯ РЕАЛИЗАЦИЯ</w:t>
          </w:r>
          <w:r>
            <w:tab/>
          </w:r>
          <w:r>
            <w:t>8</w:t>
          </w:r>
        </w:p>
        <w:p>
          <w:pPr>
            <w:pStyle w:val="9"/>
            <w:tabs>
              <w:tab w:val="right" w:leader="dot" w:pos="9026"/>
            </w:tabs>
            <w:spacing w:before="120" w:after="60"/>
          </w:pPr>
          <w:hyperlink w:anchor="_Toc100005" w:history="1">
            <w:r>
              <w:rPr>
                <w:rStyle w:val="Hyperlink"/>
              </w:rPr>
              <w:t>3. Этап 1: Сбор и подготовка данных</w:t>
            </w:r>
            <w:r>
              <w:tab/>
            </w:r>
            <w:r>
              <w:fldChar w:fldCharType="begin"/>
            </w:r>
            <w:r>
              <w:instrText xml:space="preserve"> PAGEREF _Toc100005 \h </w:instrText>
            </w:r>
            <w:r>
              <w:fldChar w:fldCharType="separate"/>
            </w:r>
            <w:r>
              <w:t>8</w:t>
            </w:r>
            <w:r>
              <w:fldChar w:fldCharType="end"/>
            </w:r>
          </w:hyperlink>
        </w:p>
        <w:p>
          <w:pPr>
            <w:pStyle w:val="9"/>
            <w:tabs>
              <w:tab w:val="right" w:leader="dot" w:pos="9026"/>
            </w:tabs>
            <w:spacing w:before="120" w:after="60"/>
          </w:pPr>
          <w:hyperlink w:anchor="_Toc100008" w:history="1">
            <w:r>
              <w:rPr>
                <w:rStyle w:val="Hyperlink"/>
              </w:rPr>
              <w:t>4. Этап 2: Кластеризация и маппинг на сегменты LD2</w:t>
            </w:r>
            <w:r>
              <w:tab/>
            </w:r>
            <w:r>
              <w:fldChar w:fldCharType="begin"/>
            </w:r>
            <w:r>
              <w:instrText xml:space="preserve"> PAGEREF _Toc100008 \h </w:instrText>
            </w:r>
            <w:r>
              <w:fldChar w:fldCharType="separate"/>
            </w:r>
            <w:r>
              <w:t>9</w:t>
            </w:r>
            <w:r>
              <w:fldChar w:fldCharType="end"/>
            </w:r>
          </w:hyperlink>
        </w:p>
        <w:p>
          <w:pPr>
            <w:pStyle w:val="9"/>
            <w:tabs>
              <w:tab w:val="right" w:leader="dot" w:pos="9026"/>
            </w:tabs>
            <w:spacing w:before="120" w:after="60"/>
          </w:pPr>
          <w:hyperlink w:anchor="_Toc100012" w:history="1">
            <w:r>
              <w:rPr>
                <w:rStyle w:val="Hyperlink"/>
              </w:rPr>
              <w:t>5. Этап 3: Извлечение правил и предиктивная система</w:t>
            </w:r>
            <w:r>
              <w:tab/>
            </w:r>
            <w:r>
              <w:fldChar w:fldCharType="begin"/>
            </w:r>
            <w:r>
              <w:instrText xml:space="preserve"> PAGEREF _Toc100012 \h </w:instrText>
            </w:r>
            <w:r>
              <w:fldChar w:fldCharType="separate"/>
            </w:r>
            <w:r>
              <w:t>12</w:t>
            </w:r>
            <w:r>
              <w:fldChar w:fldCharType="end"/>
            </w:r>
          </w:hyperlink>
        </w:p>
        <w:p>
          <w:pPr>
            <w:pStyle w:val="9"/>
            <w:tabs>
              <w:tab w:val="right" w:leader="dot" w:pos="9026"/>
            </w:tabs>
            <w:spacing w:before="120" w:after="60"/>
          </w:pPr>
          <w:hyperlink w:anchor="_Toc100016" w:history="1">
            <w:r>
              <w:rPr>
                <w:rStyle w:val="Hyperlink"/>
              </w:rPr>
              <w:t>6. Этап 4: Предиктивный Score лояльности</w:t>
            </w:r>
            <w:r>
              <w:tab/>
            </w:r>
            <w:r>
              <w:fldChar w:fldCharType="begin"/>
            </w:r>
            <w:r>
              <w:instrText xml:space="preserve"> PAGEREF _Toc100016 \h </w:instrText>
            </w:r>
            <w:r>
              <w:fldChar w:fldCharType="separate"/>
            </w:r>
            <w:r>
              <w:t>14</w:t>
            </w:r>
            <w:r>
              <w:fldChar w:fldCharType="end"/>
            </w:r>
          </w:hyperlink>
        </w:p>
        <w:p>
          <w:pPr>
            <w:pStyle w:val="9"/>
            <w:tabs>
              <w:tab w:val="right" w:leader="dot" w:pos="9026"/>
            </w:tabs>
            <w:spacing w:before="120" w:after="60"/>
          </w:pPr>
          <w:r>
            <w:t>ЧАСТЬ III. ПРИМЕНЕНИЕ</w:t>
          </w:r>
          <w:r>
            <w:tab/>
          </w:r>
          <w:r>
            <w:t>17</w:t>
          </w:r>
        </w:p>
        <w:p>
          <w:pPr>
            <w:pStyle w:val="9"/>
            <w:tabs>
              <w:tab w:val="right" w:leader="dot" w:pos="9026"/>
            </w:tabs>
            <w:spacing w:before="120" w:after="60"/>
          </w:pPr>
          <w:hyperlink w:anchor="_Toc100019" w:history="1">
            <w:r>
              <w:rPr>
                <w:rStyle w:val="Hyperlink"/>
              </w:rPr>
              <w:t>7. Динамические персоны ядра</w:t>
            </w:r>
            <w:r>
              <w:tab/>
            </w:r>
            <w:r>
              <w:fldChar w:fldCharType="begin"/>
            </w:r>
            <w:r>
              <w:instrText xml:space="preserve"> PAGEREF _Toc100019 \h </w:instrText>
            </w:r>
            <w:r>
              <w:fldChar w:fldCharType="separate"/>
            </w:r>
            <w:r>
              <w:t>17</w:t>
            </w:r>
            <w:r>
              <w:fldChar w:fldCharType="end"/>
            </w:r>
          </w:hyperlink>
        </w:p>
        <w:p>
          <w:pPr>
            <w:pStyle w:val="9"/>
            <w:tabs>
              <w:tab w:val="right" w:leader="dot" w:pos="9026"/>
            </w:tabs>
            <w:spacing w:before="120" w:after="60"/>
          </w:pPr>
          <w:hyperlink w:anchor="_Toc100022" w:history="1">
            <w:r>
              <w:rPr>
                <w:rStyle w:val="Hyperlink"/>
              </w:rPr>
              <w:t>8. Живые CJM по сегментам</w:t>
            </w:r>
            <w:r>
              <w:tab/>
            </w:r>
            <w:r>
              <w:fldChar w:fldCharType="begin"/>
            </w:r>
            <w:r>
              <w:instrText xml:space="preserve"> PAGEREF _Toc100022 \h </w:instrText>
            </w:r>
            <w:r>
              <w:fldChar w:fldCharType="separate"/>
            </w:r>
            <w:r>
              <w:t>18</w:t>
            </w:r>
            <w:r>
              <w:fldChar w:fldCharType="end"/>
            </w:r>
          </w:hyperlink>
        </w:p>
        <w:p>
          <w:pPr>
            <w:pStyle w:val="9"/>
            <w:tabs>
              <w:tab w:val="right" w:leader="dot" w:pos="9026"/>
            </w:tabs>
            <w:spacing w:before="120" w:after="60"/>
          </w:pPr>
          <w:hyperlink w:anchor="_Toc100024" w:history="1">
            <w:r>
              <w:rPr>
                <w:rStyle w:val="Hyperlink"/>
              </w:rPr>
              <w:t>9. Система метрик и дашборд</w:t>
            </w:r>
            <w:r>
              <w:tab/>
            </w:r>
            <w:r>
              <w:fldChar w:fldCharType="begin"/>
            </w:r>
            <w:r>
              <w:instrText xml:space="preserve"> PAGEREF _Toc100024 \h </w:instrText>
            </w:r>
            <w:r>
              <w:fldChar w:fldCharType="separate"/>
            </w:r>
            <w:r>
              <w:t>19</w:t>
            </w:r>
            <w:r>
              <w:fldChar w:fldCharType="end"/>
            </w:r>
          </w:hyperlink>
        </w:p>
        <w:p>
          <w:pPr>
            <w:pStyle w:val="9"/>
            <w:tabs>
              <w:tab w:val="right" w:leader="dot" w:pos="9026"/>
            </w:tabs>
            <w:spacing w:before="120" w:after="60"/>
          </w:pPr>
          <w:hyperlink w:anchor="_Toc100027" w:history="1">
            <w:r>
              <w:rPr>
                <w:rStyle w:val="Hyperlink"/>
              </w:rPr>
              <w:t>10. Риски и митигация</w:t>
            </w:r>
            <w:r>
              <w:tab/>
            </w:r>
            <w:r>
              <w:fldChar w:fldCharType="begin"/>
            </w:r>
            <w:r>
              <w:instrText xml:space="preserve"> PAGEREF _Toc100027 \h </w:instrText>
            </w:r>
            <w:r>
              <w:fldChar w:fldCharType="separate"/>
            </w:r>
            <w:r>
              <w:t>21</w:t>
            </w:r>
            <w:r>
              <w:fldChar w:fldCharType="end"/>
            </w:r>
          </w:hyperlink>
        </w:p>
        <w:p>
          <w:pPr>
            <w:pStyle w:val="9"/>
            <w:tabs>
              <w:tab w:val="right" w:leader="dot" w:pos="9026"/>
            </w:tabs>
            <w:spacing w:before="120" w:after="60"/>
          </w:pPr>
          <w:r>
            <w:t>ЧАСТЬ IV. СРАВНЕНИЕ ПОДХОДОВ</w:t>
          </w:r>
          <w:r>
            <w:tab/>
          </w:r>
          <w:r>
            <w:t>24</w:t>
          </w:r>
        </w:p>
        <w:p>
          <w:pPr>
            <w:pStyle w:val="9"/>
            <w:tabs>
              <w:tab w:val="right" w:leader="dot" w:pos="9026"/>
            </w:tabs>
            <w:spacing w:before="120" w:after="60"/>
          </w:pPr>
          <w:hyperlink w:anchor="_Toc100033" w:history="1">
            <w:r>
              <w:rPr>
                <w:rStyle w:val="Hyperlink"/>
              </w:rPr>
              <w:t>11. Статические vs Динамические артефакты</w:t>
            </w:r>
            <w:r>
              <w:tab/>
            </w:r>
            <w:r>
              <w:fldChar w:fldCharType="begin"/>
            </w:r>
            <w:r>
              <w:instrText xml:space="preserve"> PAGEREF _Toc100033 \h </w:instrText>
            </w:r>
            <w:r>
              <w:fldChar w:fldCharType="separate"/>
            </w:r>
            <w:r>
              <w:t>24</w:t>
            </w:r>
            <w:r>
              <w:fldChar w:fldCharType="end"/>
            </w:r>
          </w:hyperlink>
        </w:p>
        <w:p>
          <w:pPr>
            <w:pStyle w:val="9"/>
            <w:tabs>
              <w:tab w:val="right" w:leader="dot" w:pos="9026"/>
            </w:tabs>
            <w:spacing w:before="120" w:after="60"/>
          </w:pPr>
          <w:hyperlink w:anchor="_Toc100035" w:history="1">
            <w:r>
              <w:rPr>
                <w:rStyle w:val="Hyperlink"/>
              </w:rPr>
              <w:t>12. Заключение: практические шаги внедрения</w:t>
            </w:r>
            <w:r>
              <w:tab/>
            </w:r>
            <w:r>
              <w:fldChar w:fldCharType="begin"/>
            </w:r>
            <w:r>
              <w:instrText xml:space="preserve"> PAGEREF _Toc100035 \h </w:instrText>
            </w:r>
            <w:r>
              <w:fldChar w:fldCharType="separate"/>
            </w:r>
            <w:r>
              <w:t>25</w:t>
            </w:r>
            <w:r>
              <w:fldChar w:fldCharType="end"/>
            </w:r>
          </w:hyperlink>
        </w:p>
        <w:p>
          <w:pPr>
            <w:pStyle w:val="9"/>
            <w:tabs>
              <w:tab w:val="right" w:leader="dot" w:pos="9026"/>
            </w:tabs>
            <w:spacing w:before="120" w:after="60"/>
          </w:pPr>
          <w:r>
            <w:t>ПРИЛОЖЕНИЯ</w:t>
          </w:r>
          <w:r>
            <w:tab/>
          </w:r>
          <w:r>
            <w:t>27</w:t>
          </w:r>
        </w:p>
        <w:p>
          <w:r>
            <w:fldChar w:fldCharType="end"/>
          </w:r>
        </w:p>
      </w:sdtContent>
    </w:sdt>
    <w:p>
      <w:pPr>
        <w:spacing w:before="200"/>
        <w:jc w:val="center"/>
      </w:pPr>
      <w:r>
        <w:rPr>
          <w:rFonts w:ascii="Times New Roman" w:cs="Times New Roman" w:eastAsia="Times New Roman" w:hAnsi="Times New Roman"/>
          <w:i/>
          <w:iCs/>
          <w:color w:val="999999"/>
          <w:sz w:val="18"/>
          <w:szCs w:val="18"/>
        </w:rPr>
        <w:t xml:space="preserve">Для обновления номеров страниц: правый клик → «Обновить поле»</w:t>
      </w:r>
    </w:p>
    <w:p>
      <w:r>
        <w:br w:type="page"/>
      </w:r>
    </w:p>
    <w:p>
      <w:pPr>
        <w:spacing w:after="400" w:before="200"/>
        <w:jc w:val="center"/>
      </w:pPr>
      <w:r>
        <w:rPr>
          <w:rFonts w:ascii="Times New Roman" w:cs="Times New Roman" w:eastAsia="Times New Roman" w:hAnsi="Times New Roman"/>
          <w:b/>
          <w:bCs/>
          <w:color w:val="26211F"/>
          <w:sz w:val="36"/>
          <w:szCs w:val="36"/>
        </w:rPr>
        <w:t xml:space="preserve">ЧАСТЬ I. ТЕОРЕТИЧЕСКИЕ ОСНОВЫ</w:t>
      </w:r>
    </w:p>
    <w:p>
      <w:pPr>
        <w:pStyle w:val="Heading1"/>
      </w:pPr>
      <w:bookmarkStart w:id="100000" w:name="_Toc100000"/>
      <w:r>
        <w:t xml:space="preserve">1. Введение: две методологии — одна цель</w:t>
      </w:r>
      <w:bookmarkEnd w:id="100000"/>
    </w:p>
    <w:p>
      <w:pPr>
        <w:spacing w:after="200" w:line="312"/>
      </w:pPr>
      <w:r>
        <w:rPr>
          <w:rFonts w:ascii="Times New Roman" w:cs="Times New Roman" w:eastAsia="Times New Roman" w:hAnsi="Times New Roman"/>
          <w:color w:val="3D3735"/>
          <w:sz w:val="24"/>
          <w:szCs w:val="24"/>
        </w:rPr>
        <w:t xml:space="preserve">Современная продуктовая разработка стоит перед фундаментальным вызовом: как в мире бесконечного потока данных о пользователях принимать решения, которые ведут к устойчивому росту, а не к бесконечной гонке за метриками? Два независимых подхода предлагают разные ответы на этот вопрос, и их интеграция создаёт синергетический эффект.</w:t>
      </w:r>
    </w:p>
    <w:p>
      <w:pPr>
        <w:spacing w:after="200" w:line="312"/>
      </w:pPr>
      <w:r>
        <w:rPr>
          <w:rFonts w:ascii="Times New Roman" w:cs="Times New Roman" w:eastAsia="Times New Roman" w:hAnsi="Times New Roman"/>
          <w:color w:val="3D3735"/>
          <w:sz w:val="24"/>
          <w:szCs w:val="24"/>
        </w:rPr>
        <w:t xml:space="preserve">LD2 (Loyalty-Driven Product Design) предлагает стратегический фокус на выращивании лояльного ядра аудитории вместо попыток удовлетворить всех пользователей. Динамические артефакты предлагают техническую инфраструктуру для замены статических документов (персон, CJM, User Flow) на самообновляемые предиктивные модели. Вместе они создают систему, которая не только идентифицирует лояльных пользователей, но и прогнозирует их поведение в реальном времени.</w:t>
      </w:r>
    </w:p>
    <w:p>
      <w:pPr>
        <w:pStyle w:val="Heading2"/>
      </w:pPr>
      <w:bookmarkStart w:id="100001" w:name="_Toc100001"/>
      <w:r>
        <w:t xml:space="preserve">1.1. Проблема статических артефактов</w:t>
      </w:r>
      <w:bookmarkEnd w:id="100001"/>
    </w:p>
    <w:p>
      <w:pPr>
        <w:spacing w:after="200" w:line="312"/>
      </w:pPr>
      <w:r>
        <w:rPr>
          <w:rFonts w:ascii="Times New Roman" w:cs="Times New Roman" w:eastAsia="Times New Roman" w:hAnsi="Times New Roman"/>
          <w:color w:val="3D3735"/>
          <w:sz w:val="24"/>
          <w:szCs w:val="24"/>
        </w:rPr>
        <w:t xml:space="preserve">Персона, созданная в январе, устаревает к марту. Карта путешествия клиента, актуальная вчера, уже не отражает реальность сегодня. Средняя стоимость создания качественной персоны — 40-80 часов работы UX-исследователя, а CJM — ещё 60-100 часов. Эти документы нельзя спросить, нельзя обновить в реальном времени, они лежат мёртвым грузом в корпоративных архивах.</w:t>
      </w:r>
    </w:p>
    <w:p>
      <w:pPr>
        <w:spacing w:after="200" w:line="312"/>
      </w:pPr>
      <w:r>
        <w:rPr>
          <w:rFonts w:ascii="Times New Roman" w:cs="Times New Roman" w:eastAsia="Times New Roman" w:hAnsi="Times New Roman"/>
          <w:color w:val="3D3735"/>
          <w:sz w:val="24"/>
          <w:szCs w:val="24"/>
        </w:rPr>
        <w:t xml:space="preserve">Ключевой недостаток: статические артефакты документируют момент, но мир не стоит на месте. Пользователи меняют поведение, продукт эволюционирует, рынок трансформируется. Разрыв между артефактом и реальностью растёт экспоненциально.</w:t>
      </w:r>
    </w:p>
    <w:p>
      <w:pPr>
        <w:pStyle w:val="Heading2"/>
      </w:pPr>
      <w:bookmarkStart w:id="100002" w:name="_Toc100002"/>
      <w:r>
        <w:t xml:space="preserve">1.2. Проблема реактивного дизайн-мышления</w:t>
      </w:r>
      <w:bookmarkEnd w:id="100002"/>
    </w:p>
    <w:p>
      <w:pPr>
        <w:spacing w:after="200" w:line="312"/>
      </w:pPr>
      <w:r>
        <w:rPr>
          <w:rFonts w:ascii="Times New Roman" w:cs="Times New Roman" w:eastAsia="Times New Roman" w:hAnsi="Times New Roman"/>
          <w:color w:val="3D3735"/>
          <w:sz w:val="24"/>
          <w:szCs w:val="24"/>
        </w:rPr>
        <w:t xml:space="preserve">Классическое дизайн-мышление строится на эмпатии к пользователю и решении его проблем. Однако на практике это часто вырождается в реактивную модель: команда фокусируется на «pain points» тех, кто уже выражает недовольство, пытаясь «вернуть» утраченную лояльность. Это приводит к фрагментации продукта и размыванию идентичности.</w:t>
      </w:r>
    </w:p>
    <w:p>
      <w:pPr>
        <w:spacing w:after="200" w:line="312"/>
      </w:pPr>
      <w:r>
        <w:rPr>
          <w:rFonts w:ascii="Times New Roman" w:cs="Times New Roman" w:eastAsia="Times New Roman" w:hAnsi="Times New Roman"/>
          <w:color w:val="3D3735"/>
          <w:sz w:val="24"/>
          <w:szCs w:val="24"/>
        </w:rPr>
        <w:t xml:space="preserve">LD2 предлагает альтернативу: вместо того чтобы подстраиваться под всех, продукт культивирует глубокую лояльность у тех, кто разделяет его ценности. Но для этого нужны инструменты, которые работают в реальном времени.</w:t>
      </w:r>
    </w:p>
    <w:p>
      <w:pPr>
        <w:pStyle w:val="Heading1"/>
      </w:pPr>
      <w:bookmarkStart w:id="100003" w:name="_Toc100003"/>
      <w:r>
        <w:t xml:space="preserve">2. Архитектура интеграции</w:t>
      </w:r>
      <w:bookmarkEnd w:id="100003"/>
    </w:p>
    <w:p>
      <w:pPr>
        <w:spacing w:after="200" w:line="312"/>
      </w:pPr>
      <w:r>
        <w:rPr>
          <w:rFonts w:ascii="Times New Roman" w:cs="Times New Roman" w:eastAsia="Times New Roman" w:hAnsi="Times New Roman"/>
          <w:color w:val="3D3735"/>
          <w:sz w:val="24"/>
          <w:szCs w:val="24"/>
        </w:rPr>
        <w:t xml:space="preserve">Интеграция LD2 и динамических артефактов создаёт замкнутую систему: стратегия лояльности определяет, какие пользователи важны, а динамические артефакты предоставляют инструменты для их идентификации, анализа и прогнозирования поведения.</w:t>
      </w:r>
    </w:p>
    <w:p>
      <w:pPr>
        <w:spacing w:after="100" w:before="200"/>
        <w:jc w:val="center"/>
      </w:pPr>
      <w:r>
        <w:drawing>
          <wp:inline distT="0" distB="0" distL="0" distR="0">
            <wp:extent cx="5334000" cy="3810000"/>
            <wp:effectExtent t="0" r="0" b="0" l="0"/>
            <wp:docPr id="1" name="arch" descr="LD2 + Dynamic Artifacts integration" title="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000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Рисунок 1. Архитектура интеграции LD2 + Динамические артефакты</w:t>
      </w:r>
    </w:p>
    <w:p>
      <w:pPr>
        <w:pStyle w:val="Heading2"/>
      </w:pPr>
      <w:bookmarkStart w:id="100004" w:name="_Toc100004"/>
      <w:r>
        <w:t xml:space="preserve">2.1. Концептуальное соответствие</w:t>
      </w:r>
      <w:bookmarkEnd w:id="100004"/>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Концепт LD2</w:t>
            </w:r>
          </w:p>
        </w:tc>
        <w:tc>
          <w:tcPr>
            <w:tcW w:type="dxa" w:w="312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Компонент Dynamic Artifacts</w:t>
            </w:r>
          </w:p>
        </w:tc>
        <w:tc>
          <w:tcPr>
            <w:tcW w:type="dxa" w:w="312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Результат интеграции</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Ядро аудитории</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Поведенческие кластеры</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Автоматическая идентификация ядра</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Ценностный резонанс</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Сигнальные паттерны</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Раннее обнаружение «своих»</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Retention ядра</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Предиктивные маркеры оттока</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Прогноз ухода до события</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Фильтрация голосов</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Взвешивание сигналов</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Приоритизация фич для ядра</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Статические персоны</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AI-агенты на данных</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Живые персоны ядра</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Статические CJM</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Динамические последовательности</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Живые CJM по сегментам</w:t>
            </w:r>
          </w:p>
        </w:tc>
      </w:tr>
    </w:tbl>
    <w:p>
      <w:pPr>
        <w:spacing w:after="300" w:before="100"/>
        <w:jc w:val="center"/>
      </w:pPr>
      <w:r>
        <w:rPr>
          <w:rFonts w:ascii="Times New Roman" w:cs="Times New Roman" w:eastAsia="Times New Roman" w:hAnsi="Times New Roman"/>
          <w:i/>
          <w:iCs/>
          <w:color w:val="6B6361"/>
          <w:sz w:val="20"/>
          <w:szCs w:val="20"/>
        </w:rPr>
        <w:t xml:space="preserve">Таблица 1. Концептуальное соответствие методологий</w:t>
      </w:r>
    </w:p>
    <w:p>
      <w:r>
        <w:br w:type="page"/>
      </w:r>
    </w:p>
    <w:p>
      <w:pPr>
        <w:spacing w:after="400" w:before="200"/>
        <w:jc w:val="center"/>
      </w:pPr>
      <w:r>
        <w:rPr>
          <w:rFonts w:ascii="Times New Roman" w:cs="Times New Roman" w:eastAsia="Times New Roman" w:hAnsi="Times New Roman"/>
          <w:b/>
          <w:bCs/>
          <w:color w:val="26211F"/>
          <w:sz w:val="36"/>
          <w:szCs w:val="36"/>
        </w:rPr>
        <w:t xml:space="preserve">ЧАСТЬ II. ТЕХНИЧЕСКАЯ РЕАЛИЗАЦИЯ</w:t>
      </w:r>
    </w:p>
    <w:p>
      <w:pPr>
        <w:pStyle w:val="Heading1"/>
      </w:pPr>
      <w:bookmarkStart w:id="100005" w:name="_Toc100005"/>
      <w:r>
        <w:t xml:space="preserve">3. Этап 1: Сбор и подготовка данных</w:t>
      </w:r>
      <w:bookmarkEnd w:id="100005"/>
    </w:p>
    <w:p>
      <w:pPr>
        <w:pStyle w:val="Heading2"/>
      </w:pPr>
      <w:bookmarkStart w:id="100006" w:name="_Toc100006"/>
      <w:r>
        <w:t xml:space="preserve">3.1. Источники данных</w:t>
      </w:r>
      <w:bookmarkEnd w:id="100006"/>
    </w:p>
    <w:p>
      <w:pPr>
        <w:spacing w:after="200" w:line="312"/>
      </w:pPr>
      <w:r>
        <w:rPr>
          <w:rFonts w:ascii="Times New Roman" w:cs="Times New Roman" w:eastAsia="Times New Roman" w:hAnsi="Times New Roman"/>
          <w:color w:val="3D3735"/>
          <w:sz w:val="24"/>
          <w:szCs w:val="24"/>
        </w:rPr>
        <w:t xml:space="preserve">Интегрированная система требует данных о поведении пользователей. Основные источники включают: Logs API аналитических систем (Яндекс.Метрика, Google Analytics, Amplitude), записи сессий (Hotjar, FullStory), обращения в поддержку, транзакционные данные. Минимальный объём для устойчивой кластеризации — 10,000 визитов, рекомендовано 50,000+.</w:t>
      </w:r>
    </w:p>
    <w:p>
      <w:pPr>
        <w:pStyle w:val="Heading2"/>
      </w:pPr>
      <w:bookmarkStart w:id="100007" w:name="_Toc100007"/>
      <w:r>
        <w:t xml:space="preserve">3.2. Структура данных визита</w:t>
      </w:r>
      <w:bookmarkEnd w:id="100007"/>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Поле</w:t>
            </w:r>
          </w:p>
        </w:tc>
        <w:tc>
          <w:tcPr>
            <w:tcW w:type="dxa" w:w="234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Тип</w:t>
            </w:r>
          </w:p>
        </w:tc>
        <w:tc>
          <w:tcPr>
            <w:tcW w:type="dxa" w:w="468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Пример</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visit_id</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string</w:t>
            </w:r>
          </w:p>
        </w:tc>
        <w:tc>
          <w:tcPr>
            <w:tcW w:type="dxa" w:w="468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«a1b2c3»</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user_id</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string</w:t>
            </w:r>
          </w:p>
        </w:tc>
        <w:tc>
          <w:tcPr>
            <w:tcW w:type="dxa" w:w="468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«user_123» (анонимизированный)</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hit_sequence</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array[string]</w:t>
            </w:r>
          </w:p>
        </w:tc>
        <w:tc>
          <w:tcPr>
            <w:tcW w:type="dxa" w:w="468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 «/catalog», «/product/123», «/cart»]</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duration_sec</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int</w:t>
            </w:r>
          </w:p>
        </w:tc>
        <w:tc>
          <w:tcPr>
            <w:tcW w:type="dxa" w:w="468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912</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goal_completions</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int</w:t>
            </w:r>
          </w:p>
        </w:tc>
        <w:tc>
          <w:tcPr>
            <w:tcW w:type="dxa" w:w="468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1</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device_category</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string</w:t>
            </w:r>
          </w:p>
        </w:tc>
        <w:tc>
          <w:tcPr>
            <w:tcW w:type="dxa" w:w="468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desktop / mobile / tablet</w:t>
            </w:r>
          </w:p>
        </w:tc>
      </w:tr>
    </w:tbl>
    <w:p>
      <w:pPr>
        <w:spacing w:after="300" w:before="100"/>
        <w:jc w:val="center"/>
      </w:pPr>
      <w:r>
        <w:rPr>
          <w:rFonts w:ascii="Times New Roman" w:cs="Times New Roman" w:eastAsia="Times New Roman" w:hAnsi="Times New Roman"/>
          <w:i/>
          <w:iCs/>
          <w:color w:val="6B6361"/>
          <w:sz w:val="20"/>
          <w:szCs w:val="20"/>
        </w:rPr>
        <w:t xml:space="preserve">Таблица 2. Структура данных визита</w:t>
      </w:r>
    </w:p>
    <w:p>
      <w:pPr>
        <w:pStyle w:val="Heading1"/>
      </w:pPr>
      <w:bookmarkStart w:id="100008" w:name="_Toc100008"/>
      <w:r>
        <w:t xml:space="preserve">4. Этап 2: Кластеризация и маппинг на сегменты LD2</w:t>
      </w:r>
      <w:bookmarkEnd w:id="100008"/>
    </w:p>
    <w:p>
      <w:pPr>
        <w:spacing w:after="200" w:line="312"/>
      </w:pPr>
      <w:r>
        <w:rPr>
          <w:rFonts w:ascii="Times New Roman" w:cs="Times New Roman" w:eastAsia="Times New Roman" w:hAnsi="Times New Roman"/>
          <w:color w:val="3D3735"/>
          <w:sz w:val="24"/>
          <w:szCs w:val="24"/>
        </w:rPr>
        <w:t xml:space="preserve">Ключевой инновацией интегрированной методологии является маппинг поведенческих кластеров на сегменты LD2. Вместо абстрактных кластеров, получаем автоматическую идентификацию ядра, симпатиков, нейтралов и чужих.</w:t>
      </w:r>
    </w:p>
    <w:p>
      <w:pPr>
        <w:pStyle w:val="Heading2"/>
      </w:pPr>
      <w:bookmarkStart w:id="100009" w:name="_Toc100009"/>
      <w:r>
        <w:t xml:space="preserve">4.1. Алгоритм кластеризации</w:t>
      </w:r>
      <w:bookmarkEnd w:id="100009"/>
    </w:p>
    <w:p>
      <w:pPr>
        <w:spacing w:after="200" w:line="312"/>
      </w:pPr>
      <w:r>
        <w:rPr>
          <w:rFonts w:ascii="Times New Roman" w:cs="Times New Roman" w:eastAsia="Times New Roman" w:hAnsi="Times New Roman"/>
          <w:color w:val="3D3735"/>
          <w:sz w:val="24"/>
          <w:szCs w:val="24"/>
        </w:rPr>
        <w:t xml:space="preserve">Используется K-Means с предварительной нормализацией признаков. Признаки включают: активность (page_views, duration_sec, visit_frequency), конверсионность (goal_completions, has_conversion), канальность (traffic_source, utm_source), технические (device_category, browser), временные (hour_of_day, day_of_week). Число кластеров K определяется методом локтя или silhouette score, на практике 4-7 кластеров.</w:t>
      </w:r>
    </w:p>
    <w:p>
      <w:pPr>
        <w:pStyle w:val="Heading2"/>
      </w:pPr>
      <w:bookmarkStart w:id="100010" w:name="_Toc100010"/>
      <w:r>
        <w:t xml:space="preserve">4.2. Маппинг кластеров на сегменты LD2</w:t>
      </w:r>
      <w:bookmarkEnd w:id="100010"/>
    </w:p>
    <w:p>
      <w:pPr>
        <w:spacing w:after="200" w:line="312"/>
      </w:pPr>
      <w:r>
        <w:rPr>
          <w:rFonts w:ascii="Times New Roman" w:cs="Times New Roman" w:eastAsia="Times New Roman" w:hAnsi="Times New Roman"/>
          <w:color w:val="3D3735"/>
          <w:sz w:val="24"/>
          <w:szCs w:val="24"/>
        </w:rPr>
        <w:t xml:space="preserve">После кластеризации каждый кластер получает метку сегмента LD2 на основе поведенческих характеристик. Кластеры с высокой конверсией, частыми визитами и глубокой вовлечённостью → Ядро. Кластеры со средней вовлечённостью, но без устойчивой привязанности → Симпатики. Кластеры с низкой вовлечённостью и эпизодическими визитами → Нейтралы. Кластеры с минимальной вовлечённостью и несоответствием ценностям → Чужие.</w:t>
      </w:r>
    </w:p>
    <w:p>
      <w:pPr>
        <w:spacing w:after="100" w:before="200"/>
        <w:jc w:val="center"/>
      </w:pPr>
      <w:r>
        <w:drawing>
          <wp:inline distT="0" distB="0" distL="0" distR="0">
            <wp:extent cx="4762500" cy="3171825"/>
            <wp:effectExtent t="0" r="0" b="0" l="0"/>
            <wp:docPr id="1" name="mapping" descr="Cluster to segment mapping" title="Cluster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71825"/>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Рисунок 2. Маппинг поведенческих кластеров на сегменты LD2</w:t>
      </w:r>
    </w:p>
    <w:p>
      <w:pPr>
        <w:pStyle w:val="Heading2"/>
      </w:pPr>
      <w:bookmarkStart w:id="100011" w:name="_Toc100011"/>
      <w:r>
        <w:t xml:space="preserve">4.3. Пример интерпретации кластеров</w:t>
      </w:r>
      <w:bookmarkEnd w:id="100011"/>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340"/>
        <w:gridCol w:w="2340"/>
        <w:gridCol w:w="1560"/>
        <w:gridCol w:w="1320"/>
      </w:tblGrid>
      <w:tr>
        <w:trPr>
          <w:tblHeader/>
        </w:trPr>
        <w:tc>
          <w:tcPr>
            <w:tcW w:type="dxa" w:w="180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Кластер</w:t>
            </w:r>
          </w:p>
        </w:tc>
        <w:tc>
          <w:tcPr>
            <w:tcW w:type="dxa" w:w="234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Название</w:t>
            </w:r>
          </w:p>
        </w:tc>
        <w:tc>
          <w:tcPr>
            <w:tcW w:type="dxa" w:w="234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Характеристики</w:t>
            </w:r>
          </w:p>
        </w:tc>
        <w:tc>
          <w:tcPr>
            <w:tcW w:type="dxa" w:w="156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Конверсия</w:t>
            </w:r>
          </w:p>
        </w:tc>
        <w:tc>
          <w:tcPr>
            <w:tcW w:type="dxa" w:w="132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LD2</w:t>
            </w:r>
          </w:p>
        </w:tc>
      </w:tr>
      <w:tr>
        <w:tc>
          <w:tcPr>
            <w:tcW w:type="dxa" w:w="180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0</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Быстрые покупатели</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Высокая конверсия, десктоп, прямой вход</w:t>
            </w:r>
          </w:p>
        </w:tc>
        <w:tc>
          <w:tcPr>
            <w:tcW w:type="dxa" w:w="156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82%</w:t>
            </w:r>
          </w:p>
        </w:tc>
        <w:tc>
          <w:tcPr>
            <w:tcW w:type="dxa" w:w="13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b/>
                <w:bCs/>
                <w:color w:val="3D3735"/>
                <w:sz w:val="22"/>
                <w:szCs w:val="22"/>
              </w:rPr>
              <w:t xml:space="preserve">Ядро</w:t>
            </w:r>
          </w:p>
        </w:tc>
      </w:tr>
      <w:tr>
        <w:tc>
          <w:tcPr>
            <w:tcW w:type="dxa" w:w="180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1</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Исследователи</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Много страниц, фильтры, сравнение</w:t>
            </w:r>
          </w:p>
        </w:tc>
        <w:tc>
          <w:tcPr>
            <w:tcW w:type="dxa" w:w="156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31%</w:t>
            </w:r>
          </w:p>
        </w:tc>
        <w:tc>
          <w:tcPr>
            <w:tcW w:type="dxa" w:w="13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Симпатики</w:t>
            </w:r>
          </w:p>
        </w:tc>
      </w:tr>
      <w:tr>
        <w:tc>
          <w:tcPr>
            <w:tcW w:type="dxa" w:w="180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2</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Сомневающиеся</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Добавляют в корзину, уходят, возвращаются</w:t>
            </w:r>
          </w:p>
        </w:tc>
        <w:tc>
          <w:tcPr>
            <w:tcW w:type="dxa" w:w="156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44%</w:t>
            </w:r>
          </w:p>
        </w:tc>
        <w:tc>
          <w:tcPr>
            <w:tcW w:type="dxa" w:w="13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Нейтралы</w:t>
            </w:r>
          </w:p>
        </w:tc>
      </w:tr>
      <w:tr>
        <w:tc>
          <w:tcPr>
            <w:tcW w:type="dxa" w:w="180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3</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Сёрферы</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Низкая глубина, быстрый скролл</w:t>
            </w:r>
          </w:p>
        </w:tc>
        <w:tc>
          <w:tcPr>
            <w:tcW w:type="dxa" w:w="156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12%</w:t>
            </w:r>
          </w:p>
        </w:tc>
        <w:tc>
          <w:tcPr>
            <w:tcW w:type="dxa" w:w="13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Чужие</w:t>
            </w:r>
          </w:p>
        </w:tc>
      </w:tr>
    </w:tbl>
    <w:p>
      <w:pPr>
        <w:spacing w:after="300" w:before="100"/>
        <w:jc w:val="center"/>
      </w:pPr>
      <w:r>
        <w:rPr>
          <w:rFonts w:ascii="Times New Roman" w:cs="Times New Roman" w:eastAsia="Times New Roman" w:hAnsi="Times New Roman"/>
          <w:i/>
          <w:iCs/>
          <w:color w:val="6B6361"/>
          <w:sz w:val="20"/>
          <w:szCs w:val="20"/>
        </w:rPr>
        <w:t xml:space="preserve">Таблица 3. Пример маппинга кластеров на сегменты LD2</w:t>
      </w:r>
    </w:p>
    <w:p>
      <w:pPr>
        <w:pStyle w:val="Heading1"/>
      </w:pPr>
      <w:bookmarkStart w:id="100012" w:name="_Toc100012"/>
      <w:r>
        <w:t xml:space="preserve">5. Этап 3: Извлечение правил и предиктивная система</w:t>
      </w:r>
      <w:bookmarkEnd w:id="100012"/>
    </w:p>
    <w:p>
      <w:pPr>
        <w:pStyle w:val="Heading2"/>
      </w:pPr>
      <w:bookmarkStart w:id="100013" w:name="_Toc100013"/>
      <w:r>
        <w:t xml:space="preserve">5.1. Алгоритм PrefixSpan</w:t>
      </w:r>
      <w:bookmarkEnd w:id="100013"/>
    </w:p>
    <w:p>
      <w:pPr>
        <w:spacing w:after="200" w:line="312"/>
      </w:pPr>
      <w:r>
        <w:rPr>
          <w:rFonts w:ascii="Times New Roman" w:cs="Times New Roman" w:eastAsia="Times New Roman" w:hAnsi="Times New Roman"/>
          <w:color w:val="3D3735"/>
          <w:sz w:val="24"/>
          <w:szCs w:val="24"/>
        </w:rPr>
        <w:t xml:space="preserve">Для каждого сегмента LD2 извлекаются частые последовательности действий с помощью алгоритма PrefixSpan. Параметры: min_support = 0.03-0.05, max_pattern_length = 5-7 действий. Результат: набор правил вида W → a, где W — последовательность действий, a — следующее действие, с метриками support и confidence.</w:t>
      </w:r>
    </w:p>
    <w:p>
      <w:pPr>
        <w:pStyle w:val="Heading2"/>
      </w:pPr>
      <w:bookmarkStart w:id="100014" w:name="_Toc100014"/>
      <w:r>
        <w:t xml:space="preserve">5.2. Правила по сегментам LD2</w:t>
      </w:r>
      <w:bookmarkEnd w:id="100014"/>
    </w:p>
    <w:p>
      <w:pPr>
        <w:spacing w:after="100" w:before="200"/>
        <w:jc w:val="center"/>
      </w:pPr>
      <w:r>
        <w:drawing>
          <wp:inline distT="0" distB="0" distL="0" distR="0">
            <wp:extent cx="4762500" cy="3171825"/>
            <wp:effectExtent t="0" r="0" b="0" l="0"/>
            <wp:docPr id="1" name="rules" descr="PrefixSpan rules by LD2 segments" title="Rules by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71825"/>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Рисунок 3. Правила PrefixSpan по сегментам LD2</w:t>
      </w:r>
    </w:p>
    <w:p>
      <w:pPr>
        <w:spacing w:after="200" w:line="312"/>
      </w:pPr>
      <w:r>
        <w:rPr>
          <w:rFonts w:ascii="Times New Roman" w:cs="Times New Roman" w:eastAsia="Times New Roman" w:hAnsi="Times New Roman"/>
          <w:color w:val="3D3735"/>
          <w:sz w:val="24"/>
          <w:szCs w:val="24"/>
        </w:rPr>
        <w:t xml:space="preserve">Ключевое наблюдение: правила для ядра имеют значительно более высокую confidence (0.85-0.95), чем для других сегментов. Это отражает устойчивость и предсказуемость поведения лояльных пользователей. Симпатики показывают среднюю confidence (0.60-0.75), что указывает на вариативность их поведения. Нейтралы и чужие демонстрируют низкую confidence (0.40-0.60), что делает прогнозирование для них менее надёжным.</w:t>
      </w:r>
    </w:p>
    <w:p>
      <w:pPr>
        <w:pStyle w:val="Heading2"/>
      </w:pPr>
      <w:bookmarkStart w:id="100015" w:name="_Toc100015"/>
      <w:r>
        <w:t xml:space="preserve">5.3. Предиктивный API</w:t>
      </w:r>
      <w:bookmarkEnd w:id="100015"/>
    </w:p>
    <w:p>
      <w:pPr>
        <w:spacing w:after="200" w:line="312"/>
      </w:pPr>
      <w:r>
        <w:rPr>
          <w:rFonts w:ascii="Times New Roman" w:cs="Times New Roman" w:eastAsia="Times New Roman" w:hAnsi="Times New Roman"/>
          <w:color w:val="3D3735"/>
          <w:sz w:val="24"/>
          <w:szCs w:val="24"/>
        </w:rPr>
        <w:t xml:space="preserve">Предиктивный сервис получает на вход: user_id (опционально), current_sequence — массив действий пользователя в текущем визите, context — признаки визита. Возвращает: predicted_next_action — следующее действие, confidence — уверенность, loyalty_segment — сегмент LD2, suggested_ui — текст подсказки для интерфейса.</w:t>
      </w:r>
    </w:p>
    <w:p>
      <w:pPr>
        <w:pStyle w:val="Heading1"/>
      </w:pPr>
      <w:bookmarkStart w:id="100016" w:name="_Toc100016"/>
      <w:r>
        <w:t xml:space="preserve">6. Этап 4: Предиктивный Score лояльности</w:t>
      </w:r>
      <w:bookmarkEnd w:id="100016"/>
    </w:p>
    <w:p>
      <w:pPr>
        <w:spacing w:after="200" w:line="312"/>
      </w:pPr>
      <w:r>
        <w:rPr>
          <w:rFonts w:ascii="Times New Roman" w:cs="Times New Roman" w:eastAsia="Times New Roman" w:hAnsi="Times New Roman"/>
          <w:color w:val="3D3735"/>
          <w:sz w:val="24"/>
          <w:szCs w:val="24"/>
        </w:rPr>
        <w:t xml:space="preserve">Интегрированная система вводит понятие «Предиктивный Score лояльности» — композитный показатель, который прогнозирует вероятность того, что пользователь принадлежит к ядру и останется лояльным.</w:t>
      </w:r>
    </w:p>
    <w:p>
      <w:pPr>
        <w:pStyle w:val="Heading2"/>
      </w:pPr>
      <w:bookmarkStart w:id="100017" w:name="_Toc100017"/>
      <w:r>
        <w:t xml:space="preserve">6.1. Формула Score</w:t>
      </w:r>
      <w:bookmarkEnd w:id="100017"/>
    </w:p>
    <w:p>
      <w:pPr>
        <w:spacing w:after="200" w:line="312"/>
      </w:pPr>
      <w:r>
        <w:rPr>
          <w:rFonts w:ascii="Times New Roman" w:cs="Times New Roman" w:eastAsia="Times New Roman" w:hAnsi="Times New Roman"/>
          <w:color w:val="3D3735"/>
          <w:sz w:val="24"/>
          <w:szCs w:val="24"/>
        </w:rPr>
        <w:t xml:space="preserve">LoyaltyScore = w1 × ClusterScore + w2 × BehaviorScore + w3 × RuleConfidence, где ClusterScore — вероятность принадлежности к кластеру ядра, BehaviorScore — соответствие поведения паттернам ядра, RuleConfidence — уверенность предсказания следующего действия. Веса настраиваются под конкретный продукт, типичные значения: w1=0.4, w2=0.35, w3=0.25.</w:t>
      </w:r>
    </w:p>
    <w:p>
      <w:pPr>
        <w:spacing w:after="100" w:before="200"/>
        <w:jc w:val="center"/>
      </w:pPr>
      <w:r>
        <w:drawing>
          <wp:inline distT="0" distB="0" distL="0" distR="0">
            <wp:extent cx="4762500" cy="2781300"/>
            <wp:effectExtent t="0" r="0" b="0" l="0"/>
            <wp:docPr id="1" name="predictor" descr="Predictive loyalty score chart" title="Loyalty Predi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8130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Рисунок 4. Предиктивный Score лояльности по типам действий</w:t>
      </w:r>
    </w:p>
    <w:p>
      <w:pPr>
        <w:pStyle w:val="Heading2"/>
      </w:pPr>
      <w:bookmarkStart w:id="100018" w:name="_Toc100018"/>
      <w:r>
        <w:t xml:space="preserve">6.2. Пороговые значения</w:t>
      </w:r>
      <w:bookmarkEnd w:id="100018"/>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Score</w:t>
            </w:r>
          </w:p>
        </w:tc>
        <w:tc>
          <w:tcPr>
            <w:tcW w:type="dxa" w:w="234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Сегмент LD2</w:t>
            </w:r>
          </w:p>
        </w:tc>
        <w:tc>
          <w:tcPr>
            <w:tcW w:type="dxa" w:w="468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Интерпретация</w:t>
            </w:r>
          </w:p>
        </w:tc>
      </w:tr>
      <w:tr>
        <w:tc>
          <w:tcPr>
            <w:tcW w:type="dxa" w:w="234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 0.70</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b/>
                <w:bCs/>
                <w:color w:val="3D3735"/>
                <w:sz w:val="22"/>
                <w:szCs w:val="22"/>
              </w:rPr>
              <w:t xml:space="preserve">Ядро</w:t>
            </w:r>
          </w:p>
        </w:tc>
        <w:tc>
          <w:tcPr>
            <w:tcW w:type="dxa" w:w="468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Высокая вероятность лояльности, приоритет в обслуживании</w:t>
            </w:r>
          </w:p>
        </w:tc>
      </w:tr>
      <w:tr>
        <w:tc>
          <w:tcPr>
            <w:tcW w:type="dxa" w:w="234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0.50 – 0.69</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Симпатики</w:t>
            </w:r>
          </w:p>
        </w:tc>
        <w:tc>
          <w:tcPr>
            <w:tcW w:type="dxa" w:w="468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Потенциал конверсии в ядро, targeted engagement</w:t>
            </w:r>
          </w:p>
        </w:tc>
      </w:tr>
      <w:tr>
        <w:tc>
          <w:tcPr>
            <w:tcW w:type="dxa" w:w="234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0.30 – 0.49</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Нейтралы</w:t>
            </w:r>
          </w:p>
        </w:tc>
        <w:tc>
          <w:tcPr>
            <w:tcW w:type="dxa" w:w="468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Минимальные инвестиции, базовый сервис</w:t>
            </w:r>
          </w:p>
        </w:tc>
      </w:tr>
      <w:tr>
        <w:tc>
          <w:tcPr>
            <w:tcW w:type="dxa" w:w="234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&lt; 0.30</w:t>
            </w:r>
          </w:p>
        </w:tc>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Чужие</w:t>
            </w:r>
          </w:p>
        </w:tc>
        <w:tc>
          <w:tcPr>
            <w:tcW w:type="dxa" w:w="468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Игнорировать в LD2-решениях, не тратить ресурсы</w:t>
            </w:r>
          </w:p>
        </w:tc>
      </w:tr>
    </w:tbl>
    <w:p>
      <w:pPr>
        <w:spacing w:after="300" w:before="100"/>
        <w:jc w:val="center"/>
      </w:pPr>
      <w:r>
        <w:rPr>
          <w:rFonts w:ascii="Times New Roman" w:cs="Times New Roman" w:eastAsia="Times New Roman" w:hAnsi="Times New Roman"/>
          <w:i/>
          <w:iCs/>
          <w:color w:val="6B6361"/>
          <w:sz w:val="20"/>
          <w:szCs w:val="20"/>
        </w:rPr>
        <w:t xml:space="preserve">Таблица 4. Пороговые значения предиктивного Score</w:t>
      </w:r>
    </w:p>
    <w:p>
      <w:r>
        <w:br w:type="page"/>
      </w:r>
    </w:p>
    <w:p>
      <w:pPr>
        <w:spacing w:after="400" w:before="200"/>
        <w:jc w:val="center"/>
      </w:pPr>
      <w:r>
        <w:rPr>
          <w:rFonts w:ascii="Times New Roman" w:cs="Times New Roman" w:eastAsia="Times New Roman" w:hAnsi="Times New Roman"/>
          <w:b/>
          <w:bCs/>
          <w:color w:val="26211F"/>
          <w:sz w:val="36"/>
          <w:szCs w:val="36"/>
        </w:rPr>
        <w:t xml:space="preserve">ЧАСТЬ III. ПРИМЕНЕНИЕ</w:t>
      </w:r>
    </w:p>
    <w:p>
      <w:pPr>
        <w:pStyle w:val="Heading1"/>
      </w:pPr>
      <w:bookmarkStart w:id="100019" w:name="_Toc100019"/>
      <w:r>
        <w:t xml:space="preserve">7. Динамические персоны ядра</w:t>
      </w:r>
      <w:bookmarkEnd w:id="100019"/>
    </w:p>
    <w:p>
      <w:pPr>
        <w:spacing w:after="200" w:line="312"/>
      </w:pPr>
      <w:r>
        <w:rPr>
          <w:rFonts w:ascii="Times New Roman" w:cs="Times New Roman" w:eastAsia="Times New Roman" w:hAnsi="Times New Roman"/>
          <w:color w:val="3D3735"/>
          <w:sz w:val="24"/>
          <w:szCs w:val="24"/>
        </w:rPr>
        <w:t xml:space="preserve">Вместо статической персоны в PDF, интегрированная методология создаёт динамического AI-агента, обученного на данных реальных пользователей из ядра. Вы можете спросить: «Что ядро думает о новой функции?» — и получить ответ, основанный на поведенческих паттернах, а не на предположениях.</w:t>
      </w:r>
    </w:p>
    <w:p>
      <w:pPr>
        <w:pStyle w:val="Heading2"/>
      </w:pPr>
      <w:bookmarkStart w:id="100020" w:name="_Toc100020"/>
      <w:r>
        <w:t xml:space="preserve">7.1. Шаблон промпта для AI-ассистента</w:t>
      </w:r>
      <w:bookmarkEnd w:id="100020"/>
    </w:p>
    <w:p>
      <w:pPr>
        <w:spacing w:after="200" w:line="312"/>
      </w:pPr>
      <w:r>
        <w:rPr>
          <w:rFonts w:ascii="Times New Roman" w:cs="Times New Roman" w:eastAsia="Times New Roman" w:hAnsi="Times New Roman"/>
          <w:color w:val="3D3735"/>
          <w:sz w:val="24"/>
          <w:szCs w:val="24"/>
        </w:rPr>
        <w:t xml:space="preserve">Промпт для создания AI-ассистента ядра: «Ты — представитель ядра аудитории продукта [Название]. Твоя база знаний включает: 1) Поведенческие паттерны кластера ядра (данные за 6 месяцев), 2) Типовые последовательности действий с confidence ≥ 0.8, 3) 500+ отзывов от пользователей с LoyaltyScore ≥ 0.7, 4) История успешных конверсий. Твоя задача — отвечать на вопросы продуктовой команды от лица ядра, прогнозировать реакцию на изменения и предлагать приоритеты развития. Отвечай в первом лице, отражая ценности и поведение ядра.»</w:t>
      </w:r>
    </w:p>
    <w:p>
      <w:pPr>
        <w:pStyle w:val="Heading2"/>
      </w:pPr>
      <w:bookmarkStart w:id="100021" w:name="_Toc100021"/>
      <w:r>
        <w:t xml:space="preserve">7.2. Примеры вопросов к AI-ассистенту ядра</w:t>
      </w:r>
      <w:bookmarkEnd w:id="100021"/>
    </w:p>
    <w:p>
      <w:pPr>
        <w:pStyle w:val="ListParagraph"/>
        <w:numPr>
          <w:ilvl w:val="0"/>
          <w:numId w:val="2"/>
        </w:numPr>
      </w:pPr>
      <w:r>
        <w:rPr>
          <w:rFonts w:ascii="Times New Roman" w:cs="Times New Roman" w:eastAsia="Times New Roman" w:hAnsi="Times New Roman"/>
          <w:color w:val="3D3735"/>
          <w:sz w:val="24"/>
          <w:szCs w:val="24"/>
        </w:rPr>
        <w:t xml:space="preserve">«Как ядро отреагирует на изменение навигации в каталоге?» — прогноз реакции на основе паттернов</w:t>
      </w:r>
    </w:p>
    <w:p>
      <w:pPr>
        <w:pStyle w:val="ListParagraph"/>
        <w:numPr>
          <w:ilvl w:val="0"/>
          <w:numId w:val="2"/>
        </w:numPr>
      </w:pPr>
      <w:r>
        <w:rPr>
          <w:rFonts w:ascii="Times New Roman" w:cs="Times New Roman" w:eastAsia="Times New Roman" w:hAnsi="Times New Roman"/>
          <w:color w:val="3D3735"/>
          <w:sz w:val="24"/>
          <w:szCs w:val="24"/>
        </w:rPr>
        <w:t xml:space="preserve">«Какие три функции наиболее важны для нас?» — приоритизация на основе поведения</w:t>
      </w:r>
    </w:p>
    <w:p>
      <w:pPr>
        <w:pStyle w:val="ListParagraph"/>
        <w:numPr>
          <w:ilvl w:val="0"/>
          <w:numId w:val="2"/>
        </w:numPr>
      </w:pPr>
      <w:r>
        <w:rPr>
          <w:rFonts w:ascii="Times New Roman" w:cs="Times New Roman" w:eastAsia="Times New Roman" w:hAnsi="Times New Roman"/>
          <w:color w:val="3D3735"/>
          <w:sz w:val="24"/>
          <w:szCs w:val="24"/>
        </w:rPr>
        <w:t xml:space="preserve">«Что может заставить нас уйти к конкуренту?» — ранние сигналы оттока</w:t>
      </w:r>
    </w:p>
    <w:p>
      <w:pPr>
        <w:pStyle w:val="ListParagraph"/>
        <w:numPr>
          <w:ilvl w:val="0"/>
          <w:numId w:val="2"/>
        </w:numPr>
      </w:pPr>
      <w:r>
        <w:rPr>
          <w:rFonts w:ascii="Times New Roman" w:cs="Times New Roman" w:eastAsia="Times New Roman" w:hAnsi="Times New Roman"/>
          <w:color w:val="3D3735"/>
          <w:sz w:val="24"/>
          <w:szCs w:val="24"/>
        </w:rPr>
        <w:t xml:space="preserve">«Предложи два улучшения, которые увеличят нашу вовлечённость» — проактивные идеи</w:t>
      </w:r>
    </w:p>
    <w:p>
      <w:pPr>
        <w:pStyle w:val="Heading1"/>
      </w:pPr>
      <w:bookmarkStart w:id="100022" w:name="_Toc100022"/>
      <w:r>
        <w:t xml:space="preserve">8. Живые CJM по сегментам</w:t>
      </w:r>
      <w:bookmarkEnd w:id="100022"/>
    </w:p>
    <w:p>
      <w:pPr>
        <w:spacing w:after="200" w:line="312"/>
      </w:pPr>
      <w:r>
        <w:rPr>
          <w:rFonts w:ascii="Times New Roman" w:cs="Times New Roman" w:eastAsia="Times New Roman" w:hAnsi="Times New Roman"/>
          <w:color w:val="3D3735"/>
          <w:sz w:val="24"/>
          <w:szCs w:val="24"/>
        </w:rPr>
        <w:t xml:space="preserve">Вместо статической карты путешествия клиента, интегрированная система создаёт живые CJM для каждого сегмента LD2, обновляемые еженедельно на основе реальных данных.</w:t>
      </w:r>
    </w:p>
    <w:p>
      <w:pPr>
        <w:pStyle w:val="Heading2"/>
      </w:pPr>
      <w:bookmarkStart w:id="100023" w:name="_Toc100023"/>
      <w:r>
        <w:t xml:space="preserve">8.1. Структура живого CJM</w:t>
      </w:r>
      <w:bookmarkEnd w:id="100023"/>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Этап</w:t>
            </w:r>
          </w:p>
        </w:tc>
        <w:tc>
          <w:tcPr>
            <w:tcW w:type="dxa" w:w="351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Метрики (реальные данные)</w:t>
            </w:r>
          </w:p>
        </w:tc>
        <w:tc>
          <w:tcPr>
            <w:tcW w:type="dxa" w:w="351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AI-рекомендация</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Вход</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Сваливание: 15% (↓3% за неделю)</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Оптимизировать лендинг под источник</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Каталог</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Глубина: 4.2 страницы, время: 3мин</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Добавить быстрые фильтры</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Карточка</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Добавление в корзину: 34%</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Показать похожие товары</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Корзина</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Отказ: 28%, основная боль: «доставка»</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Предрасчёт доставки на раннем этапе</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Оплата</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Конверсия: 67% для ядра, 23% для периферии</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Упростить форму для не-ядра</w:t>
            </w:r>
          </w:p>
        </w:tc>
      </w:tr>
    </w:tbl>
    <w:p>
      <w:pPr>
        <w:spacing w:after="300" w:before="100"/>
        <w:jc w:val="center"/>
      </w:pPr>
      <w:r>
        <w:rPr>
          <w:rFonts w:ascii="Times New Roman" w:cs="Times New Roman" w:eastAsia="Times New Roman" w:hAnsi="Times New Roman"/>
          <w:i/>
          <w:iCs/>
          <w:color w:val="6B6361"/>
          <w:sz w:val="20"/>
          <w:szCs w:val="20"/>
        </w:rPr>
        <w:t xml:space="preserve">Таблица 5. Пример живого CJM для ядра</w:t>
      </w:r>
    </w:p>
    <w:p>
      <w:pPr>
        <w:pStyle w:val="Heading1"/>
      </w:pPr>
      <w:bookmarkStart w:id="100024" w:name="_Toc100024"/>
      <w:r>
        <w:t xml:space="preserve">9. Система метрик и дашборд</w:t>
      </w:r>
      <w:bookmarkEnd w:id="100024"/>
    </w:p>
    <w:p>
      <w:pPr>
        <w:pStyle w:val="Heading2"/>
      </w:pPr>
      <w:bookmarkStart w:id="100025" w:name="_Toc100025"/>
      <w:r>
        <w:t xml:space="preserve">9.1. Метрики качества предиктивной системы</w:t>
      </w:r>
      <w:bookmarkEnd w:id="100025"/>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Метрика</w:t>
            </w:r>
          </w:p>
        </w:tc>
        <w:tc>
          <w:tcPr>
            <w:tcW w:type="dxa" w:w="312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Формула</w:t>
            </w:r>
          </w:p>
        </w:tc>
        <w:tc>
          <w:tcPr>
            <w:tcW w:type="dxa" w:w="312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Целевое значение</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Accuracy предиктора</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Верно предсказанные / Все предсказания</w:t>
            </w:r>
          </w:p>
        </w:tc>
        <w:tc>
          <w:tcPr>
            <w:tcW w:type="dxa" w:w="312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 0.65</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Coverage правил</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Доля запросов с правилом conf ≥ 0.6</w:t>
            </w:r>
          </w:p>
        </w:tc>
        <w:tc>
          <w:tcPr>
            <w:tcW w:type="dxa" w:w="312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 0.80</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Latency p95</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Время ответа API</w:t>
            </w:r>
          </w:p>
        </w:tc>
        <w:tc>
          <w:tcPr>
            <w:tcW w:type="dxa" w:w="312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&lt; 50 мс</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Core Detection Rate</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Доля ядра, корректно идентифицированного</w:t>
            </w:r>
          </w:p>
        </w:tc>
        <w:tc>
          <w:tcPr>
            <w:tcW w:type="dxa" w:w="312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 0.85</w:t>
            </w:r>
          </w:p>
        </w:tc>
      </w:tr>
    </w:tbl>
    <w:p>
      <w:pPr>
        <w:spacing w:after="300" w:before="100"/>
        <w:jc w:val="center"/>
      </w:pPr>
      <w:r>
        <w:rPr>
          <w:rFonts w:ascii="Times New Roman" w:cs="Times New Roman" w:eastAsia="Times New Roman" w:hAnsi="Times New Roman"/>
          <w:i/>
          <w:iCs/>
          <w:color w:val="6B6361"/>
          <w:sz w:val="20"/>
          <w:szCs w:val="20"/>
        </w:rPr>
        <w:t xml:space="preserve">Таблица 6. Метрики качества предиктивной системы</w:t>
      </w:r>
    </w:p>
    <w:p>
      <w:pPr>
        <w:pStyle w:val="Heading2"/>
      </w:pPr>
      <w:bookmarkStart w:id="100026" w:name="_Toc100026"/>
      <w:r>
        <w:t xml:space="preserve">9.2. Бизнес-метрики LD2</w:t>
      </w:r>
      <w:bookmarkEnd w:id="100026"/>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Метрика</w:t>
            </w:r>
          </w:p>
        </w:tc>
        <w:tc>
          <w:tcPr>
            <w:tcW w:type="dxa" w:w="312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Определение</w:t>
            </w:r>
          </w:p>
        </w:tc>
        <w:tc>
          <w:tcPr>
            <w:tcW w:type="dxa" w:w="312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Target</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Core Retention</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 ядра, сохранившегося за период</w:t>
            </w:r>
          </w:p>
        </w:tc>
        <w:tc>
          <w:tcPr>
            <w:tcW w:type="dxa" w:w="312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&gt; 90% годовых</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Core Share</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Доля ядра в аудитории</w:t>
            </w:r>
          </w:p>
        </w:tc>
        <w:tc>
          <w:tcPr>
            <w:tcW w:type="dxa" w:w="312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15-25%</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Core NPS</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NPS только для ядра</w:t>
            </w:r>
          </w:p>
        </w:tc>
        <w:tc>
          <w:tcPr>
            <w:tcW w:type="dxa" w:w="312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&gt; 70</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Sympathizer-to-Core Rate</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 симпатиков → ядро за квартал</w:t>
            </w:r>
          </w:p>
        </w:tc>
        <w:tc>
          <w:tcPr>
            <w:tcW w:type="dxa" w:w="312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5-10%</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Rule Freshness</w:t>
            </w:r>
          </w:p>
        </w:tc>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Дней с последнего пересчёта</w:t>
            </w:r>
          </w:p>
        </w:tc>
        <w:tc>
          <w:tcPr>
            <w:tcW w:type="dxa" w:w="3120"/>
            <w:tcBorders>
              <w:top w:val="single" w:color="D4C4B5" w:sz="1"/>
              <w:left w:val="single" w:color="D4C4B5" w:sz="1"/>
              <w:bottom w:val="single" w:color="D4C4B5" w:sz="1"/>
              <w:right w:val="single" w:color="D4C4B5" w:sz="1"/>
            </w:tcBorders>
            <w:vAlign w:val="center"/>
          </w:tcPr>
          <w:p>
            <w:pPr>
              <w:jc w:val="center"/>
            </w:pPr>
            <w:r>
              <w:rPr>
                <w:rFonts w:ascii="Times New Roman" w:cs="Times New Roman" w:eastAsia="Times New Roman" w:hAnsi="Times New Roman"/>
                <w:color w:val="3D3735"/>
                <w:sz w:val="22"/>
                <w:szCs w:val="22"/>
              </w:rPr>
              <w:t xml:space="preserve">&lt; 7 дней</w:t>
            </w:r>
          </w:p>
        </w:tc>
      </w:tr>
    </w:tbl>
    <w:p>
      <w:pPr>
        <w:spacing w:after="300" w:before="100"/>
        <w:jc w:val="center"/>
      </w:pPr>
      <w:r>
        <w:rPr>
          <w:rFonts w:ascii="Times New Roman" w:cs="Times New Roman" w:eastAsia="Times New Roman" w:hAnsi="Times New Roman"/>
          <w:i/>
          <w:iCs/>
          <w:color w:val="6B6361"/>
          <w:sz w:val="20"/>
          <w:szCs w:val="20"/>
        </w:rPr>
        <w:t xml:space="preserve">Таблица 7. Бизнес-метрики LD2 в интегрированной системе</w:t>
      </w:r>
    </w:p>
    <w:p>
      <w:pPr>
        <w:pStyle w:val="Heading1"/>
      </w:pPr>
      <w:bookmarkStart w:id="100027" w:name="_Toc100027"/>
      <w:r>
        <w:t xml:space="preserve">10. Риски и митигация</w:t>
      </w:r>
      <w:bookmarkEnd w:id="100027"/>
    </w:p>
    <w:p>
      <w:pPr>
        <w:pStyle w:val="Heading2"/>
      </w:pPr>
      <w:bookmarkStart w:id="100028" w:name="_Toc100028"/>
      <w:r>
        <w:t xml:space="preserve">10.1. Риски интеграции</w:t>
      </w:r>
      <w:bookmarkEnd w:id="100028"/>
    </w:p>
    <w:p>
      <w:pPr>
        <w:spacing w:after="100" w:before="200"/>
        <w:jc w:val="center"/>
      </w:pPr>
      <w:r>
        <w:drawing>
          <wp:inline distT="0" distB="0" distL="0" distR="0">
            <wp:extent cx="4572000" cy="3657600"/>
            <wp:effectExtent t="0" r="0" b="0" l="0"/>
            <wp:docPr id="1" name="risk" descr="Risk matrix for integrated methodology" titl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5760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Рисунок 5. Матрица рисков интегрированной методологии</w:t>
      </w:r>
    </w:p>
    <w:p>
      <w:pPr>
        <w:pStyle w:val="Heading3"/>
      </w:pPr>
      <w:bookmarkStart w:id="100029" w:name="_Toc100029"/>
      <w:r>
        <w:t xml:space="preserve">Риск 1: Переобучение на исторических данных</w:t>
      </w:r>
      <w:bookmarkEnd w:id="100029"/>
    </w:p>
    <w:p>
      <w:pPr>
        <w:spacing w:after="200" w:line="312"/>
      </w:pPr>
      <w:r>
        <w:rPr>
          <w:rFonts w:ascii="Times New Roman" w:cs="Times New Roman" w:eastAsia="Times New Roman" w:hAnsi="Times New Roman"/>
          <w:color w:val="3D3735"/>
          <w:sz w:val="24"/>
          <w:szCs w:val="24"/>
        </w:rPr>
        <w:t xml:space="preserve">Описание: Правила работают на старых данных, но не на новых. После изменения продукта или рынка предиктор теряет точность. Техники митигации: еженедельный пересчёт на скользящем окне (последние 30-60 дней), валидация на hold-out выборке, автоматический алерт при падении accuracy ниже 0.55, быстрый пересчёт (1-2 дня) после крупных релизов.</w:t>
      </w:r>
    </w:p>
    <w:p>
      <w:pPr>
        <w:pStyle w:val="Heading3"/>
      </w:pPr>
      <w:bookmarkStart w:id="100030" w:name="_Toc100030"/>
      <w:r>
        <w:t xml:space="preserve">Риск 2: Эхо-камера изоляции</w:t>
      </w:r>
      <w:bookmarkEnd w:id="100030"/>
    </w:p>
    <w:p>
      <w:pPr>
        <w:spacing w:after="200" w:line="312"/>
      </w:pPr>
      <w:r>
        <w:rPr>
          <w:rFonts w:ascii="Times New Roman" w:cs="Times New Roman" w:eastAsia="Times New Roman" w:hAnsi="Times New Roman"/>
          <w:color w:val="3D3735"/>
          <w:sz w:val="24"/>
          <w:szCs w:val="24"/>
        </w:rPr>
        <w:t xml:space="preserve">Описание: Фокус только на ядре приводит к потере связи с рынком и emerging trends. Продукт удовлетворяет только внутреннюю аудиторию, игнорируя внешние изменения. Техники митигации: периферийное сканирование — 15-20% ресурсов на мониторинг emerging trends, даже если ядро их не запрашивает, «адвокат дьявола» — назначить члена команды, который систематически оспаривает решения с позиции «что, если ядро ошибается?», горизонатльные интервью — регулярно опрашивать не-пользователей и бывших пользователей для понимания рынка, cross-pollination — изучать смежные индустрии и их инновации.</w:t>
      </w:r>
    </w:p>
    <w:p>
      <w:pPr>
        <w:pStyle w:val="Heading3"/>
      </w:pPr>
      <w:bookmarkStart w:id="100031" w:name="_Toc100031"/>
      <w:r>
        <w:t xml:space="preserve">Риск 3: Холодный старт для новых пользователей</w:t>
      </w:r>
      <w:bookmarkEnd w:id="100031"/>
    </w:p>
    <w:p>
      <w:pPr>
        <w:spacing w:after="200" w:line="312"/>
      </w:pPr>
      <w:r>
        <w:rPr>
          <w:rFonts w:ascii="Times New Roman" w:cs="Times New Roman" w:eastAsia="Times New Roman" w:hAnsi="Times New Roman"/>
          <w:color w:val="3D3735"/>
          <w:sz w:val="24"/>
          <w:szCs w:val="24"/>
        </w:rPr>
        <w:t xml:space="preserve">Описание: Для новых пользователей нет истории поведения, невозможно определить сегмент LD2. Техники митигации: использовать fallback-правила на основе глобальных паттернов, определять сегмент по контексту (источник, устройство, первый action), применять epsilon-greedy exploration — 10% запросов получают случайное действие для сбора данных.</w:t>
      </w:r>
    </w:p>
    <w:p>
      <w:pPr>
        <w:pStyle w:val="Heading3"/>
      </w:pPr>
      <w:bookmarkStart w:id="100032" w:name="_Toc100032"/>
      <w:r>
        <w:t xml:space="preserve">Риск 4: Слепое доверие AI</w:t>
      </w:r>
      <w:bookmarkEnd w:id="100032"/>
    </w:p>
    <w:p>
      <w:pPr>
        <w:spacing w:after="200" w:line="312"/>
      </w:pPr>
      <w:r>
        <w:rPr>
          <w:rFonts w:ascii="Times New Roman" w:cs="Times New Roman" w:eastAsia="Times New Roman" w:hAnsi="Times New Roman"/>
          <w:color w:val="3D3735"/>
          <w:sz w:val="24"/>
          <w:szCs w:val="24"/>
        </w:rPr>
        <w:t xml:space="preserve">Описание: «AI сказал, значит, так и есть» — команда перестаёт критически оценивать рекомендации. Техники митигации: AI — инструмент, а не оракул. Все рекомендации нужно проверять через A/B-тесты, ручная валидация критических решений, регулярные калибровочные сессии команды с разбором ошибок предиктора.</w:t>
      </w:r>
    </w:p>
    <w:p>
      <w:r>
        <w:br w:type="page"/>
      </w:r>
    </w:p>
    <w:p>
      <w:pPr>
        <w:spacing w:after="400" w:before="200"/>
        <w:jc w:val="center"/>
      </w:pPr>
      <w:r>
        <w:rPr>
          <w:rFonts w:ascii="Times New Roman" w:cs="Times New Roman" w:eastAsia="Times New Roman" w:hAnsi="Times New Roman"/>
          <w:b/>
          <w:bCs/>
          <w:color w:val="26211F"/>
          <w:sz w:val="36"/>
          <w:szCs w:val="36"/>
        </w:rPr>
        <w:t xml:space="preserve">ЧАСТЬ IV. СРАВНЕНИЕ ПОДХОДОВ</w:t>
      </w:r>
    </w:p>
    <w:p>
      <w:pPr>
        <w:pStyle w:val="Heading1"/>
      </w:pPr>
      <w:bookmarkStart w:id="100033" w:name="_Toc100033"/>
      <w:r>
        <w:t xml:space="preserve">11. Статические vs Динамические артефакты</w:t>
      </w:r>
      <w:bookmarkEnd w:id="100033"/>
    </w:p>
    <w:p>
      <w:pPr>
        <w:spacing w:after="100" w:before="200"/>
        <w:jc w:val="center"/>
      </w:pPr>
      <w:r>
        <w:drawing>
          <wp:inline distT="0" distB="0" distL="0" distR="0">
            <wp:extent cx="5334000" cy="2286000"/>
            <wp:effectExtent t="0" r="0" b="0" l="0"/>
            <wp:docPr id="1" name="static" descr="Comparison chart" title="Static vs Dyna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8600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Рисунок 6. Сравнение статических и динамических артефактов</w:t>
      </w:r>
    </w:p>
    <w:p>
      <w:pPr>
        <w:pStyle w:val="Heading2"/>
      </w:pPr>
      <w:bookmarkStart w:id="100034" w:name="_Toc100034"/>
      <w:r>
        <w:t xml:space="preserve">11.1. Сравнительная таблица</w:t>
      </w:r>
      <w:bookmarkEnd w:id="100034"/>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Критерий</w:t>
            </w:r>
          </w:p>
        </w:tc>
        <w:tc>
          <w:tcPr>
            <w:tcW w:type="dxa" w:w="351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Статические артефакты</w:t>
            </w:r>
          </w:p>
        </w:tc>
        <w:tc>
          <w:tcPr>
            <w:tcW w:type="dxa" w:w="351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Динамические артефакты</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Время создания</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40-100 часов</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1-2 недели на настройку, далее авто</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Актуальность</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Устаревает через 2-3 месяца</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Еженедельное автообновление</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Интерактивность</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Нельзя спросить, изменить</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API, чат с AI-ассистентом</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Основа</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Интервью, предположения</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Реальное поведение 10K+ пользователей</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Предиктивность</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Нет</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Прогноз следующего действия</w:t>
            </w:r>
          </w:p>
        </w:tc>
      </w:tr>
      <w:tr>
        <w:tc>
          <w:tcPr>
            <w:tcW w:type="dxa" w:w="23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Сегментация LD2</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Нет интеграции</w:t>
            </w:r>
          </w:p>
        </w:tc>
        <w:tc>
          <w:tcPr>
            <w:tcW w:type="dxa" w:w="351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Автоматическая идентификация ядра</w:t>
            </w:r>
          </w:p>
        </w:tc>
      </w:tr>
    </w:tbl>
    <w:p>
      <w:pPr>
        <w:spacing w:after="300" w:before="100"/>
        <w:jc w:val="center"/>
      </w:pPr>
      <w:r>
        <w:rPr>
          <w:rFonts w:ascii="Times New Roman" w:cs="Times New Roman" w:eastAsia="Times New Roman" w:hAnsi="Times New Roman"/>
          <w:i/>
          <w:iCs/>
          <w:color w:val="6B6361"/>
          <w:sz w:val="20"/>
          <w:szCs w:val="20"/>
        </w:rPr>
        <w:t xml:space="preserve">Таблица 8. Сравнение статических и динамических артефактов</w:t>
      </w:r>
    </w:p>
    <w:p>
      <w:pPr>
        <w:pStyle w:val="Heading1"/>
      </w:pPr>
      <w:bookmarkStart w:id="100035" w:name="_Toc100035"/>
      <w:r>
        <w:t xml:space="preserve">12. Заключение: практические шаги внедрения</w:t>
      </w:r>
      <w:bookmarkEnd w:id="100035"/>
    </w:p>
    <w:p>
      <w:pPr>
        <w:pStyle w:val="Heading2"/>
      </w:pPr>
      <w:bookmarkStart w:id="100036" w:name="_Toc100036"/>
      <w:r>
        <w:t xml:space="preserve">12.1. План внедрения (4 этапа)</w:t>
      </w:r>
      <w:bookmarkEnd w:id="100036"/>
    </w:p>
    <w:p>
      <w:pPr>
        <w:pStyle w:val="ListParagraph"/>
        <w:numPr>
          <w:ilvl w:val="0"/>
          <w:numId w:val="3"/>
        </w:numPr>
      </w:pPr>
      <w:r>
        <w:rPr>
          <w:rFonts w:ascii="Times New Roman" w:cs="Times New Roman" w:eastAsia="Times New Roman" w:hAnsi="Times New Roman"/>
          <w:color w:val="3D3735"/>
          <w:sz w:val="24"/>
          <w:szCs w:val="24"/>
        </w:rPr>
        <w:t xml:space="preserve">Неделя 1-2: Сбор данных. Настроить выгрузку из Яндекс.Метрики/аналитики, собрать минимум 10,000 визитов, подготовить ETL-процесс.</w:t>
      </w:r>
    </w:p>
    <w:p>
      <w:pPr>
        <w:pStyle w:val="ListParagraph"/>
        <w:numPr>
          <w:ilvl w:val="0"/>
          <w:numId w:val="3"/>
        </w:numPr>
      </w:pPr>
      <w:r>
        <w:rPr>
          <w:rFonts w:ascii="Times New Roman" w:cs="Times New Roman" w:eastAsia="Times New Roman" w:hAnsi="Times New Roman"/>
          <w:color w:val="3D3735"/>
          <w:sz w:val="24"/>
          <w:szCs w:val="24"/>
        </w:rPr>
        <w:t xml:space="preserve">Неделя 3-4: Кластеризация и маппинг. Провести кластеризацию, определить маппинг на сегменты LD2, валидировать с командой.</w:t>
      </w:r>
    </w:p>
    <w:p>
      <w:pPr>
        <w:pStyle w:val="ListParagraph"/>
        <w:numPr>
          <w:ilvl w:val="0"/>
          <w:numId w:val="3"/>
        </w:numPr>
      </w:pPr>
      <w:r>
        <w:rPr>
          <w:rFonts w:ascii="Times New Roman" w:cs="Times New Roman" w:eastAsia="Times New Roman" w:hAnsi="Times New Roman"/>
          <w:color w:val="3D3735"/>
          <w:sz w:val="24"/>
          <w:szCs w:val="24"/>
        </w:rPr>
        <w:t xml:space="preserve">Неделя 5-6: Правила и предиктор. Извлечь правила PrefixSpan, построить предиктивный API, создать AI-ассистента ядра.</w:t>
      </w:r>
    </w:p>
    <w:p>
      <w:pPr>
        <w:pStyle w:val="ListParagraph"/>
        <w:numPr>
          <w:ilvl w:val="0"/>
          <w:numId w:val="3"/>
        </w:numPr>
      </w:pPr>
      <w:r>
        <w:rPr>
          <w:rFonts w:ascii="Times New Roman" w:cs="Times New Roman" w:eastAsia="Times New Roman" w:hAnsi="Times New Roman"/>
          <w:color w:val="3D3735"/>
          <w:sz w:val="24"/>
          <w:szCs w:val="24"/>
        </w:rPr>
        <w:t xml:space="preserve">Неделя 7-8: Интеграция и тестирование. Интегрировать с продуктом, провести A/B-тест, настроить дашборд метрик.</w:t>
      </w:r>
    </w:p>
    <w:p>
      <w:pPr>
        <w:pStyle w:val="Heading2"/>
      </w:pPr>
      <w:bookmarkStart w:id="100037" w:name="_Toc100037"/>
      <w:r>
        <w:t xml:space="preserve">12.2. Ключевые инсайты</w:t>
      </w:r>
      <w:bookmarkEnd w:id="100037"/>
    </w:p>
    <w:p>
      <w:pPr>
        <w:spacing w:after="200" w:line="312"/>
      </w:pPr>
      <w:r>
        <w:rPr>
          <w:rFonts w:ascii="Times New Roman" w:cs="Times New Roman" w:eastAsia="Times New Roman" w:hAnsi="Times New Roman"/>
          <w:color w:val="3D3735"/>
          <w:sz w:val="24"/>
          <w:szCs w:val="24"/>
        </w:rPr>
        <w:t xml:space="preserve">Интеграция LD2 и динамических артефактов создаёт синергетический эффект: стратегическая методология лояльности получает техническую инфраструктуру для операционализации, а техническая методология предиктивного анализа получает стратегический фокус на выращивании ядра. Вместе они заменяют статические документы на живые, самообновляемые модели, которые не только описывают поведение, но и прогнозируют его.</w:t>
      </w:r>
    </w:p>
    <w:p>
      <w:pPr>
        <w:spacing w:after="200" w:line="312"/>
      </w:pPr>
      <w:r>
        <w:rPr>
          <w:rFonts w:ascii="Times New Roman" w:cs="Times New Roman" w:eastAsia="Times New Roman" w:hAnsi="Times New Roman"/>
          <w:color w:val="3D3735"/>
          <w:sz w:val="24"/>
          <w:szCs w:val="24"/>
        </w:rPr>
        <w:t xml:space="preserve">Главный принцип интеграции: вместо того чтобы создавать артефакты о пользователях, — создавайте системы, которые понимают пользователей в реальном времени и помогают им на пути к ценности. Лояльность — это не побочный эффект, а сознательно выращиваемый актив, и интегрированная методология предоставляет инструменты для этого выращивания.</w:t>
      </w:r>
    </w:p>
    <w:p>
      <w:r>
        <w:br w:type="page"/>
      </w:r>
    </w:p>
    <w:p>
      <w:pPr>
        <w:spacing w:after="400" w:before="200"/>
        <w:jc w:val="center"/>
      </w:pPr>
      <w:r>
        <w:rPr>
          <w:rFonts w:ascii="Times New Roman" w:cs="Times New Roman" w:eastAsia="Times New Roman" w:hAnsi="Times New Roman"/>
          <w:b/>
          <w:bCs/>
          <w:color w:val="26211F"/>
          <w:sz w:val="36"/>
          <w:szCs w:val="36"/>
        </w:rPr>
        <w:t xml:space="preserve">ПРИЛОЖЕНИЯ</w:t>
      </w:r>
    </w:p>
    <w:p>
      <w:pPr>
        <w:pStyle w:val="Heading1"/>
      </w:pPr>
      <w:bookmarkStart w:id="100038" w:name="_Toc100038"/>
      <w:r>
        <w:t xml:space="preserve">Приложение A: SQL-запрос для выгрузки данных</w:t>
      </w:r>
      <w:bookmarkEnd w:id="100038"/>
    </w:p>
    <w:p>
      <w:pPr>
        <w:spacing w:after="200" w:line="250"/>
      </w:pPr>
      <w:r>
        <w:rPr>
          <w:rFonts w:ascii="Courier New" w:cs="Courier New" w:eastAsia="Courier New" w:hAnsi="Courier New"/>
          <w:sz w:val="20"/>
          <w:szCs w:val="20"/>
        </w:rPr>
        <w:t xml:space="preserve">-- Агрегация визитов с последовательностью страниц
SELECT 
    VisitID,
    StartDate,
    ClientID,
    StartURL AS EntryPage,
    EndURL AS ExitPage,
    PageViews,
    Duration,
    TrafficSource.ID AS Source,
    arrayMap(x -&gt; PageURL, WatchIDs) AS HitSequence
FROM visits_table
WHERE StartDate BETWEEN '2025-01-01' AND '2025-01-31'
GROUP BY VisitID</w:t>
      </w:r>
    </w:p>
    <w:p>
      <w:pPr>
        <w:pStyle w:val="Heading1"/>
      </w:pPr>
      <w:bookmarkStart w:id="100039" w:name="_Toc100039"/>
      <w:r>
        <w:t xml:space="preserve">Приложение B: Python-код кластеризации</w:t>
      </w:r>
      <w:bookmarkEnd w:id="100039"/>
    </w:p>
    <w:p>
      <w:pPr>
        <w:spacing w:after="200" w:line="250"/>
      </w:pPr>
      <w:r>
        <w:rPr>
          <w:rFonts w:ascii="Courier New" w:cs="Courier New" w:eastAsia="Courier New" w:hAnsi="Courier New"/>
          <w:sz w:val="20"/>
          <w:szCs w:val="20"/>
        </w:rPr>
        <w:t xml:space="preserve">from sklearn.cluster import KMeans
from sklearn.preprocessing import StandardScaler
# Подготовка признаков
features = df[['page_views', 'duration_sec', 'goal_completions', 'visit_frequency']]
scaler = StandardScaler()
X_scaled = scaler.fit_transform(features)
# Кластеризация
kmeans = KMeans(n_clusters=5, random_state=42)
df['cluster'] = kmeans.fit_predict(X_scaled)
# Маппинг на LD2 сегменты
segment_map = {0: 'core', 1: 'sympathizers', 2: 'neutral', 3: 'alien', 4: 'sympathizers'}
df['ld2_segment'] = df['cluster'].map(segment_map)</w:t>
      </w:r>
    </w:p>
    <w:p>
      <w:pPr>
        <w:pStyle w:val="Heading1"/>
      </w:pPr>
      <w:bookmarkStart w:id="100040" w:name="_Toc100040"/>
      <w:r>
        <w:t xml:space="preserve">Приложение C: Глоссарий интегрированной методологии</w:t>
      </w:r>
      <w:bookmarkEnd w:id="100040"/>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Термин</w:t>
            </w:r>
          </w:p>
        </w:tc>
        <w:tc>
          <w:tcPr>
            <w:tcW w:type="dxa" w:w="6240"/>
            <w:tcBorders>
              <w:top w:val="single" w:color="D4C4B5" w:sz="1"/>
              <w:left w:val="single" w:color="D4C4B5" w:sz="1"/>
              <w:bottom w:val="single" w:color="D4C4B5" w:sz="1"/>
              <w:right w:val="single" w:color="D4C4B5" w:sz="1"/>
            </w:tcBorders>
            <w:shd w:fill="F5F0EB" w:val="clear"/>
            <w:vAlign w:val="center"/>
          </w:tcPr>
          <w:p>
            <w:pPr>
              <w:jc w:val="center"/>
            </w:pPr>
            <w:r>
              <w:rPr>
                <w:rFonts w:ascii="Times New Roman" w:cs="Times New Roman" w:eastAsia="Times New Roman" w:hAnsi="Times New Roman"/>
                <w:b/>
                <w:bCs/>
                <w:color w:val="26211F"/>
                <w:sz w:val="22"/>
                <w:szCs w:val="22"/>
              </w:rPr>
              <w:t xml:space="preserve">Определение</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LD2</w:t>
            </w:r>
          </w:p>
        </w:tc>
        <w:tc>
          <w:tcPr>
            <w:tcW w:type="dxa" w:w="62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Loyalty-Driven Product Design — методология фокусировки на лояльном ядре</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Динамический артефакт</w:t>
            </w:r>
          </w:p>
        </w:tc>
        <w:tc>
          <w:tcPr>
            <w:tcW w:type="dxa" w:w="62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Модель поведения, автоматически обновляемая на основе новых данных</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Предиктивный Score</w:t>
            </w:r>
          </w:p>
        </w:tc>
        <w:tc>
          <w:tcPr>
            <w:tcW w:type="dxa" w:w="62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Комозитный показатель вероятности лояльности пользователя</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Ядро (Core)</w:t>
            </w:r>
          </w:p>
        </w:tc>
        <w:tc>
          <w:tcPr>
            <w:tcW w:type="dxa" w:w="62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Пользователи с Score ≥ 0.70, глубоко привязанные к продукту</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PrefixSpan</w:t>
            </w:r>
          </w:p>
        </w:tc>
        <w:tc>
          <w:tcPr>
            <w:tcW w:type="dxa" w:w="62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Алгоритм поиска частых последовательностей действий</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Confidence</w:t>
            </w:r>
          </w:p>
        </w:tc>
        <w:tc>
          <w:tcPr>
            <w:tcW w:type="dxa" w:w="62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Уверенность правила: доля визитов, где за W следует a</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Support</w:t>
            </w:r>
          </w:p>
        </w:tc>
        <w:tc>
          <w:tcPr>
            <w:tcW w:type="dxa" w:w="62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Доля визитов, содержащих данную последовательность</w:t>
            </w:r>
          </w:p>
        </w:tc>
      </w:tr>
      <w:tr>
        <w:tc>
          <w:tcPr>
            <w:tcW w:type="dxa" w:w="312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Живая персона ядра</w:t>
            </w:r>
          </w:p>
        </w:tc>
        <w:tc>
          <w:tcPr>
            <w:tcW w:type="dxa" w:w="6240"/>
            <w:tcBorders>
              <w:top w:val="single" w:color="D4C4B5" w:sz="1"/>
              <w:left w:val="single" w:color="D4C4B5" w:sz="1"/>
              <w:bottom w:val="single" w:color="D4C4B5" w:sz="1"/>
              <w:right w:val="single" w:color="D4C4B5" w:sz="1"/>
            </w:tcBorders>
            <w:vAlign w:val="center"/>
          </w:tcPr>
          <w:p>
            <w:pPr>
              <w:jc w:val="left"/>
            </w:pPr>
            <w:r>
              <w:rPr>
                <w:rFonts w:ascii="Times New Roman" w:cs="Times New Roman" w:eastAsia="Times New Roman" w:hAnsi="Times New Roman"/>
                <w:color w:val="3D3735"/>
                <w:sz w:val="22"/>
                <w:szCs w:val="22"/>
              </w:rPr>
              <w:t xml:space="preserve">AI-агент, обученный на данных реальных пользователей ядра</w:t>
            </w:r>
          </w:p>
        </w:tc>
      </w:tr>
    </w:tbl>
    <w:p>
      <w:pPr>
        <w:spacing w:after="300" w:before="100"/>
        <w:jc w:val="center"/>
      </w:pPr>
      <w:r>
        <w:rPr>
          <w:rFonts w:ascii="Times New Roman" w:cs="Times New Roman" w:eastAsia="Times New Roman" w:hAnsi="Times New Roman"/>
          <w:i/>
          <w:iCs/>
          <w:color w:val="6B6361"/>
          <w:sz w:val="20"/>
          <w:szCs w:val="20"/>
        </w:rPr>
        <w:t xml:space="preserve">Таблица 9. Глоссарий интегрированной методологии</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61"/>
      </w:rPr>
      <w:t xml:space="preserve">— </w:t>
    </w:r>
    <w:r>
      <w:rPr>
        <w:color w:val="6B6361"/>
      </w:rPr>
      <w:fldChar w:fldCharType="begin"/>
      <w:instrText xml:space="preserve">PAGE</w:instrText>
      <w:fldChar w:fldCharType="separate"/>
      <w:fldChar w:fldCharType="end"/>
    </w:r>
    <w:r>
      <w:rPr>
        <w:color w:val="6B636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B6361"/>
        <w:sz w:val="20"/>
        <w:szCs w:val="20"/>
      </w:rPr>
      <w:t xml:space="preserve">LD2 + Dynamic Artifacts: Интегрированная методология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26211F"/>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6211F"/>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B6361"/>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3D3735"/>
      <w:sz w:val="24"/>
      <w:szCs w:val="24"/>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334f10f98863481f15b6a862a391b0d2e768dc.png"/><Relationship Id="rId10" Type="http://schemas.openxmlformats.org/officeDocument/2006/relationships/image" Target="media/6f9ec1910bb6cea772afcde1944e8e1024c0b245.png"/><Relationship Id="rId11" Type="http://schemas.openxmlformats.org/officeDocument/2006/relationships/image" Target="media/a8fea7148bc06efdf6fb4090d0d75ebdbb1d0f75.png"/><Relationship Id="rId12" Type="http://schemas.openxmlformats.org/officeDocument/2006/relationships/image" Target="media/56060ce38648a8108e0512e93e43d8f2d2ce33ab.png"/><Relationship Id="rId13" Type="http://schemas.openxmlformats.org/officeDocument/2006/relationships/image" Target="media/709f47331d5f8820f93320ff76044085bc9eebc1.png"/><Relationship Id="rId14" Type="http://schemas.openxmlformats.org/officeDocument/2006/relationships/image" Target="media/5c94585d8d592d0dd02737e923c49ba8a202aba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2026-06-05T09:44:28.500Z</dcterms:created>
  <dcterms:modified xsi:type="dcterms:W3CDTF">2026-06-05T09:44:28.500Z</dcterms:modified>
</cp:coreProperties>
</file>

<file path=docProps/custom.xml><?xml version="1.0" encoding="utf-8"?>
<Properties xmlns="http://schemas.openxmlformats.org/officeDocument/2006/custom-properties" xmlns:vt="http://schemas.openxmlformats.org/officeDocument/2006/docPropsVTypes"/>
</file>