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C19A6B"/>
          <w:sz w:val="28"/>
          <w:szCs w:val="28"/>
        </w:rPr>
        <w:t xml:space="preserve">МЕТОДОЛОГИЯ</w:t>
      </w:r>
    </w:p>
    <w:p>
      <w:pPr>
        <w:spacing w:before="4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72"/>
          <w:szCs w:val="72"/>
        </w:rPr>
        <w:t xml:space="preserve">Loyalty-Driven Product Design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color w:val="6B6361"/>
          <w:sz w:val="48"/>
          <w:szCs w:val="48"/>
        </w:rPr>
        <w:t xml:space="preserve">LD2</w:t>
      </w:r>
    </w:p>
    <w:p>
      <w:pPr>
        <w:spacing w:before="2000"/>
      </w:pP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3D3735"/>
          <w:sz w:val="24"/>
          <w:szCs w:val="24"/>
        </w:rPr>
        <w:t xml:space="preserve">Расширенная редакция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3D3735"/>
          <w:sz w:val="24"/>
          <w:szCs w:val="24"/>
        </w:rPr>
        <w:t xml:space="preserve">с практическими примерами и техниками</w:t>
      </w:r>
    </w:p>
    <w:p>
      <w:pPr>
        <w:spacing w:before="30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C19A6B"/>
          <w:sz w:val="28"/>
          <w:szCs w:val="28"/>
        </w:rPr>
        <w:t xml:space="preserve">2025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ЧАСТЬ I. МЕТОДОЛОГИЯ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1. Введение: Проблема классического подхода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2. Сущность методологии LD2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2.1. Визуализация концепции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2.2. Ключевые отличия от Design Thinking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3. Правила создания продукта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4. Определение ценности продукта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5. Определение аудитории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6. Риски методологии LD2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6.1. Матрица рисков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6.2. Детальный анализ рисков с техниками нивелирования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</w:pPr>
          <w:r>
            <w:t>ЧАСТЬ II. ПРАКТИЧЕСКИЕ ПРИМЕРЫ</w:t>
          </w:r>
          <w:r>
            <w:tab/>
          </w:r>
          <w:r>
            <w:t>16</w:t>
          </w:r>
        </w:p>
        <w:p>
          <w:pPr>
            <w:pStyle w:val="9"/>
            <w:tabs>
              <w:tab w:val="right" w:leader="dot" w:pos="9026"/>
            </w:tabs>
          </w:pPr>
          <w:r>
            <w:t>7. Сравнительный анализ примеров</w:t>
          </w:r>
          <w:r>
            <w:tab/>
          </w:r>
          <w:r>
            <w:t>16</w:t>
          </w:r>
        </w:p>
        <w:p>
          <w:pPr>
            <w:pStyle w:val="9"/>
            <w:tabs>
              <w:tab w:val="right" w:leader="dot" w:pos="9026"/>
            </w:tabs>
          </w:pPr>
          <w:r>
            <w:t>8. Пример 1: Успешный — Spotify</w:t>
          </w:r>
          <w:r>
            <w:tab/>
          </w:r>
          <w:r>
            <w:t>17</w:t>
          </w:r>
        </w:p>
        <w:p>
          <w:pPr>
            <w:pStyle w:val="9"/>
            <w:tabs>
              <w:tab w:val="right" w:leader="dot" w:pos="9026"/>
            </w:tabs>
          </w:pPr>
          <w:r>
            <w:t>9. Пример 2: Спорный — Peloton</w:t>
          </w:r>
          <w:r>
            <w:tab/>
          </w:r>
          <w:r>
            <w:t>21</w:t>
          </w:r>
        </w:p>
        <w:p>
          <w:pPr>
            <w:pStyle w:val="9"/>
            <w:tabs>
              <w:tab w:val="right" w:leader="dot" w:pos="9026"/>
            </w:tabs>
          </w:pPr>
          <w:r>
            <w:t>10. Пример 3: Неудачный — Quibi</w:t>
          </w:r>
          <w:r>
            <w:tab/>
          </w:r>
          <w:r>
            <w:t>24</w:t>
          </w:r>
        </w:p>
        <w:p>
          <w:pPr>
            <w:pStyle w:val="9"/>
            <w:tabs>
              <w:tab w:val="right" w:leader="dot" w:pos="9026"/>
            </w:tabs>
          </w:pPr>
          <w:r>
            <w:t>ЧАСТЬ III. ПРАКТИЧЕСКОЕ РУКОВОДСТВО</w:t>
          </w:r>
          <w:r>
            <w:tab/>
          </w:r>
          <w:r>
            <w:t>27</w:t>
          </w:r>
        </w:p>
        <w:p>
          <w:pPr>
            <w:pStyle w:val="9"/>
            <w:tabs>
              <w:tab w:val="right" w:leader="dot" w:pos="9026"/>
            </w:tabs>
          </w:pPr>
          <w:r>
            <w:t>11. Методы исследования для LD2</w:t>
          </w:r>
          <w:r>
            <w:tab/>
          </w:r>
          <w:r>
            <w:t>27</w:t>
          </w:r>
        </w:p>
        <w:p>
          <w:pPr>
            <w:pStyle w:val="9"/>
            <w:tabs>
              <w:tab w:val="right" w:leader="dot" w:pos="9026"/>
            </w:tabs>
          </w:pPr>
          <w:r>
            <w:t>12. Система метрик LD2</w:t>
          </w:r>
          <w:r>
            <w:tab/>
          </w:r>
          <w:r>
            <w:t>30</w:t>
          </w:r>
        </w:p>
        <w:p>
          <w:pPr>
            <w:pStyle w:val="9"/>
            <w:tabs>
              <w:tab w:val="right" w:leader="dot" w:pos="9026"/>
            </w:tabs>
          </w:pPr>
          <w:r>
            <w:t>13. Резюме методологии</w:t>
          </w:r>
          <w:r>
            <w:tab/>
          </w:r>
          <w:r>
            <w:t>33</w:t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8"/>
          <w:szCs w:val="18"/>
        </w:rPr>
        <w:t xml:space="preserve">Для обновления номеров страниц: правый клик → «Обновить поле»</w:t>
      </w:r>
    </w:p>
    <w:p>
      <w:r>
        <w:br w:type="page"/>
      </w:r>
    </w:p>
    <w:p>
      <w:pPr>
        <w:spacing w:after="4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36"/>
          <w:szCs w:val="36"/>
        </w:rPr>
        <w:t xml:space="preserve">ЧАСТЬ I. МЕТОДОЛОГИЯ</w:t>
      </w:r>
    </w:p>
    <w:p>
      <w:pPr>
        <w:pStyle w:val="Heading1"/>
      </w:pPr>
      <w:r>
        <w:t xml:space="preserve">1. Введение: Проблема классического подхода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Классическое дизайн-мышление (Design Thinking) строится на эмпатии к пользователю и итеративном решении его проблем. Однако в современной практике этот подход часто вырождается в реактивную модель: команда фокусируется на «pain points» тех, кто уже выражает недовольство, пытаясь «вернуть» утраченную лояльность. Это приводит к фрагментации продукта, размыванию идентичности и бесконечной гонке за «недовольными», чьи ценности могут не совпадать с философией продукта.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Методология LD2 предлагает альтернативу: вместо того чтобы подстраиваться под всех, продукт культивирует глубокую лояльность у тех, кто разделяет его ценности. Лояльность становится не побочным эффектом, а сознательно выращиваемым стратегическим активом.</w:t>
      </w:r>
    </w:p>
    <w:p>
      <w:pPr>
        <w:pStyle w:val="Heading1"/>
      </w:pPr>
      <w:r>
        <w:t xml:space="preserve">2. Сущность методологии LD2</w:t>
      </w:r>
    </w:p>
    <w:p>
      <w:pPr>
        <w:pStyle w:val="Heading2"/>
      </w:pPr>
      <w:r>
        <w:t xml:space="preserve">2.1. Визуализация концепции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Методология LD2 базируется на чётком разделении аудитории по степени резонанса с идентичностью продукта. На диаграмме ниже представлена структура сегментов: ядро в центре, окружённое слоями симпатиков, нейтралов и чужих за пределами орбиты продукта.</w:t>
      </w:r>
    </w:p>
    <w:p>
      <w:pPr>
        <w:spacing w:after="100"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segments" descr="LD2 audience segmentation" title="Audience Seg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20"/>
          <w:szCs w:val="20"/>
        </w:rPr>
        <w:t xml:space="preserve">Рисунок 1. Сегментация аудитории в методологии LD2</w:t>
      </w:r>
    </w:p>
    <w:p>
      <w:pPr>
        <w:pStyle w:val="Heading2"/>
      </w:pPr>
      <w:r>
        <w:t xml:space="preserve">2.2. Ключевые отличия от Design Thinking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22"/>
                <w:szCs w:val="22"/>
              </w:rPr>
              <w:t xml:space="preserve">Design Thinking</w:t>
            </w:r>
          </w:p>
        </w:tc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22"/>
                <w:szCs w:val="22"/>
              </w:rPr>
              <w:t xml:space="preserve">Loyalty-Driven Design</w:t>
            </w:r>
          </w:p>
        </w:tc>
      </w:tr>
      <w:tr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Фокус на проблемах (pain points)</w:t>
            </w:r>
          </w:p>
        </w:tc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Фокус на ценностях и идентичности</w:t>
            </w:r>
          </w:p>
        </w:tc>
      </w:tr>
      <w:tr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Реактивный: реагирует на жалобы</w:t>
            </w:r>
          </w:p>
        </w:tc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Проактивный: создаёт привлекательность</w:t>
            </w:r>
          </w:p>
        </w:tc>
      </w:tr>
      <w:tr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Все пользователи равнозначны</w:t>
            </w:r>
          </w:p>
        </w:tc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Иерархия: ядро &gt; периферия &gt; чужие</w:t>
            </w:r>
          </w:p>
        </w:tc>
      </w:tr>
      <w:tr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Цель: удовлетворить максимум людей</w:t>
            </w:r>
          </w:p>
        </w:tc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Цель: вдохновить «своих»</w:t>
            </w:r>
          </w:p>
        </w:tc>
      </w:tr>
      <w:tr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Метрика: NPS, удовлетворённость</w:t>
            </w:r>
          </w:p>
        </w:tc>
        <w:tc>
          <w:tcPr>
            <w:tcW w:type="dxa" w:w="468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Метрика: глубина вовлечённости, retention ядра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20"/>
          <w:szCs w:val="20"/>
        </w:rPr>
        <w:t xml:space="preserve">Таблица 1. Сравнение методологий</w:t>
      </w:r>
    </w:p>
    <w:p>
      <w:pPr>
        <w:pStyle w:val="Heading1"/>
      </w:pPr>
      <w:r>
        <w:t xml:space="preserve">3. Правила создания продукта</w:t>
      </w:r>
    </w:p>
    <w:p>
      <w:pPr>
        <w:pStyle w:val="Heading2"/>
      </w:pPr>
      <w:r>
        <w:t xml:space="preserve">3.1. Правило идентичности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Любой продукт начинается с чёткого определения своей идентичности: кто мы, во что верим, что предлагаем миру. Идентичность включает ценности, философию, эстетику и обещание бренда. Всё, что противоречит идентичности, исключается из дорожной карты — независимо от того, сколько пользователей это просят.</w:t>
      </w:r>
    </w:p>
    <w:p>
      <w:pPr>
        <w:pStyle w:val="Heading2"/>
      </w:pPr>
      <w:r>
        <w:t xml:space="preserve">3.2. Правило фильтрации голосов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Не все пользователи имеют равное право влиять на продукт. LD2 вводит четырёхуровневую иерархию голосов: (1) Лояльное ядро — максимальный вес; (2) Симпатики — учитываются, но не определяют; (3) Нейтралы — информативно; (4) Чужие — систематически игнорируются.</w:t>
      </w:r>
    </w:p>
    <w:p>
      <w:pPr>
        <w:spacing w:after="100" w:before="20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filter" descr="LD2 decision filter process" title="Decision Fil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20"/>
          <w:szCs w:val="20"/>
        </w:rPr>
        <w:t xml:space="preserve">Рисунок 2. Процесс фильтрации решений в LD2</w:t>
      </w:r>
    </w:p>
    <w:p>
      <w:pPr>
        <w:pStyle w:val="Heading2"/>
      </w:pPr>
      <w:r>
        <w:t xml:space="preserve">3.3. Правило проактивной ценности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Вместо того чтобы ждать жалоб, команда систематически создаёт новую ценность для лояльного ядра. Каждая новая фича должна проходить тест: «Это сделает жизнь нашего ядра богаче или просто уберёт раздражитель у периферии?»</w:t>
      </w:r>
    </w:p>
    <w:p>
      <w:pPr>
        <w:pStyle w:val="Heading2"/>
      </w:pPr>
      <w:r>
        <w:t xml:space="preserve">3.4. Правило эволюционной стабильности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Продукт развивается эволюционно, а не революционно. Радикальные изменения разрушают доверие лояльной аудитории. Любое изменение должно быть обосновано усилением ценности для ядра, а не привлечением новой аудитории.</w:t>
      </w:r>
    </w:p>
    <w:p>
      <w:pPr>
        <w:pStyle w:val="Heading2"/>
      </w:pPr>
      <w:r>
        <w:t xml:space="preserve">3.5. Правило селективного роста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Рост не является самоцелью. Привлечение пользователей, не разделяющих ценности, создаёт шум и размывает идентичность. Целевой рост — это расширение аудитории через каналы, которые привлекают людей, резонирующих с идентичностью.</w:t>
      </w:r>
    </w:p>
    <w:p>
      <w:pPr>
        <w:pStyle w:val="Heading1"/>
      </w:pPr>
      <w:r>
        <w:t xml:space="preserve">4. Определение ценности продукта</w:t>
      </w:r>
    </w:p>
    <w:p>
      <w:pPr>
        <w:pStyle w:val="Heading2"/>
      </w:pPr>
      <w:r>
        <w:t xml:space="preserve">4.1. Трёхуровневая модель ценности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Ценность в LD2 измеряется не только функциональными показателями, но и глубиной эмоциональной и социальной связи с пользователем. Модель включает три уровня:</w:t>
      </w:r>
    </w:p>
    <w:p>
      <w:pPr>
        <w:spacing w:after="100" w:before="20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value" descr="Three-level value model" title="Value Pyram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20"/>
          <w:szCs w:val="20"/>
        </w:rPr>
        <w:t xml:space="preserve">Рисунок 3. Пирамида ценности LD2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Функциональный уровень — продукт решает конкретную задачу лучше альтернатив. Это необходимый минимум, но не источник лояльности. Эмоциональный уровень — продукт вызывает положительные чувства, ассоциируется с идентичностью пользователя. Социальный уровень — продукт даёт принадлежность к сообществу, создаёт социальный капитал.</w:t>
      </w:r>
    </w:p>
    <w:p>
      <w:pPr>
        <w:pStyle w:val="Heading2"/>
      </w:pPr>
      <w:r>
        <w:t xml:space="preserve">4.2. Ценность vs Удовлетворённость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Критически важно различать ценность и удовлетворённость. Удовлетворённость — это отсутствие жалоб, продукт «не раздражает». Ценность — это наличие страсти, продукт «вдохновляет».</w:t>
      </w:r>
    </w:p>
    <w:p>
      <w:pPr>
        <w:spacing w:after="100" w:before="200"/>
        <w:jc w:val="center"/>
      </w:pPr>
      <w:r>
        <w:drawing>
          <wp:inline distT="0" distB="0" distL="0" distR="0">
            <wp:extent cx="4572000" cy="3657600"/>
            <wp:effectExtent t="0" r="0" b="0" l="0"/>
            <wp:docPr id="1" name="valuesat" descr="Chart showing value vs satisfaction" title="Value vs Satisf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20"/>
          <w:szCs w:val="20"/>
        </w:rPr>
        <w:t xml:space="preserve">Рисунок 4. Соотношение ценности и удовлетворённости по сегментам</w:t>
      </w:r>
    </w:p>
    <w:p>
      <w:pPr>
        <w:pStyle w:val="Heading1"/>
      </w:pPr>
      <w:r>
        <w:t xml:space="preserve">5. Определение аудитории</w:t>
      </w:r>
    </w:p>
    <w:p>
      <w:pPr>
        <w:pStyle w:val="Heading2"/>
      </w:pPr>
      <w:r>
        <w:t xml:space="preserve">5.1. Сегментация по уровню резонанса</w:t>
      </w:r>
    </w:p>
    <w:p>
      <w:pPr>
        <w:spacing w:after="100" w:before="200"/>
        <w:jc w:val="center"/>
      </w:pPr>
      <w:r>
        <w:drawing>
          <wp:inline distT="0" distB="0" distL="0" distR="0">
            <wp:extent cx="4572000" cy="3200400"/>
            <wp:effectExtent t="0" r="0" b="0" l="0"/>
            <wp:docPr id="1" name="funnel" descr="Audience segmentation funnel" title="Fun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20"/>
          <w:szCs w:val="20"/>
        </w:rPr>
        <w:t xml:space="preserve">Рисунок 5. Воронка сегментации аудитории LD2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Ядро (Core) — пользователи, для которых продукт является частью идентичности (15-25% аудитории, генерируют 70-80% ценности). Симпатики — пользователи, которым продукт нравится, но они эмоционально не привязаны. Нейтралы — пользователи без сильных чувств, используют продукт по инерции. Чужие — пользователи, чьи ценности конфликтуют с идентичностью продукта.</w:t>
      </w:r>
    </w:p>
    <w:p>
      <w:pPr>
        <w:pStyle w:val="Heading1"/>
      </w:pPr>
      <w:r>
        <w:t xml:space="preserve">6. Риски методологии LD2</w:t>
      </w:r>
    </w:p>
    <w:p>
      <w:pPr>
        <w:pStyle w:val="Heading2"/>
      </w:pPr>
      <w:r>
        <w:t xml:space="preserve">6.1. Матрица рисков</w:t>
      </w:r>
    </w:p>
    <w:p>
      <w:pPr>
        <w:spacing w:after="100" w:before="200"/>
        <w:jc w:val="center"/>
      </w:pPr>
      <w:r>
        <w:drawing>
          <wp:inline distT="0" distB="0" distL="0" distR="0">
            <wp:extent cx="4572000" cy="3657600"/>
            <wp:effectExtent t="0" r="0" b="0" l="0"/>
            <wp:docPr id="1" name="risk" descr="LD2 risk assessment matrix" title="Risk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20"/>
          <w:szCs w:val="20"/>
        </w:rPr>
        <w:t xml:space="preserve">Рисунок 6. Матрица рисков LD2 (размер круга = потенциал митигации)</w:t>
      </w:r>
    </w:p>
    <w:p>
      <w:pPr>
        <w:pStyle w:val="Heading2"/>
      </w:pPr>
      <w:r>
        <w:t xml:space="preserve">6.2. Детальный анализ рисков с техниками нивелирования</w:t>
      </w:r>
    </w:p>
    <w:p>
      <w:pPr>
        <w:pStyle w:val="Heading3"/>
      </w:pPr>
      <w:r>
        <w:t xml:space="preserve">Риск 1: Эхо-камера изоляции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Описание: Фокус только на лояльных может привести к потере связи с рынком и emerging trends. Продукт становится «пещерным», удовлетворяя только внутреннюю аудиторию, игнорируя внешние изменения.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Пример: Kodak десятилетиями слушала своих лояльных пользователей плёнки, которые не хотели переходить на цифру. Результат — катастрофическое отставание от рынка.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Техники нивелирования: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Периферийное сканирование: выделить 15-20% ресурсов на мониторинг emerging trends, даже если ядро их не запрашивает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«Адвокат дьявола»: назначить члена команды, который систематически оспаривает решения с позиции «что, если ядро ошибается?»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Горизонтные интервью: регулярно опрашивать не-пользователей и бывших пользователей, не для изменения продукта, а для понимания рынка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Cross-pollination: изучать смежные индустрии и их инновации, применять инсайты к своему продукту</w:t>
      </w:r>
    </w:p>
    <w:p>
      <w:pPr>
        <w:pStyle w:val="Heading3"/>
      </w:pPr>
      <w:r>
        <w:t xml:space="preserve">Риск 2: Старение аудитории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Описание: Ядро может стареть вместе с продуктом, отпугивая молодые когорты. Продукт становится «неактуальным» для новых поколений, теряя долгосрочную устойчивость.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Пример: Facebook начал со студентов колледжей. Когда ядро повзрослело, платформа потеряла привлекательность для подростков, мигрировавших в Instagram и TikTok.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Техники нивелирования: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Мультигенерационное ядро: сознательно развивать суб-сообщества для разных возрастных когорт с общими ценностями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Программа «молодых амбассадоров»: привлекать молодёжь из ядра к формированию стратегии, давать им голос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Идентичность, а не демография: фокус на ценностях, которые transcending возраст (любопытство, креативность, аутентичность)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Регулярный аудит возраста ядра: если средний возраст растёт быстрее рынка — тревожный сигнал</w:t>
      </w:r>
    </w:p>
    <w:p>
      <w:pPr>
        <w:pStyle w:val="Heading3"/>
      </w:pPr>
      <w:r>
        <w:t xml:space="preserve">Риск 3: Самоуспокоенность ядра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Описание: Высокая лояльность ядра может маскировать объективные проблемы продукта. «Нам всё нравится» не означает «продукт отличный» — это может быть инерция и страх перемен.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Пример: BlackBerry имела фанатично лояльное ядро бизнес-пользователей, которые отвергали touch-экраны. Когда рынок ушёл к iPhone, ядро схлопнулось.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Техники нивелирования: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Объективные метрики качества: не полагаться только на субъективную удовлетворённость, измерять производительность, usability, benchmark против конкурентов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«Провокационные» фичи: периодически предлагать ядру инновации, которые могут не понравиться — для проверки адаптивности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Внешние аудиты: приглашать независимых экспертов для оценки продукта, не связанных с лояльной базой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Анализ оттока: глубоко изучать тех, кто ушёл из ядра — они часто видят проблемы, которые ядро игнорирует</w:t>
      </w:r>
    </w:p>
    <w:p>
      <w:pPr>
        <w:pStyle w:val="Heading3"/>
      </w:pPr>
      <w:r>
        <w:t xml:space="preserve">Риск 4: Нишевание продукта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Описание: Продукт может стать слишком нишевым для масштабирования. Ядро формирует специфические запросы, которые не резонируют с более широкой аудиторией.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Пример: Basecamp (37signals) остаётся успешным нишевым продуктом, но сознательно отказался от масштабирования в enterprise, где лежали большие доходы.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Техники нивелирования: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Дифференциация идентичности и фич: чётко разделять «кто мы» (неизменно) и «что мы предлагаем» (может расширяться)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Горизонтальный рост: расширять применение продукта в смежных контекстах для той же идентичности (Apple: от компьютеров к музыке к телефонам)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Осознанный выбор: нишевание не всегда плохо — если ниша прибыльна и устойчива, масштаб не обязателен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Портфельная стратегия: создавать новые продукты для новых сегментов под разными брендами</w:t>
      </w:r>
    </w:p>
    <w:p>
      <w:pPr>
        <w:pStyle w:val="Heading3"/>
      </w:pPr>
      <w:r>
        <w:t xml:space="preserve">Риск 5: Игнорирование emerging trends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Описание: Систематическое игнорирование трендов, не запрошенных ядром, может привести к strategic surprise, когда продукт резко теряет релевантность.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Пример: Netflix изначально игнорировал стриминг, потому что ядро любило DVD. Риск был митигирован радикальным пивотом, который мог уничтожить компанию.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Техники нивелирования: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Trend radar: создать систематический процесс отслеживания emerging trends с ранжированием по потенциалу влияния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Skunkworks-проекты: выделять ресурсы на эксперименты с новыми технологиями/подходами без commitment к запуску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Scenario planning: регулярно моделировать сценарии «что, если X станет доминантным?» и готовить планы реагирования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Acquisition readiness: иметь стратегию для потенциальных acquisition стартапов, работающих на emerging trends</w:t>
      </w:r>
    </w:p>
    <w:p>
      <w:r>
        <w:br w:type="page"/>
      </w:r>
    </w:p>
    <w:p>
      <w:pPr>
        <w:spacing w:after="4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36"/>
          <w:szCs w:val="36"/>
        </w:rPr>
        <w:t xml:space="preserve">ЧАСТЬ II. ПРАКТИЧЕСКИЕ ПРИМЕРЫ</w:t>
      </w:r>
    </w:p>
    <w:p>
      <w:pPr>
        <w:pStyle w:val="Heading1"/>
      </w:pPr>
      <w:r>
        <w:t xml:space="preserve">7. Сравнительный анализ примеров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examples" descr="Comparison of three LD2 examples" title="Example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20"/>
          <w:szCs w:val="20"/>
        </w:rPr>
        <w:t xml:space="preserve">Рисунок 7. Сравнение метрик LD2 на практических примерах</w:t>
      </w:r>
    </w:p>
    <w:p>
      <w:pPr>
        <w:pStyle w:val="Heading1"/>
      </w:pPr>
      <w:r>
        <w:t xml:space="preserve">8. Пример 1: Успешный — Spotify</w:t>
      </w:r>
    </w:p>
    <w:p>
      <w:pPr>
        <w:pStyle w:val="Heading2"/>
      </w:pPr>
      <w:r>
        <w:t xml:space="preserve">8.1. Контекст и идентичность продукта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Spotify позиционирует себя как платформу, которая «даёт людям доступ к музыке, которую они любят, и помогает им открывать новую». Идентичность Spotify строится на ценностях: музыка для всех, персонализация, открытие нового, сообщество меломанов. Продукт не пытается быть всем для всех — он чётко ориентирован на людей, для которых музыка важна как часть идентичности, а не просто фоновый шум.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Ключевое стратегическое решение: Spotify не конкурирует по каталогу (он примерно равен у всех стримингов), а конкурирует по опыту и персонализации. Это позволяет формировать ядро пользователей, которые «чувствуют себя понятыми» алгоритмом и привязываются к плейлистам как к выражению своей личности.</w:t>
      </w:r>
    </w:p>
    <w:p>
      <w:pPr>
        <w:pStyle w:val="Heading2"/>
      </w:pPr>
      <w:r>
        <w:t xml:space="preserve">8.2. Идентификация лояльного ядра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Spotify использует комбинацию поведенческих и исследовательских методов для идентификации ядра: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Поведенческие индикаторы: ежедневное использование более 2 часов, создание собственных плейлистов, активное использование Discover Weekly и Wrapped, шэринг в соцсетях, подписка на Premium и отсутствие чёрнов платных функций.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Исследовательские методы: глубинные интервью с фокусом на эмоциональную связь с музыкой, анализ языка описания («мой Spotify меня понимает», «Spotify — мой саундтрек жизни»).</w:t>
      </w:r>
    </w:p>
    <w:p>
      <w:pPr>
        <w:pStyle w:val="Heading3"/>
      </w:pPr>
      <w:r>
        <w:t xml:space="preserve">Вопросы для глубинного интервью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«Расскажите о моменте, когда вы поняли, что Spotify вас „понял“. Что именно произошло?» — выявляет эмоциональный пик взаимодействия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«Если бы Spotify исчез завтра, что бы вы потеряли, кроме доступа к музыке?» — измеряет ценность за пределами функциональности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«Какой ваш плейлист вы бы показали, чтобы кто-то понял, кто вы?» — связь продукта с идентичностью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«Расскажите о случае, когда вы рекомендовали Spotify. Что именно вы сказали?» — готовность к реферальной активности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«Что в Spotify вас раздражает? Меняли бы вы это, если бы могли?» — проверка прощения недостатков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«Как вы думаете, есть ли люди, для которых Spotify не подходит? Кто они?» — понимание селективности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«Что вы чувствуете, когда получаете Wrapped в конце года?» — эмоциональная связь с брендом</w:t>
      </w:r>
    </w:p>
    <w:p>
      <w:pPr>
        <w:pStyle w:val="Heading2"/>
      </w:pPr>
      <w:r>
        <w:t xml:space="preserve">8.3. Работа с нелояльными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Spotify применяет дифференцированный подход к разным сегментам нелояльных: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Симпатики (используют, но не привязаны): получают кампании «discover» с акцентом на персонализацию. Цель — показать, что Spotify «понимает» их вкус. Метрика конверсии в ядро — начало создания плейлистов.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Нейтралы (используют редко): получают триггерные кампании по контексту (новый альбом любимого исполнителя). Цель — увеличить частоту. Метрика — DAU/MAU ratio.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Чужие (предпочитают конкурентов или пиратство): Spotify не тратит ресурсы на их конверсию. Исключение — strategic acquisition (Bundle с другими сервисами), но это не попытка изменить продукт под них.</w:t>
      </w:r>
    </w:p>
    <w:p>
      <w:pPr>
        <w:pStyle w:val="Heading2"/>
      </w:pPr>
      <w:r>
        <w:t xml:space="preserve">8.4. Метрики и воронки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22"/>
                <w:szCs w:val="22"/>
              </w:rPr>
              <w:t xml:space="preserve">Целевое значение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22"/>
                <w:szCs w:val="22"/>
              </w:rPr>
              <w:t xml:space="preserve">Интерпретация</w:t>
            </w:r>
          </w:p>
        </w:tc>
      </w:tr>
      <w:tr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Retention ядра (12 мес)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&gt; 90%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Глубокая лояльность</w:t>
            </w:r>
          </w:p>
        </w:tc>
      </w:tr>
      <w:tr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Доля ядра в аудитории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20-25%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Здоровый размер ядра</w:t>
            </w:r>
          </w:p>
        </w:tc>
      </w:tr>
      <w:tr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Рост ядра YoY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&gt; 15%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Привлечение «своих»</w:t>
            </w:r>
          </w:p>
        </w:tc>
      </w:tr>
      <w:tr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Реферальная активность ядра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&gt; 70% сделали реферал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Адвокация бренда</w:t>
            </w:r>
          </w:p>
        </w:tc>
      </w:tr>
      <w:tr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NPS ядра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&gt; 70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Эмоциональная связь</w:t>
            </w:r>
          </w:p>
        </w:tc>
      </w:tr>
      <w:tr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Premium conversion ядра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&gt; 80%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Готовность платить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20"/>
          <w:szCs w:val="20"/>
        </w:rPr>
        <w:t xml:space="preserve">Таблица 2. Ключевые метрики Spotify по методологии LD2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Воронка отслеживания: Все пользователи → Активные (MAU) → Создатели плейлистов → Premium → Ядро (высокий engagement + Premium + рефералы). Каждый переход отслеживается с когортным анализом для выявления паттернов конверсии в ядро.</w:t>
      </w:r>
    </w:p>
    <w:p>
      <w:pPr>
        <w:spacing w:after="100" w:before="200"/>
        <w:jc w:val="center"/>
      </w:pPr>
      <w:r>
        <w:drawing>
          <wp:inline distT="0" distB="0" distL="0" distR="0">
            <wp:extent cx="4572000" cy="2743200"/>
            <wp:effectExtent t="0" r="0" b="0" l="0"/>
            <wp:docPr id="1" name="retention" descr="Retention curves by segment" title="Retention 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20"/>
          <w:szCs w:val="20"/>
        </w:rPr>
        <w:t xml:space="preserve">Рисунок 8. Кривые удержания по сегментам (пример Spotify)</w:t>
      </w:r>
    </w:p>
    <w:p>
      <w:pPr>
        <w:pStyle w:val="Heading1"/>
      </w:pPr>
      <w:r>
        <w:t xml:space="preserve">9. Пример 2: Спорный — Peloton</w:t>
      </w:r>
    </w:p>
    <w:p>
      <w:pPr>
        <w:pStyle w:val="Heading2"/>
      </w:pPr>
      <w:r>
        <w:t xml:space="preserve">9.1. Контекст и идентичность продукта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Peloton позиционировался как «велотренажёр для тех, кто серьёзно относится к фитнесу и хочет студийный опыт дома». Идентичность строилась на ценностях: commitment, community, premium experience, accountability. Ценовая политика ($2000+ за оборудование + $39/месяц подписка) создавала мощный фильтр — продукт был явно не для всех.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Изначально стратегия LD2 работала: ядро формировалось из обеспеченных энтузиастов фитнеса, которые создавали сообщество, участвовали в лайв-классах, развивали quasi-отношения с инструкторами. Retention ядра был исключительно высоким.</w:t>
      </w:r>
    </w:p>
    <w:p>
      <w:pPr>
        <w:pStyle w:val="Heading2"/>
      </w:pPr>
      <w:r>
        <w:t xml:space="preserve">9.2. Спорные моменты</w:t>
      </w:r>
    </w:p>
    <w:p>
      <w:pPr>
        <w:pStyle w:val="Heading3"/>
      </w:pPr>
      <w:r>
        <w:t xml:space="preserve">Проблема 1: Пандемийное расширение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Во время COVID Peloton получил массовый приток новых пользователей, которые не были «своими» — они покупали из необходимости, а не из резонанса с идентичностью. Компания восприняла это как рост ядра, но на самом деле это было временное расширение периферии. Когда пандемия закончилась, massive churn вернул Peloton к базовому ядру, но инфраструктура и ожидания инвесторов уже были масштабированы под «новую норму». Урок: быстрый рост не всегда рост ядра.</w:t>
      </w:r>
    </w:p>
    <w:p>
      <w:pPr>
        <w:pStyle w:val="Heading3"/>
      </w:pPr>
      <w:r>
        <w:t xml:space="preserve">Проблема 2: Ценовая эрозия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Под давлением роста Peloton начал снижать цены и предлагать более дешёвые варианты. Это привлекло пользователей, которые не разделяли ценность premium-опыта. Они жаловались на цену, требовали больше функционала за меньше денег. Ядро чувствовало, что продукт «дешевеет» и теряет эксклюзивность. Урок: расширение аудитории через снижение барьеров может размывать идентичность.</w:t>
      </w:r>
    </w:p>
    <w:p>
      <w:pPr>
        <w:pStyle w:val="Heading3"/>
      </w:pPr>
      <w:r>
        <w:t xml:space="preserve">Проблема 3: Расширение контента без фокуса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Peloton начал добавлять контент для медитации, йоги, силовых тренировок — пытаясь стать «фитнес-платформой для всех». Это размыло чёткое позиционирование «велотренажёр для серьёзных» и создало конкуренцию внутри продукта. Ядро велосипедиствов чувствовало себя less special. Урок: расширение use cases без расширения идентичности создаёт фрагментацию.</w:t>
      </w:r>
    </w:p>
    <w:p>
      <w:pPr>
        <w:pStyle w:val="Heading2"/>
      </w:pPr>
      <w:r>
        <w:t xml:space="preserve">9.3. Как можно было применить LD2 корректнее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Сегментация пандемийных пользователей: чётко идентифицировать «временных» vs «потенциально своих» и не масштабировать инфраструктуру под первых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Отдельный суббренд для масс-маркета: сохранить Peloton как premium, запустить другой бренд для более широкой аудитории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Удержание идентичности: чётко артикулировать «мы для серьёзных» и не пытаться быть всем для всех в фитнесе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Метрики ядра vs метрики роста: отслеживать долю ядра, а не только абсолютный рост</w:t>
      </w:r>
    </w:p>
    <w:p>
      <w:pPr>
        <w:pStyle w:val="Heading1"/>
      </w:pPr>
      <w:r>
        <w:t xml:space="preserve">10. Пример 3: Неудачный — Quibi</w:t>
      </w:r>
    </w:p>
    <w:p>
      <w:pPr>
        <w:pStyle w:val="Heading2"/>
      </w:pPr>
      <w:r>
        <w:t xml:space="preserve">10.1. Контекст и намереваемая идентичность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Quibi (short for «quick bites») был запущен в 2020 году с концепцией «короткие видео высокого качества для просмотра на ходу». Идентичность предполагалась как «Netflix для миллениалов в движении» — premium короткий контент от звёзд Голливуда. Основатели (Jeffrey Katzenberg и Meg Whitman) имели безупречный трек-рекорд в медиа и $1.75 млрд финансирования.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Проблема: Quibi не имел чёткого ядра, потому что не определил, для кого он. «Миллениалы в движении» — не идентичность, а демографический сегмент. Продукт не отвечал на вопрос: какие ценности мы разделяем с нашей аудиторией?</w:t>
      </w:r>
    </w:p>
    <w:p>
      <w:pPr>
        <w:pStyle w:val="Heading2"/>
      </w:pPr>
      <w:r>
        <w:t xml:space="preserve">10.2. Где Quibi нарушил принципы LD2</w:t>
      </w:r>
    </w:p>
    <w:p>
      <w:pPr>
        <w:pStyle w:val="Heading3"/>
      </w:pPr>
      <w:r>
        <w:t xml:space="preserve">Нарушение 1: Отсутствие идентичности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Quibi не мог ответить на вопросы: Во что мы верим? Какую ценность мы даём, которую не даёт TikTok, YouTube, Netflix? «Короткие видео» — это форма, а не ценность. Без идентичности не было фильтра для решений — все фичи казались равноценными, все аудитории равно важными.</w:t>
      </w:r>
    </w:p>
    <w:p>
      <w:pPr>
        <w:pStyle w:val="Heading3"/>
      </w:pPr>
      <w:r>
        <w:t xml:space="preserve">Нарушение 2: Игнорирование «чужих»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Quibi активно пытался привлечь пользователей TikTok и YouTube, которые не хотели платить за контент. Вместо того чтобы сказать «мы не для вас», Quibi тратил ресурсы на конверсию людей, чьи ценности конфликтовали с платной моделью. Рекламные кампании пытались убедить всех, что Quibi — это «для вас», что размывало любое позиционирование.</w:t>
      </w:r>
    </w:p>
    <w:p>
      <w:pPr>
        <w:pStyle w:val="Heading3"/>
      </w:pPr>
      <w:r>
        <w:t xml:space="preserve">Нарушение 3: Нет механизма выращивания ядра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Quibi не было Community, не было социального капитала, не было эмоциональной связи. Пользователи потребляли контент и уходили. Не было причин оставаться, не было причин рекомендовать. Продукт был чисто функциональным (смотреть видео) в мире, где функциональных альтернатив было множество и бесплатно.</w:t>
      </w:r>
    </w:p>
    <w:p>
      <w:pPr>
        <w:pStyle w:val="Heading3"/>
      </w:pPr>
      <w:r>
        <w:t xml:space="preserve">Нарушение 4: Реактивность вместо проактивности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Когда первые метрики показали низкую конверсию, Quibi начал метаться: разрешил sharing в соцсети, добавил поддержку TV (чего изначально принципиально не хотел), менял ценовую политику. Каждое изменение было реакцией на жалобы, а не проактивным усилением ценности для (отсутствующего) ядра.</w:t>
      </w:r>
    </w:p>
    <w:p>
      <w:pPr>
        <w:pStyle w:val="Heading2"/>
      </w:pPr>
      <w:r>
        <w:t xml:space="preserve">10.3. Уроки для LD2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Идентичность первична: без чёткого ответа на «кто мы и во что верим» все остальные решения бессмысленны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Ядро не появляется само: его нужно выращивать сознательно через community, социальный капитал, эмоциональную связь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Функциональности недостаточно: в конкурентном рынке продукт должен давать эмоциональную и социальную ценность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Селективность — сила: Quibi боялся сказать «мы не для всех» и поэтому не стал ни для кого особенным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Метрики роста ≠ метрики ядра: Quibi отслеживал downloads и signups, но не имел метрик лояльности</w:t>
      </w:r>
    </w:p>
    <w:p>
      <w:r>
        <w:br w:type="page"/>
      </w:r>
    </w:p>
    <w:p>
      <w:pPr>
        <w:spacing w:after="4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36"/>
          <w:szCs w:val="36"/>
        </w:rPr>
        <w:t xml:space="preserve">ЧАСТЬ III. ПРАКТИЧЕСКОЕ РУКОВОДСТВО</w:t>
      </w:r>
    </w:p>
    <w:p>
      <w:pPr>
        <w:pStyle w:val="Heading1"/>
      </w:pPr>
      <w:r>
        <w:t xml:space="preserve">11. Методы исследования для LD2</w:t>
      </w:r>
    </w:p>
    <w:p>
      <w:pPr>
        <w:pStyle w:val="Heading2"/>
      </w:pPr>
      <w:r>
        <w:t xml:space="preserve">11.1. Глубинное интервью: полный протокол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Глубинное интервью в методологии LD2 имеет специфическую структуру, направленную на выявление ценностного резонанса, а не функциональных потребностей. Интервью длится 60-90 минут и проводится полуструктурированно.</w:t>
      </w:r>
    </w:p>
    <w:p>
      <w:pPr>
        <w:pStyle w:val="Heading3"/>
      </w:pPr>
      <w:r>
        <w:t xml:space="preserve">Блок 1: Идентичность и ценности (15 минут)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«Опишите свой идеальный день. Что бы вы делали, если бы не было ограничений?» — выявляет ценности и приоритеты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«Какие бренды или продукты вы считаете „своими“? Почему?» — понимание паттернов лояльности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«Что для вас значит „качество“ в контексте [категория продукта]?» — выявление ожиданий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«Есть ли продукты, которые вы категорически не используете? Почему?» — анти-идентичность</w:t>
      </w:r>
    </w:p>
    <w:p>
      <w:pPr>
        <w:pStyle w:val="Heading3"/>
      </w:pPr>
      <w:r>
        <w:t xml:space="preserve">Блок 2: Эмоциональная связь с продуктом (20 минут)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«Вспомните первый раз, когда вы использовали [продукт]. Что вы чувствовали?» — эмоциональный след первого впечатления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«Был ли момент, когда вы поняли: „Да, это мой продукт“? Что произошло?» — идентификация точки конверсии в лояльность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«Что бы вы почувствовали, если бы продукт исчез завтра?» — измерение глубины связи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«Расскажите о случае, когда продукт вас разочаровал. Что произошло?» — проверка прощения недостатков</w:t>
      </w:r>
    </w:p>
    <w:p>
      <w:pPr>
        <w:pStyle w:val="Heading3"/>
      </w:pPr>
      <w:r>
        <w:t xml:space="preserve">Блок 3: Социальный контекст (15 минут)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«Рассказываете ли вы другим о продукте? Что именно говорите?» — реферальный нарратив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«Есть ли у вас друзья, которые тоже используют продукт? Обсуждаете ли вы его?» — социальный капитал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«Как вы думаете, что использование продукта говорит о вас как о человеке?» — продукт как идентити-маркер</w:t>
      </w:r>
    </w:p>
    <w:p>
      <w:pPr>
        <w:pStyle w:val="Heading3"/>
      </w:pPr>
      <w:r>
        <w:t xml:space="preserve">Блок 4: Фильтрация (10 минут)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«Для кого, по вашему мнению, этот продукт НЕ подходит? Почему?» — понимание границ аудитории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«Если бы вы могли изменить одну вещь в продукте, что бы это было? Почему?» — приоритеты развития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«Что в продукте вас раздражает, но вы готовы это терпеть?» — acceptable trade-offs</w:t>
      </w:r>
    </w:p>
    <w:p>
      <w:pPr>
        <w:pStyle w:val="Heading2"/>
      </w:pPr>
      <w:r>
        <w:t xml:space="preserve">11.2. Интерпретация: как понять, что это портрет лояльных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22"/>
                <w:szCs w:val="22"/>
              </w:rPr>
              <w:t xml:space="preserve">Индикатор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22"/>
                <w:szCs w:val="22"/>
              </w:rPr>
              <w:t xml:space="preserve">Признак ядра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22"/>
                <w:szCs w:val="22"/>
              </w:rPr>
              <w:t xml:space="preserve">Признак периферии</w:t>
            </w:r>
          </w:p>
        </w:tc>
      </w:tr>
      <w:tr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Язык описания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«Мой продукт», «мои плейлисты»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«Этот продукт», «такой-то сервис»</w:t>
            </w:r>
          </w:p>
        </w:tc>
      </w:tr>
      <w:tr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Эмоциональная тональность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Страсть, энтузиазм, защита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Нейтралитет, pragmatism</w:t>
            </w:r>
          </w:p>
        </w:tc>
      </w:tr>
      <w:tr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Реакция на критику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Защищает, объясняет контекст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Соглашается, добавляет свои претензии</w:t>
            </w:r>
          </w:p>
        </w:tc>
      </w:tr>
      <w:tr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Реферальная активность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Активно рекомендует без запроса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Рекомендует при спросе</w:t>
            </w:r>
          </w:p>
        </w:tc>
      </w:tr>
      <w:tr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Готовность платить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Платит без сомнений, premium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Ищет скидки, free alternatives</w:t>
            </w:r>
          </w:p>
        </w:tc>
      </w:tr>
      <w:tr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Ответ на исчезновение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«Катастрофа, потеря части себя»</w:t>
            </w:r>
          </w:p>
        </w:tc>
        <w:tc>
          <w:tcPr>
            <w:tcW w:type="dxa" w:w="312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«Найду альтернативу»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20"/>
          <w:szCs w:val="20"/>
        </w:rPr>
        <w:t xml:space="preserve">Таблица 3. Индикаторы для идентификации ядра vs периферии</w:t>
      </w:r>
    </w:p>
    <w:p>
      <w:pPr>
        <w:pStyle w:val="Heading1"/>
      </w:pPr>
      <w:r>
        <w:t xml:space="preserve">12. Система метрик LD2</w:t>
      </w:r>
    </w:p>
    <w:p>
      <w:pPr>
        <w:pStyle w:val="Heading2"/>
      </w:pPr>
      <w:r>
        <w:t xml:space="preserve">12.1. Дашиборд лояльности</w:t>
      </w:r>
    </w:p>
    <w:p>
      <w:pPr>
        <w:spacing w:after="100" w:before="20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network" descr="Network visualization of loyalty" title="Loyalty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20"/>
          <w:szCs w:val="20"/>
        </w:rPr>
        <w:t xml:space="preserve">Рисунок 9. Сеть лояльности: ядро и его связи</w:t>
      </w:r>
    </w:p>
    <w:p>
      <w:pPr>
        <w:pStyle w:val="Heading3"/>
      </w:pPr>
      <w:r>
        <w:t xml:space="preserve">Метрики ядра (Core Metrics)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Core Retention Rate — процент ядра, сохранившийся за период. Target: &gt;90% годовых. Измеряется когортным анализом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Core Share — доля ядра в общей аудитории. Target: 15-25%. Слишком низкая — слабый продукт, слишком высокая — риск стагнации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Core Growth Rate — темп роста абсолютного размера ядра. Target: опережать рост рынка, но не вырождаться в mass growth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Core NPS — Net Promoter Score только для ядра. Target: &gt;70. Высокий NPS ядра при низком общем NPS — нормальная ситуация в LD2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Core Referral Rate — процент ядра, сделавший хотя бы один реферал за период. Target: &gt;60%</w:t>
      </w:r>
    </w:p>
    <w:p>
      <w:pPr>
        <w:pStyle w:val="Heading3"/>
      </w:pPr>
      <w:r>
        <w:t xml:space="preserve">Метрики конверсии (Conversion Metrics)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Sympathizer-to-Core Rate — процент симпатиков, ставших ядром за период. Target: 5-10% квартальных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Time-to-Core — среднее время от первого использования до идентификации как ядро. Target: &lt;90 дней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Core Churn Predictors — ранние индикаторы оттока из ядра (снижение engagement, уменьшение social activity)</w:t>
      </w:r>
    </w:p>
    <w:p>
      <w:pPr>
        <w:pStyle w:val="Heading3"/>
      </w:pPr>
      <w:r>
        <w:t xml:space="preserve">Метрики идентичности (Identity Metrics)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Identity Recall — процент ядра, способного сформулировать идентичность продукта своими словами. Target: &gt;80%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Value Resonance Score — соответствие воспринимаемой ценности заявленной идентичности. Измеряется через интервью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Alien Rejection Rate — процент запросов от «чужих», которые были отклонены. Высокий показатель — здоровая селективность</w:t>
      </w:r>
    </w:p>
    <w:p>
      <w:pPr>
        <w:pStyle w:val="Heading2"/>
      </w:pPr>
      <w:r>
        <w:t xml:space="preserve">12.2. Воронка LD2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22"/>
                <w:szCs w:val="22"/>
              </w:rPr>
              <w:t xml:space="preserve">Этап</w:t>
            </w:r>
          </w:p>
        </w:tc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22"/>
                <w:szCs w:val="22"/>
              </w:rPr>
              <w:t xml:space="preserve">Определение</w:t>
            </w:r>
          </w:p>
        </w:tc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shd w:fill="F5F0EB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Охват</w:t>
            </w:r>
          </w:p>
        </w:tc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Все, кто столкнулся с продуктом</w:t>
            </w:r>
          </w:p>
        </w:tc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Impressions, Reach</w:t>
            </w:r>
          </w:p>
        </w:tc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Таргетинг на потенциально «своих»</w:t>
            </w:r>
          </w:p>
        </w:tc>
      </w:tr>
      <w:tr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Знание</w:t>
            </w:r>
          </w:p>
        </w:tc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Понимают, что предлагает продукт</w:t>
            </w:r>
          </w:p>
        </w:tc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Brand Awareness, Message Recall</w:t>
            </w:r>
          </w:p>
        </w:tc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Коммуникация идентичности</w:t>
            </w:r>
          </w:p>
        </w:tc>
      </w:tr>
      <w:tr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Попытка</w:t>
            </w:r>
          </w:p>
        </w:tc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Первое использование/покупка</w:t>
            </w:r>
          </w:p>
        </w:tc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Trials, First Purchase</w:t>
            </w:r>
          </w:p>
        </w:tc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Onboarding с акцентом на ценности</w:t>
            </w:r>
          </w:p>
        </w:tc>
      </w:tr>
      <w:tr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Вовлечение</w:t>
            </w:r>
          </w:p>
        </w:tc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Регулярное использование</w:t>
            </w:r>
          </w:p>
        </w:tc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DAU/MAU, Frequency</w:t>
            </w:r>
          </w:p>
        </w:tc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Углубление интеграции в жизнь</w:t>
            </w:r>
          </w:p>
        </w:tc>
      </w:tr>
      <w:tr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Ядро</w:t>
            </w:r>
          </w:p>
        </w:tc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Идентификация с продуктом</w:t>
            </w:r>
          </w:p>
        </w:tc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Core Share, Core NPS</w:t>
            </w:r>
          </w:p>
        </w:tc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Community, эксклюзивные фичи</w:t>
            </w:r>
          </w:p>
        </w:tc>
      </w:tr>
      <w:tr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Адвокация</w:t>
            </w:r>
          </w:p>
        </w:tc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Активное продвижение</w:t>
            </w:r>
          </w:p>
        </w:tc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Referral Rate, UGC</w:t>
            </w:r>
          </w:p>
        </w:tc>
        <w:tc>
          <w:tcPr>
            <w:tcW w:type="dxa" w:w="2340"/>
            <w:tcBorders>
              <w:top w:val="single" w:color="D4C4B5" w:sz="1"/>
              <w:left w:val="single" w:color="D4C4B5" w:sz="1"/>
              <w:bottom w:val="single" w:color="D4C4B5" w:sz="1"/>
              <w:right w:val="single" w:color="D4C4B5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22"/>
                <w:szCs w:val="22"/>
              </w:rPr>
              <w:t xml:space="preserve">Реферальные программы, recognition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20"/>
          <w:szCs w:val="20"/>
        </w:rPr>
        <w:t xml:space="preserve">Таблица 4. Воронка LD2: этапы и метрики</w:t>
      </w:r>
    </w:p>
    <w:p>
      <w:pPr>
        <w:pStyle w:val="Heading1"/>
      </w:pPr>
      <w:r>
        <w:t xml:space="preserve">13. Резюме методологии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Loyalty-Driven Product Design предлагает систематическую альтернативу реактивной модели классического дизайн-мышления. Ключевые принципы: идентичность первична, ядро важнее массы, ценность глубже удовлетворённости, селективность — это сила. Методология включает чёткие правила создания продукта, детальные техники исследования, систему метрик и воронку для практического применения. Три практических примера демонстрируют как успехи (Spotify), так и риски (Peloton, Quibi) применения LD2.</w:t>
      </w:r>
    </w:p>
    <w:p>
      <w:pPr>
        <w:spacing w:after="200" w:line="312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Главный инсайт: продукт не должен быть для всех. Попытка угодить каждому ведёт к посредственности для всех. Сила — в ясной идентичности и глубокой связи с теми, кто её разделяет. LD2 превращает этот принцип в операциональную методологию, готовую к применению в продуктовых командах.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361"/>
      </w:rPr>
      <w:t xml:space="preserve">— </w:t>
    </w:r>
    <w:r>
      <w:rPr>
        <w:color w:val="6B6361"/>
      </w:rPr>
      <w:fldChar w:fldCharType="begin"/>
      <w:instrText xml:space="preserve">PAGE</w:instrText>
      <w:fldChar w:fldCharType="separate"/>
      <w:fldChar w:fldCharType="end"/>
    </w:r>
    <w:r>
      <w:rPr>
        <w:color w:val="6B6361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B6361"/>
        <w:sz w:val="20"/>
        <w:szCs w:val="20"/>
      </w:rPr>
      <w:t xml:space="preserve">LD2: Loyalty-Driven Product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26211F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2621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6B636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3D37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94ec4fb4aa21c7d77687bda9611a5bcde0ac769.png"/><Relationship Id="rId10" Type="http://schemas.openxmlformats.org/officeDocument/2006/relationships/image" Target="media/d0c46d938605201c2db3b902a09cd1533964760e.png"/><Relationship Id="rId11" Type="http://schemas.openxmlformats.org/officeDocument/2006/relationships/image" Target="media/6c819b3b46b5cd39f9a3075024b4c3fca7e4ead8.png"/><Relationship Id="rId12" Type="http://schemas.openxmlformats.org/officeDocument/2006/relationships/image" Target="media/fb71a74b95df7797fae974fa434f3e9e6c1d8899.png"/><Relationship Id="rId13" Type="http://schemas.openxmlformats.org/officeDocument/2006/relationships/image" Target="media/2125c4eabb66b29b86381e12d685092fc37d3157.png"/><Relationship Id="rId14" Type="http://schemas.openxmlformats.org/officeDocument/2006/relationships/image" Target="media/709f47331d5f8820f93320ff76044085bc9eebc1.png"/><Relationship Id="rId15" Type="http://schemas.openxmlformats.org/officeDocument/2006/relationships/image" Target="media/48065d2057e7b5e7ba1579a87f2b8ebb9b0da336.png"/><Relationship Id="rId16" Type="http://schemas.openxmlformats.org/officeDocument/2006/relationships/image" Target="media/c397609c5e2ac4e6029a36cc31a33f96adcfd718.png"/><Relationship Id="rId17" Type="http://schemas.openxmlformats.org/officeDocument/2006/relationships/image" Target="media/de5da23b90c6f0a8b87a22d3fc9af1e180236c01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2026-02-26T00:01:46.732Z</dcterms:created>
  <dcterms:modified xsi:type="dcterms:W3CDTF">2026-02-26T00:01:46.732Z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