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AI Methodology Appendix</w:t>
      </w:r>
    </w:p>
    <w:p>
      <w:pPr>
        <w:spacing w:after="80"/>
        <w:jc w:val="center"/>
      </w:pPr>
      <w:r>
        <w:rPr>
          <w:i/>
          <w:iCs/>
          <w:sz w:val="22"/>
          <w:szCs w:val="22"/>
        </w:rPr>
        <w:t xml:space="preserve">ECON 5200 Final Project: ACA Medicaid Expansion DiD Analysis</w:t>
      </w:r>
    </w:p>
    <w:p>
      <w:pPr>
        <w:pBdr>
          <w:bottom w:val="single" w:color="888888" w:sz="6" w:space="8"/>
        </w:pBdr>
        <w:spacing w:after="360"/>
        <w:jc w:val="center"/>
      </w:pPr>
      <w:r>
        <w:rPr>
          <w:sz w:val="20"/>
          <w:szCs w:val="20"/>
        </w:rPr>
        <w:t xml:space="preserve">Author: ZuiTu00 | April 26, 2026</w:t>
      </w:r>
    </w:p>
    <w:p>
      <w:pPr>
        <w:pStyle w:val="Heading2"/>
      </w:pPr>
      <w:r>
        <w:t xml:space="preserve">Overview and AI Use Policy</w:t>
      </w:r>
    </w:p>
    <w:p>
      <w:pPr>
        <w:spacing w:after="120" w:line="300"/>
        <w:jc w:val="both"/>
      </w:pPr>
      <w:r>
        <w:t xml:space="preserve">Following the course's AI-augmented methodology policy, I used Anthropic's Claude as a coding and writing assistant throughout this project. This appendix documents five significant interactions following the </w:t>
      </w:r>
      <w:r>
        <w:rPr>
          <w:b/>
          <w:bCs/>
        </w:rPr>
        <w:t xml:space="preserve">P.R.I.M.E. framework</w:t>
      </w:r>
      <w:r>
        <w:t xml:space="preserve">: Prompt → Response → Iterate → Modify → Evaluate. Each entry describes (1) what I asked, (2) what the model produced, (3) how I iterated, (4) what I changed, and (5) how I verified the output. The course requires a minimum of three entries; I document five to provide a complete record of significant interactions.</w:t>
      </w:r>
    </w:p>
    <w:p>
      <w:pPr>
        <w:spacing w:after="120" w:line="300"/>
        <w:jc w:val="both"/>
      </w:pPr>
      <w:r>
        <w:t xml:space="preserve">All AI-generated code was tested before adoption. All AI-suggested numerical results were independently verified by hand calculation or against published literature. All AI-drafted prose was rewritten by me to match my voice and to add my own observations. Where I retained AI phrasing verbatim, it is because that phrasing was technically correct and idiomatic.</w:t>
      </w:r>
    </w:p>
    <w:p>
      <w:pPr>
        <w:pStyle w:val="Heading1"/>
      </w:pPr>
      <w:r>
        <w:t xml:space="preserve">Entry 1: Code Generation — SAHIE Data Cleaning Pipeline</w:t>
      </w:r>
    </w:p>
    <w:p>
      <w:pPr>
        <w:spacing w:after="120" w:line="300"/>
        <w:jc w:val="both"/>
      </w:pPr>
      <w:r>
        <w:rPr>
          <w:b/>
          <w:bCs/>
        </w:rPr>
        <w:t xml:space="preserve">Prompt: </w:t>
      </w:r>
      <w:r>
        <w:t xml:space="preserve">I provided 15 SAHIE CSV files (2009–2023) and asked: "Each file has metadata headers. Help me extract county-level observations (geocat=50), filter to under-65/all-races/both-sexes/all-income, build a unique national county identifier (since countyfips is only unique within state), and create a balanced panel for a DiD of ACA Medicaid expansion."</w:t>
      </w:r>
    </w:p>
    <w:p>
      <w:pPr>
        <w:spacing w:after="120" w:line="300"/>
        <w:jc w:val="both"/>
      </w:pPr>
      <w:r>
        <w:rPr>
          <w:b/>
          <w:bCs/>
        </w:rPr>
        <w:t xml:space="preserve">Response: </w:t>
      </w:r>
      <w:r>
        <w:t xml:space="preserve">Claude generated a Python pipeline that auto-detected the header row in each CSV by scanning for the line beginning with "year,", concatenated all years using pandas, applied the filter mask, constructed </w:t>
      </w:r>
      <w:r>
        <w:rPr>
          <w:i/>
          <w:iCs/>
        </w:rPr>
        <w:t xml:space="preserve">county_id = statefips × 1000 + countyfips</w:t>
      </w:r>
      <w:r>
        <w:t xml:space="preserve"> for global uniqueness, and created the treatment, post, and treat_post indicators.</w:t>
      </w:r>
    </w:p>
    <w:p>
      <w:pPr>
        <w:spacing w:after="120" w:line="300"/>
        <w:jc w:val="both"/>
      </w:pPr>
      <w:r>
        <w:rPr>
          <w:b/>
          <w:bCs/>
        </w:rPr>
        <w:t xml:space="preserve">Iterate: </w:t>
      </w:r>
      <w:r>
        <w:t xml:space="preserve">On reviewing the output, I noticed two issues. First, the 2013 file contains both "Original" and "Updated" versions; I asked Claude to keep only "Updated" per Census documentation. Second, the initial draft included all 51 expansion states (combining 2014 expanders and late adopters); I requested explicit exclusion of late adopters to maintain a clean 2×2 design and avoid Goodman-Bacon (2021) staggered-adoption bias.</w:t>
      </w:r>
    </w:p>
    <w:p>
      <w:pPr>
        <w:spacing w:after="120" w:line="300"/>
        <w:jc w:val="both"/>
      </w:pPr>
      <w:r>
        <w:rPr>
          <w:b/>
          <w:bCs/>
        </w:rPr>
        <w:t xml:space="preserve">Modify: </w:t>
      </w:r>
      <w:r>
        <w:t xml:space="preserve">I cross-referenced the proposed list of 26 expansion states against the Kaiser Family Foundation's published Medicaid expansion timeline. The model's list matched. I added a filter to drop Kalawao County, HI (population ≈ 80, documented as N/A in SAHIE), and to drop the 17 counties with incomplete panels — primarily due to Connecticut's 2022 administrative reorganization from 8 counties into 9 Planning Regions. The reduction from 47,141 raw county-year observations to 32,130 balanced-panel observations is a 32% reduction, which I documented as a transparent data-quality decision.</w:t>
      </w:r>
    </w:p>
    <w:p>
      <w:pPr>
        <w:spacing w:after="120" w:line="300"/>
        <w:jc w:val="both"/>
      </w:pPr>
      <w:r>
        <w:rPr>
          <w:b/>
          <w:bCs/>
        </w:rPr>
        <w:t xml:space="preserve">Evaluate: </w:t>
      </w:r>
      <w:r>
        <w:t xml:space="preserve">I verified the cleaning pipeline by (a) confirming the resulting balanced panel has exactly 2,142 counties × 15 years = 32,130 observations; (b) manually checking five randomly-selected county-year observations against the raw SAHIE files; (c) confirming no missing values in PCTUI; (d) verifying that </w:t>
      </w:r>
      <w:r>
        <w:rPr>
          <w:i/>
          <w:iCs/>
        </w:rPr>
        <w:t xml:space="preserve">county_id</w:t>
      </w:r>
      <w:r>
        <w:t xml:space="preserve"> values do not collide across states (they are globally unique by construction); and (e) comparing pre-treatment group means against published Kaiser Family Foundation figures for 2013, finding agreement to within 0.5 percentage points.</w:t>
      </w:r>
    </w:p>
    <w:p>
      <w:pPr>
        <w:pStyle w:val="Heading1"/>
      </w:pPr>
      <w:r>
        <w:t xml:space="preserve">Entry 2: Specification Choice — County FE vs. State FE, Clustering Level</w:t>
      </w:r>
    </w:p>
    <w:p>
      <w:pPr>
        <w:spacing w:after="120" w:line="300"/>
        <w:jc w:val="both"/>
      </w:pPr>
      <w:r>
        <w:rPr>
          <w:b/>
          <w:bCs/>
        </w:rPr>
        <w:t xml:space="preserve">Prompt: </w:t>
      </w:r>
      <w:r>
        <w:t xml:space="preserve">"My treatment is assigned at the state level but I have county-level outcomes. Should I use county fixed effects + year FE, or state FE + year FE? And how should I cluster the standard errors?"</w:t>
      </w:r>
    </w:p>
    <w:p>
      <w:pPr>
        <w:spacing w:after="120" w:line="300"/>
        <w:jc w:val="both"/>
      </w:pPr>
      <w:r>
        <w:rPr>
          <w:b/>
          <w:bCs/>
        </w:rPr>
        <w:t xml:space="preserve">Response: </w:t>
      </w:r>
      <w:r>
        <w:t xml:space="preserve">Claude explained the canonical argument from the literature: county FE is more flexible than state FE because it absorbs additional within-state heterogeneity (e.g., persistent rural-urban differences). Consequently, county FE should be preferred for efficiency even when treatment is state-assigned. For clustering, the model cited Abadie, Athey, Imbens, and Wooldridge (2017), who show that the appropriate cluster level is the level at which </w:t>
      </w:r>
      <w:r>
        <w:rPr>
          <w:i/>
          <w:iCs/>
        </w:rPr>
        <w:t xml:space="preserve">treatment varies</w:t>
      </w:r>
      <w:r>
        <w:t xml:space="preserve"> — the state level here. Clustering at the county level would understate serial correlation within states.</w:t>
      </w:r>
    </w:p>
    <w:p>
      <w:pPr>
        <w:spacing w:after="120" w:line="300"/>
        <w:jc w:val="both"/>
      </w:pPr>
      <w:r>
        <w:rPr>
          <w:b/>
          <w:bCs/>
        </w:rPr>
        <w:t xml:space="preserve">Iterate: </w:t>
      </w:r>
      <w:r>
        <w:t xml:space="preserve">I pushed for whether to use weights and asked about small-cluster inference (only 35 state clusters). Claude distinguished the two weighting options as answering different policy questions — unweighted recovers the average effect on the average county; population-weighted recovers the average effect on the average person — and recommended reporting both. On small-cluster inference, the model flagged that wild cluster bootstrap (Cameron, Gelbach, &amp; Miller 2008) is the recommended robustness extension when clusters fall below 40, citing Cameron and Miller (2015).</w:t>
      </w:r>
    </w:p>
    <w:p>
      <w:pPr>
        <w:spacing w:after="120" w:line="300"/>
        <w:jc w:val="both"/>
      </w:pPr>
      <w:r>
        <w:rPr>
          <w:b/>
          <w:bCs/>
        </w:rPr>
        <w:t xml:space="preserve">Modify: </w:t>
      </w:r>
      <w:r>
        <w:t xml:space="preserve">I implemented both weighted and unweighted TWFE specifications and reported them side by side in the main results table. I added a placebo DiD on the pre-period and a COVID-excluded subsample as additional robustness checks. I did not implement the wild cluster bootstrap due to time constraints; instead, I documented this as an explicit limitation in the Threats to Identification memo.</w:t>
      </w:r>
    </w:p>
    <w:p>
      <w:pPr>
        <w:spacing w:after="120" w:line="300"/>
        <w:jc w:val="both"/>
      </w:pPr>
      <w:r>
        <w:rPr>
          <w:b/>
          <w:bCs/>
        </w:rPr>
        <w:t xml:space="preserve">Evaluate: </w:t>
      </w:r>
      <w:r>
        <w:t xml:space="preserve">I verified the implementation by (a) running both the simple 2×2 DiD and TWFE — point estimates match algebraically as expected for a balanced panel; (b) confirming the placebo coefficient is null (β = 0.25, p = 0.21); (c) confirming COVID-excluded results agree with the full-period results within 0.06 pp. I cross-validated the magnitude against Sommers et al. (2017, </w:t>
      </w:r>
      <w:r>
        <w:rPr>
          <w:i/>
          <w:iCs/>
        </w:rPr>
        <w:t xml:space="preserve">JAMA</w:t>
      </w:r>
      <w:r>
        <w:t xml:space="preserve">) and Courtemanche et al. (2017, </w:t>
      </w:r>
      <w:r>
        <w:rPr>
          <w:i/>
          <w:iCs/>
        </w:rPr>
        <w:t xml:space="preserve">HSR</w:t>
      </w:r>
      <w:r>
        <w:t xml:space="preserve">); my population-weighted estimate (–1.41 pp) falls within their published range of 1–2 pp.</w:t>
      </w:r>
    </w:p>
    <w:p>
      <w:pPr>
        <w:pStyle w:val="Heading1"/>
      </w:pPr>
      <w:r>
        <w:t xml:space="preserve">Entry 3: Streamlit Dashboard — Layout, Interactivity, and Deployment</w:t>
      </w:r>
    </w:p>
    <w:p>
      <w:pPr>
        <w:spacing w:after="120" w:line="300"/>
        <w:jc w:val="both"/>
      </w:pPr>
      <w:r>
        <w:rPr>
          <w:b/>
          <w:bCs/>
        </w:rPr>
        <w:t xml:space="preserve">Prompt: </w:t>
      </w:r>
      <w:r>
        <w:t xml:space="preserve">"I need a Streamlit dashboard for a consulting report. Requirements: parameter sliders that change the analysis in real time, dynamic uncertainty visualization, at least one counterfactual scenario, and deployable to Streamlit Community Cloud."</w:t>
      </w:r>
    </w:p>
    <w:p>
      <w:pPr>
        <w:spacing w:after="120" w:line="300"/>
        <w:jc w:val="both"/>
      </w:pPr>
      <w:r>
        <w:rPr>
          <w:b/>
          <w:bCs/>
        </w:rPr>
        <w:t xml:space="preserve">Response: </w:t>
      </w:r>
      <w:r>
        <w:t xml:space="preserve">Claude generated a 250-line Streamlit application with sidebar controls (specification toggle, take-up rate slider, generalizability multiplier slider, population input), a metric-cards row with the central estimate and confidence interval, and four tabbed views — Parallel Trends, Sensitivity Analysis, Counterfactual, and Data Summary — each with Plotly-based interactive figures.</w:t>
      </w:r>
    </w:p>
    <w:p>
      <w:pPr>
        <w:spacing w:after="120" w:line="300"/>
        <w:jc w:val="both"/>
      </w:pPr>
      <w:r>
        <w:rPr>
          <w:b/>
          <w:bCs/>
        </w:rPr>
        <w:t xml:space="preserve">Iterate: </w:t>
      </w:r>
      <w:r>
        <w:t xml:space="preserve">My first deployment attempt failed during package installation. I asked Claude to diagnose. The model identified that pinned version numbers in requirements.txt were forcing source compilation of pandas and numpy, which exceeded build time. The recommended fix was to remove version pins and let Streamlit Cloud's pip resolve compatible versions automatically.</w:t>
      </w:r>
    </w:p>
    <w:p>
      <w:pPr>
        <w:spacing w:after="120" w:line="300"/>
        <w:jc w:val="both"/>
      </w:pPr>
      <w:r>
        <w:rPr>
          <w:b/>
          <w:bCs/>
        </w:rPr>
        <w:t xml:space="preserve">Modify: </w:t>
      </w:r>
      <w:r>
        <w:t xml:space="preserve">I rewrote requirements.txt with unpinned dependencies (streamlit, pandas, numpy, plotly), redeployed, and the build succeeded in approximately three minutes. I also added a 0.5–1.5× generalizability multiplier (not in the original spec) to make external-validity assumptions explicit and adjustable for end users — a substantive economic improvement over a static dashboard.</w:t>
      </w:r>
    </w:p>
    <w:p>
      <w:pPr>
        <w:spacing w:after="120" w:line="300"/>
        <w:jc w:val="both"/>
      </w:pPr>
      <w:r>
        <w:rPr>
          <w:b/>
          <w:bCs/>
        </w:rPr>
        <w:t xml:space="preserve">Evaluate: </w:t>
      </w:r>
      <w:r>
        <w:t xml:space="preserve">I tested the deployed application by manipulating each control and verifying that all displayed values updated consistently. I confirmed that the 95% CI computation matches the underlying TWFE results from the notebook. The deployed URL is </w:t>
      </w:r>
      <w:r>
        <w:rPr>
          <w:i/>
          <w:iCs/>
        </w:rPr>
        <w:t xml:space="preserve">econ-5200-medicaid-did-zpe5tcg3rugqpijqjxw25p.streamlit.app</w:t>
      </w:r>
      <w:r>
        <w:t xml:space="preserve">. I did not modify the application after testing because all behaviors matched expectations.</w:t>
      </w:r>
    </w:p>
    <w:p>
      <w:pPr>
        <w:pStyle w:val="Heading1"/>
      </w:pPr>
      <w:r>
        <w:t xml:space="preserve">Entry 4: Threats to Identification Memo — Drafting and Verification</w:t>
      </w:r>
    </w:p>
    <w:p>
      <w:pPr>
        <w:spacing w:after="120" w:line="300"/>
        <w:jc w:val="both"/>
      </w:pPr>
      <w:r>
        <w:rPr>
          <w:b/>
          <w:bCs/>
        </w:rPr>
        <w:t xml:space="preserve">Prompt: </w:t>
      </w:r>
      <w:r>
        <w:t xml:space="preserve">"Help me draft a rigorous 500+ word Threats to Identification section for a county-level DiD of ACA Medicaid expansion. Must specifically name threats, direction of bias, and what data would address each. Include adversarial angles: specification, external validity."</w:t>
      </w:r>
    </w:p>
    <w:p>
      <w:pPr>
        <w:spacing w:after="120" w:line="300"/>
        <w:jc w:val="both"/>
      </w:pPr>
      <w:r>
        <w:rPr>
          <w:b/>
          <w:bCs/>
        </w:rPr>
        <w:t xml:space="preserve">Response: </w:t>
      </w:r>
      <w:r>
        <w:t xml:space="preserve">Claude produced a structured draft with six sections: most serious threat (parallel trends), SUTVA/spillovers, confounding ACA provisions, specification choice and small-cluster inference, external validity to non-expansion states, and an honest "what I cannot rule out" coda.</w:t>
      </w:r>
    </w:p>
    <w:p>
      <w:pPr>
        <w:spacing w:after="120" w:line="300"/>
        <w:jc w:val="both"/>
      </w:pPr>
      <w:r>
        <w:rPr>
          <w:b/>
          <w:bCs/>
        </w:rPr>
        <w:t xml:space="preserve">Iterate: </w:t>
      </w:r>
      <w:r>
        <w:t xml:space="preserve">I pushed back on Section 1, where the initial draft was generic about parallel trends. I asked for specific mechanisms — what concrete features of expansion states might generate non-parallel trajectories? Claude added the example of state-based marketplace exchanges with active outreach, which would lower uninsurance through a non-Medicaid channel correlated with expansion choice. I also requested specific cited research for each mitigation strategy (Abadie et al. for synthetic control, Dube et al. for border-pair design, Cameron &amp; Miller for small-cluster inference).</w:t>
      </w:r>
    </w:p>
    <w:p>
      <w:pPr>
        <w:spacing w:after="120" w:line="300"/>
        <w:jc w:val="both"/>
      </w:pPr>
      <w:r>
        <w:rPr>
          <w:b/>
          <w:bCs/>
        </w:rPr>
        <w:t xml:space="preserve">Modify: </w:t>
      </w:r>
      <w:r>
        <w:t xml:space="preserve">I rewrote the entire memo in my own voice, simplifying complex sentences and adding personal observations. I added a paragraph in Section 6 reflecting on what this project taught me about the limits of "testable" assumptions in causal inference — content that the model would not have generated. I verified each cited paper against Google Scholar to confirm authors, years, journals, and volumes; all six references checked out.</w:t>
      </w:r>
    </w:p>
    <w:p>
      <w:pPr>
        <w:spacing w:after="120" w:line="300"/>
        <w:jc w:val="both"/>
      </w:pPr>
      <w:r>
        <w:rPr>
          <w:b/>
          <w:bCs/>
        </w:rPr>
        <w:t xml:space="preserve">Evaluate: </w:t>
      </w:r>
      <w:r>
        <w:t xml:space="preserve">I had a peer (a fellow ECON 5200 student) read the memo to confirm the causal logic was internally consistent without my contextual framing. The peer flagged one sentence in Section 2 as ambiguous about the direction of bias from spillovers; I rewrote it for clarity. Final word count: approximately 720 words, exceeding the 500-word minimum. Each threat explicitly names (a) the threat, (b) direction of bias, and (c) what data would address it.</w:t>
      </w:r>
    </w:p>
    <w:p>
      <w:pPr>
        <w:pStyle w:val="Heading1"/>
      </w:pPr>
      <w:r>
        <w:t xml:space="preserve">Entry 5: Technical Report — Structure and Equation Notation</w:t>
      </w:r>
    </w:p>
    <w:p>
      <w:pPr>
        <w:spacing w:after="120" w:line="300"/>
        <w:jc w:val="both"/>
      </w:pPr>
      <w:r>
        <w:rPr>
          <w:b/>
          <w:bCs/>
        </w:rPr>
        <w:t xml:space="preserve">Prompt: </w:t>
      </w:r>
      <w:r>
        <w:t xml:space="preserve">"Help me structure a 5-8 page technical report following standard applied econometrics conventions. The report should have these sections: introduction, identification strategy, data, descriptive evidence, results, robustness, interpretation, limitations, conclusion."</w:t>
      </w:r>
    </w:p>
    <w:p>
      <w:pPr>
        <w:spacing w:after="120" w:line="300"/>
        <w:jc w:val="both"/>
      </w:pPr>
      <w:r>
        <w:rPr>
          <w:b/>
          <w:bCs/>
        </w:rPr>
        <w:t xml:space="preserve">Response: </w:t>
      </w:r>
      <w:r>
        <w:t xml:space="preserve">Claude proposed the section structure I ultimately used and drafted skeleton paragraphs for each. The model generated a properly-formatted TWFE specification with subscripted indices and explained the role of each parameter. Tables for the main results and sample composition were generated in markdown which I then converted to docx tables.</w:t>
      </w:r>
    </w:p>
    <w:p>
      <w:pPr>
        <w:spacing w:after="120" w:line="300"/>
        <w:jc w:val="both"/>
      </w:pPr>
      <w:r>
        <w:rPr>
          <w:b/>
          <w:bCs/>
        </w:rPr>
        <w:t xml:space="preserve">Iterate: </w:t>
      </w:r>
      <w:r>
        <w:t xml:space="preserve">I asked the model to verify that my proposed comparison to Sommers et al. (2017) and Courtemanche et al. (2017) was substantively correct. The model confirmed that my point estimate falls within both papers' published ranges and clarified that Sommers used survey data while Courtemanche used BRFSS — a different but complementary identification design.</w:t>
      </w:r>
    </w:p>
    <w:p>
      <w:pPr>
        <w:spacing w:after="120" w:line="300"/>
        <w:jc w:val="both"/>
      </w:pPr>
      <w:r>
        <w:rPr>
          <w:b/>
          <w:bCs/>
        </w:rPr>
        <w:t xml:space="preserve">Modify: </w:t>
      </w:r>
      <w:r>
        <w:t xml:space="preserve">I rewrote the introduction to lead with the policy question rather than the methodological setup. I added the algebraic explanation that simple 2×2 DiD and unweighted TWFE produce identical point estimates in a balanced panel with no covariates — a non-obvious result I verified by hand and that strengthens the report's clarity. I cut several paragraphs of methodological filler that the model included by default.</w:t>
      </w:r>
    </w:p>
    <w:p>
      <w:pPr>
        <w:spacing w:after="120" w:line="300"/>
        <w:jc w:val="both"/>
      </w:pPr>
      <w:r>
        <w:rPr>
          <w:b/>
          <w:bCs/>
        </w:rPr>
        <w:t xml:space="preserve">Evaluate: </w:t>
      </w:r>
      <w:r>
        <w:t xml:space="preserve">I produced a final PDF and read it cover-to-cover, confirming that (a) all numerical results match the analysis notebook, (b) all figures are referenced in text, (c) all citations resolve to real papers, and (d) the conclusion follows logically from the results section. I checked the document length: 9 pages including title page, well within the 5–8 page main-content target.</w:t>
      </w:r>
    </w:p>
    <w:p>
      <w:pPr>
        <w:pStyle w:val="Heading1"/>
      </w:pPr>
      <w:r>
        <w:t xml:space="preserve">Reflection on AI-Augmented Methodology</w:t>
      </w:r>
    </w:p>
    <w:p>
      <w:pPr>
        <w:spacing w:after="120" w:line="300"/>
        <w:jc w:val="both"/>
      </w:pPr>
      <w:r>
        <w:t xml:space="preserve">Working with Claude shifted the bottleneck of this project from typing and syntax to </w:t>
      </w:r>
      <w:r>
        <w:rPr>
          <w:b/>
          <w:bCs/>
        </w:rPr>
        <w:t xml:space="preserve">judgment and verification</w:t>
      </w:r>
      <w:r>
        <w:t xml:space="preserve">. The model is fast at producing technically competent first drafts of code, prose, and analysis — but the drafts always require human evaluation. In practice, my time was spent reading the model's output critically, identifying claims I needed to verify, running independent checks, and rewriting passages that did not match my voice or my understanding.</w:t>
      </w:r>
    </w:p>
    <w:p>
      <w:pPr>
        <w:spacing w:after="120" w:line="300"/>
        <w:jc w:val="both"/>
      </w:pPr>
      <w:r>
        <w:t xml:space="preserve">Two specific lessons stand out. First, </w:t>
      </w:r>
      <w:r>
        <w:rPr>
          <w:b/>
          <w:bCs/>
        </w:rPr>
        <w:t xml:space="preserve">AI-generated code is fast to produce but slow to trust</w:t>
      </w:r>
      <w:r>
        <w:t xml:space="preserve">. I caught at least three subtle errors during evaluation that would have silently corrupted my results — for example, an early version of the cleaning script kept both "Original" and "Updated" 2013 vintages, which would have double-counted those observations. Second, </w:t>
      </w:r>
      <w:r>
        <w:rPr>
          <w:b/>
          <w:bCs/>
        </w:rPr>
        <w:t xml:space="preserve">AI-generated prose tends toward generic competence</w:t>
      </w:r>
      <w:r>
        <w:t xml:space="preserve">, which is fine for boilerplate but counterproductive for sections that should reflect personal understanding. The Threats to Identification memo benefited substantially from my own rewriting — the model's draft was correct but uninspired. The personal-reflection paragraph in Section 6 is content I generated entirely.</w:t>
      </w:r>
    </w:p>
    <w:p>
      <w:pPr>
        <w:spacing w:after="120" w:line="300"/>
        <w:jc w:val="both"/>
      </w:pPr>
      <w:r>
        <w:t xml:space="preserve">Going forward, I will continue to use AI for code scaffolding and first drafts but will treat every output as a </w:t>
      </w:r>
      <w:r>
        <w:rPr>
          <w:i/>
          <w:iCs/>
        </w:rPr>
        <w:t xml:space="preserve">hypothesis to verify</w:t>
      </w:r>
      <w:r>
        <w:t xml:space="preserve"> rather than a finished product. The P.R.I.M.E. framework is well-suited to this discipline because it forces explicit Modify and Evaluate steps that prevent passive adoption of AI output.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60" w:before="18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2026-04-26T18:51:59.841Z</dcterms:created>
  <dcterms:modified xsi:type="dcterms:W3CDTF">2026-04-26T18:51:59.842Z</dcterms:modified>
</cp:coreProperties>
</file>

<file path=docProps/custom.xml><?xml version="1.0" encoding="utf-8"?>
<Properties xmlns="http://schemas.openxmlformats.org/officeDocument/2006/custom-properties" xmlns:vt="http://schemas.openxmlformats.org/officeDocument/2006/docPropsVTypes"/>
</file>