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Executive Summary: Should Non-Expansion States Adopt Medicaid Expansion?</w:t>
      </w:r>
    </w:p>
    <w:p>
      <w:pPr>
        <w:pBdr>
          <w:bottom w:val="single" w:color="1A237E" w:sz="6" w:space="6"/>
        </w:pBdr>
        <w:spacing w:after="240"/>
        <w:jc w:val="center"/>
      </w:pPr>
      <w:r>
        <w:rPr>
          <w:i/>
          <w:iCs/>
          <w:sz w:val="18"/>
          <w:szCs w:val="18"/>
        </w:rPr>
        <w:t xml:space="preserve">ECON 5200 Final Project | Author: ZuiTu00 | April 26, 2026</w:t>
      </w:r>
    </w:p>
    <w:p>
      <w:pPr>
        <w:spacing w:after="60"/>
      </w:pPr>
      <w:r>
        <w:rPr>
          <w:b/>
          <w:bCs/>
          <w:color w:val="1A237E"/>
          <w:sz w:val="22"/>
          <w:szCs w:val="22"/>
        </w:rPr>
        <w:t xml:space="preserve">RECOMMENDATION</w:t>
      </w:r>
    </w:p>
    <w:p>
      <w:pPr>
        <w:pBdr>
          <w:top w:val="single" w:color="1A237E" w:sz="6" w:space="4"/>
          <w:bottom w:val="single" w:color="1A237E" w:sz="6" w:space="4"/>
          <w:left w:val="single" w:color="1A237E" w:sz="6" w:space="4"/>
          <w:right w:val="single" w:color="1A237E" w:sz="6" w:space="4"/>
        </w:pBdr>
        <w:shd w:fill="F5F5F5" w:val="clear"/>
        <w:spacing w:after="240" w:line="280"/>
        <w:jc w:val="both"/>
      </w:pPr>
      <w:r>
        <w:rPr>
          <w:sz w:val="22"/>
          <w:szCs w:val="22"/>
        </w:rPr>
        <w:t xml:space="preserve">We estimate that ACA Medicaid expansion reduced county-level uninsured rates by </w:t>
      </w:r>
      <w:r>
        <w:rPr>
          <w:b/>
          <w:bCs/>
          <w:sz w:val="22"/>
          <w:szCs w:val="22"/>
        </w:rPr>
        <w:t xml:space="preserve">1.41 percentage points </w:t>
      </w:r>
      <w:r>
        <w:rPr>
          <w:sz w:val="22"/>
          <w:szCs w:val="22"/>
        </w:rPr>
        <w:t xml:space="preserve">(95% CI: [–3.81, +0.99]) for the average resident </w:t>
      </w:r>
      <w:r>
        <w:rPr>
          <w:sz w:val="22"/>
          <w:szCs w:val="22"/>
        </w:rPr>
        <w:t xml:space="preserve">and </w:t>
      </w:r>
      <w:r>
        <w:rPr>
          <w:b/>
          <w:bCs/>
          <w:sz w:val="22"/>
          <w:szCs w:val="22"/>
        </w:rPr>
        <w:t xml:space="preserve">2.06 percentage points </w:t>
      </w:r>
      <w:r>
        <w:rPr>
          <w:sz w:val="22"/>
          <w:szCs w:val="22"/>
        </w:rPr>
        <w:t xml:space="preserve">(95% CI: [–3.42, –0.69]) for the average county. </w:t>
      </w:r>
      <w:r>
        <w:rPr>
          <w:b/>
          <w:bCs/>
          <w:sz w:val="22"/>
          <w:szCs w:val="22"/>
        </w:rPr>
        <w:t xml:space="preserve">We recommend that the 10 remaining non-expansion states adopt the policy. </w:t>
      </w:r>
      <w:r>
        <w:rPr>
          <w:sz w:val="22"/>
          <w:szCs w:val="22"/>
        </w:rPr>
        <w:t xml:space="preserve">Key assumption that could invalidate this conclusion: parallel trends — expansion and non-expansion states would have followed the same uninsured-rate trajectory absent the policy.</w:t>
      </w:r>
    </w:p>
    <w:p>
      <w:pPr>
        <w:pStyle w:val="Heading2"/>
      </w:pPr>
      <w:r>
        <w:rPr>
          <w:color w:val="1A237E"/>
        </w:rPr>
        <w:t xml:space="preserve">Situation</w:t>
      </w:r>
    </w:p>
    <w:p>
      <w:pPr>
        <w:spacing w:after="100" w:line="280"/>
        <w:jc w:val="both"/>
      </w:pPr>
      <w:r>
        <w:t xml:space="preserve">The Affordable Care Act's Medicaid expansion provision (effective January 2014) extended eligibility to adults earning up to 138% of the Federal Poverty Level. After the 2012 </w:t>
      </w:r>
      <w:r>
        <w:rPr>
          <w:i/>
          <w:iCs/>
        </w:rPr>
        <w:t xml:space="preserve">NFIB v. Sebelius</w:t>
      </w:r>
      <w:r>
        <w:t xml:space="preserve"> Supreme Court ruling, expansion became optional for states. By 2014, 26 states had expanded; ten states have still not expanded as of 2023, leaving roughly 55 million under-65 residents in jurisdictions without expanded coverage. The policy question is whether these remaining states should adopt expansion — and what coverage gains they could expect.</w:t>
      </w:r>
    </w:p>
    <w:p>
      <w:pPr>
        <w:pStyle w:val="Heading2"/>
      </w:pPr>
      <w:r>
        <w:rPr>
          <w:color w:val="1A237E"/>
        </w:rPr>
        <w:t xml:space="preserve">Complication</w:t>
      </w:r>
    </w:p>
    <w:p>
      <w:pPr>
        <w:spacing w:after="100" w:line="280"/>
        <w:jc w:val="both"/>
      </w:pPr>
      <w:r>
        <w:t xml:space="preserve">A naive cross-sectional comparison of uninsured rates in expansion versus non-expansion states shows a 6.78 percentage point gap. This figure is misleading. States that chose to expand were systematically different </w:t>
      </w:r>
      <w:r>
        <w:rPr>
          <w:i/>
          <w:iCs/>
        </w:rPr>
        <w:t xml:space="preserve">before</w:t>
      </w:r>
      <w:r>
        <w:t xml:space="preserve"> the ACA: they had higher incomes, more generous pre-existing safety nets, and stronger healthcare infrastructure. The naive comparison conflates the policy's causal effect with these pre-existing differences. A predictive model using county features cannot resolve this — it would attribute the gap to the treatment indicator regardless of mechanism. Only a causal identification strategy that differences out time-invariant confounders can isolate the policy effect.</w:t>
      </w:r>
    </w:p>
    <w:p>
      <w:pPr>
        <w:pStyle w:val="Heading2"/>
      </w:pPr>
      <w:r>
        <w:rPr>
          <w:color w:val="1A237E"/>
        </w:rPr>
        <w:t xml:space="preserve">Resolution</w:t>
      </w:r>
    </w:p>
    <w:p>
      <w:pPr>
        <w:spacing w:after="100" w:line="280"/>
        <w:jc w:val="both"/>
      </w:pPr>
      <w:r>
        <w:t xml:space="preserve">We use a county-level Difference-in-Differences design with two-way fixed effects on a balanced panel of 2,142 counties × 15 years (N = 32,130). State and year fixed effects absorb time-invariant heterogeneity and national shocks; standard errors cluster at the state level. Parallel trends is supported by an event study showing pre-2014 coefficients statistically indistinguishable from zero and a placebo DiD on pre-ACA data returning a null (β = 0.25, p = 0.21). Robustness checks excluding COVID years confirm the estimate.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Headline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2496"/>
        <w:gridCol w:w="1248"/>
      </w:tblGrid>
      <w:tr>
        <w:tc>
          <w:tcPr>
            <w:tcW w:type="dxa" w:w="37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Estimate</w:t>
            </w:r>
          </w:p>
        </w:tc>
        <w:tc>
          <w:tcPr>
            <w:tcW w:type="dxa" w:w="24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95% CI</w:t>
            </w:r>
          </w:p>
        </w:tc>
        <w:tc>
          <w:tcPr>
            <w:tcW w:type="dxa" w:w="1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Newly Insured</w:t>
            </w:r>
          </w:p>
        </w:tc>
      </w:tr>
      <w:tr>
        <w:tc>
          <w:tcPr>
            <w:tcW w:type="dxa" w:w="37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Naive OLS (biased benchmark)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–6.78 pp</w:t>
            </w:r>
          </w:p>
        </w:tc>
        <w:tc>
          <w:tcPr>
            <w:tcW w:type="dxa" w:w="24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[–6.90, –6.66]</w:t>
            </w:r>
          </w:p>
        </w:tc>
        <w:tc>
          <w:tcPr>
            <w:tcW w:type="dxa" w:w="1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3.7M</w:t>
            </w:r>
          </w:p>
        </w:tc>
      </w:tr>
      <w:tr>
        <w:tc>
          <w:tcPr>
            <w:tcW w:type="dxa" w:w="37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TWFE DiD (preferred)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–2.06 pp</w:t>
            </w:r>
          </w:p>
        </w:tc>
        <w:tc>
          <w:tcPr>
            <w:tcW w:type="dxa" w:w="24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[–3.42, –0.69]</w:t>
            </w:r>
          </w:p>
        </w:tc>
        <w:tc>
          <w:tcPr>
            <w:tcW w:type="dxa" w:w="1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1.1M</w:t>
            </w:r>
          </w:p>
        </w:tc>
      </w:tr>
      <w:tr>
        <w:tc>
          <w:tcPr>
            <w:tcW w:type="dxa" w:w="37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TWFE DiD (population-weighted)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–1.41 pp</w:t>
            </w:r>
          </w:p>
        </w:tc>
        <w:tc>
          <w:tcPr>
            <w:tcW w:type="dxa" w:w="24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[–3.81, +0.99]</w:t>
            </w:r>
          </w:p>
        </w:tc>
        <w:tc>
          <w:tcPr>
            <w:tcW w:type="dxa" w:w="1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0.78M</w:t>
            </w:r>
          </w:p>
        </w:tc>
      </w:tr>
    </w:tbl>
    <w:p>
      <w:pPr>
        <w:spacing w:after="60" w:before="200"/>
        <w:jc w:val="both"/>
      </w:pPr>
      <w:r>
        <w:rPr>
          <w:b/>
          <w:bCs/>
          <w:sz w:val="20"/>
          <w:szCs w:val="20"/>
        </w:rPr>
        <w:t xml:space="preserve">Bottom Line: </w:t>
      </w:r>
      <w:r>
        <w:rPr>
          <w:sz w:val="20"/>
          <w:szCs w:val="20"/>
        </w:rPr>
        <w:t xml:space="preserve">The naive estimate overstates the policy effect by roughly threefold due to selection bias. The causal effect is meaningful but smaller. With 90% federal cost-share and ~1 million additional insured at the central estimate, expansion remains highly cost-effective — but state policymakers should expect the </w:t>
      </w:r>
      <w:r>
        <w:rPr>
          <w:i/>
          <w:iCs/>
          <w:sz w:val="20"/>
          <w:szCs w:val="20"/>
        </w:rPr>
        <w:t xml:space="preserve">lower bound</w:t>
      </w:r>
      <w:r>
        <w:rPr>
          <w:sz w:val="20"/>
          <w:szCs w:val="20"/>
        </w:rPr>
        <w:t xml:space="preserve"> (population-weighted) when applying these results to non-expansion states, which differ demographically from 2014 expanders.</w:t>
      </w:r>
    </w:p>
    <w:p>
      <w:pPr>
        <w:spacing w:before="120"/>
        <w:jc w:val="center"/>
      </w:pPr>
      <w:r>
        <w:rPr>
          <w:i/>
          <w:iCs/>
          <w:sz w:val="18"/>
          <w:szCs w:val="18"/>
        </w:rPr>
        <w:t xml:space="preserve">Companion materials: </w:t>
      </w:r>
      <w:r>
        <w:rPr>
          <w:i/>
          <w:iCs/>
          <w:sz w:val="18"/>
          <w:szCs w:val="18"/>
        </w:rPr>
        <w:t xml:space="preserve">Technical Report (full methodology and robustness) | Threats to Identification (limitations memo) | Streamlit Dashboard (what-if scenarios) | GitHub repository (full reproducible code).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2026-04-26T18:49:58.405Z</dcterms:created>
  <dcterms:modified xsi:type="dcterms:W3CDTF">2026-04-26T18:49:58.406Z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