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Threats to Identification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ECON 5200 Final Project: Causal Effect of ACA Medicaid Expansion on County-Level Uninsured Rates</w:t>
      </w:r>
    </w:p>
    <w:p>
      <w:pPr>
        <w:pBdr>
          <w:bottom w:val="single" w:color="888888" w:sz="6" w:space="8"/>
        </w:pBdr>
        <w:spacing w:after="360"/>
        <w:jc w:val="center"/>
      </w:pPr>
      <w:r>
        <w:rPr>
          <w:sz w:val="20"/>
          <w:szCs w:val="20"/>
        </w:rPr>
        <w:t xml:space="preserve">Author: ZuiTu00 | Date: April 26, 2026 | Word Count: ~720</w:t>
      </w:r>
    </w:p>
    <w:p>
      <w:pPr>
        <w:pStyle w:val="Heading2"/>
      </w:pPr>
      <w:r>
        <w:t xml:space="preserve">1. Most Serious Threat: Violation of Parallel Trends</w:t>
      </w:r>
    </w:p>
    <w:p>
      <w:pPr>
        <w:spacing w:after="160" w:line="320"/>
        <w:jc w:val="both"/>
      </w:pPr>
      <w:r>
        <w:t xml:space="preserve">The core identifying assumption of difference-in-differences is that, absent the ACA expansion, </w:t>
      </w:r>
      <w:r>
        <w:t xml:space="preserve">expansion and non-expansion counties would have followed parallel trajectories in uninsurance. </w:t>
      </w:r>
      <w:r>
        <w:rPr>
          <w:b/>
          <w:bCs/>
        </w:rPr>
        <w:t xml:space="preserve">This assumption is fundamentally untestable in the post-treatment period.</w:t>
      </w:r>
      <w:r>
        <w:t xml:space="preserve"> While our event study shows pre-2014 differences statistically indistinguishable from zero, and a </w:t>
      </w:r>
      <w:r>
        <w:t xml:space="preserve">placebo difference-in-differences using a fake 2012 treatment date returns a null coefficient </w:t>
      </w:r>
      <w:r>
        <w:t xml:space="preserve">(β = 0.25, p = 0.21), these tests speak only to pre-period parallelism. Expansion states differ </w:t>
      </w:r>
      <w:r>
        <w:t xml:space="preserve">systematically from non-expansion states along multiple dimensions: they have higher median incomes, </w:t>
      </w:r>
      <w:r>
        <w:t xml:space="preserve">more Democratic political control, more generous pre-ACA safety nets, more mature insurance </w:t>
      </w:r>
      <w:r>
        <w:t xml:space="preserve">exchanges, and stronger healthcare provider networks. Any of these factors could plausibly </w:t>
      </w:r>
      <w:r>
        <w:t xml:space="preserve">generate differential post-2014 coverage trajectories independent of Medicaid expansion itself.</w:t>
      </w:r>
    </w:p>
    <w:p>
      <w:pPr>
        <w:spacing w:after="160" w:line="320"/>
        <w:jc w:val="both"/>
      </w:pPr>
      <w:r>
        <w:rPr>
          <w:b/>
          <w:bCs/>
        </w:rPr>
        <w:t xml:space="preserve">Direction of bias: away from zero (overstating the causal effect). </w:t>
      </w:r>
      <w:r>
        <w:t xml:space="preserve">Expansion states' broader infrastructure advantages plausibly drove uninsurance down faster </w:t>
      </w:r>
      <w:r>
        <w:t xml:space="preserve">regardless of the Medicaid policy. For example, expansion states were more likely to operate </w:t>
      </w:r>
      <w:r>
        <w:t xml:space="preserve">their own state-based insurance exchanges with active outreach, which would lower uninsured </w:t>
      </w:r>
      <w:r>
        <w:t xml:space="preserve">rates through marketplace coverage rather than Medicaid. Our DiD estimate attributes this </w:t>
      </w:r>
      <w:r>
        <w:t xml:space="preserve">exchange-related decline to expansion.</w:t>
      </w:r>
    </w:p>
    <w:p>
      <w:pPr>
        <w:spacing w:after="160" w:line="320"/>
        <w:jc w:val="both"/>
      </w:pPr>
      <w:r>
        <w:rPr>
          <w:b/>
          <w:bCs/>
        </w:rPr>
        <w:t xml:space="preserve">What would address this threat: </w:t>
      </w:r>
      <w:r>
        <w:t xml:space="preserve">An ideal design would exploit </w:t>
      </w:r>
      <w:r>
        <w:rPr>
          <w:i/>
          <w:iCs/>
        </w:rPr>
        <w:t xml:space="preserve">within-state</w:t>
      </w:r>
      <w:r>
        <w:t xml:space="preserve"> variation around the 138% Federal Poverty Level eligibility threshold using individual-level </w:t>
      </w:r>
      <w:r>
        <w:t xml:space="preserve">American Community Survey data — a regression discontinuity that does not require comparing </w:t>
      </w:r>
      <w:r>
        <w:t xml:space="preserve">different states. Alternatively, the synthetic control method (Abadie, Diamond, &amp; Hainmueller </w:t>
      </w:r>
      <w:r>
        <w:t xml:space="preserve">2010) could construct a counterfactual trajectory for each expansion state from a weighted </w:t>
      </w:r>
      <w:r>
        <w:t xml:space="preserve">combination of non-expansion states, weighting on pre-treatment outcomes rather than assuming </w:t>
      </w:r>
      <w:r>
        <w:t xml:space="preserve">a simple group average suffices.</w:t>
      </w:r>
    </w:p>
    <w:p>
      <w:pPr>
        <w:pStyle w:val="Heading2"/>
      </w:pPr>
      <w:r>
        <w:t xml:space="preserve">2. Spillover Effects (SUTVA Violation)</w:t>
      </w:r>
    </w:p>
    <w:p>
      <w:pPr>
        <w:spacing w:after="160" w:line="320"/>
        <w:jc w:val="both"/>
      </w:pPr>
      <w:r>
        <w:t xml:space="preserve">The Stable Unit Treatment Value Assumption requires that one unit's treatment does not affect </w:t>
      </w:r>
      <w:r>
        <w:t xml:space="preserve">another unit's outcome. Two violations are plausible. First, individuals near state borders </w:t>
      </w:r>
      <w:r>
        <w:t xml:space="preserve">may migrate to expansion states to gain coverage, simultaneously reducing the treatment group's </w:t>
      </w:r>
      <w:r>
        <w:t xml:space="preserve">uninsured rate (through the migrants who enroll) and reducing the control group's uninsured rate </w:t>
      </w:r>
      <w:r>
        <w:t xml:space="preserve">(by exporting uninsured residents). Second, ACA-related media attention may have driven </w:t>
      </w:r>
      <w:r>
        <w:t xml:space="preserve">"woodwork effects" — previously eligible individuals enrolling in </w:t>
      </w:r>
      <w:r>
        <w:rPr>
          <w:i/>
          <w:iCs/>
        </w:rPr>
        <w:t xml:space="preserve">traditional</w:t>
      </w:r>
      <w:r>
        <w:t xml:space="preserve"> Medicaid even in non-expansion states — through a channel correlated with but not caused by </w:t>
      </w:r>
      <w:r>
        <w:t xml:space="preserve">the expansion provision itself.</w:t>
      </w:r>
    </w:p>
    <w:p>
      <w:pPr>
        <w:spacing w:after="160" w:line="320"/>
        <w:jc w:val="both"/>
      </w:pPr>
      <w:r>
        <w:rPr>
          <w:b/>
          <w:bCs/>
        </w:rPr>
        <w:t xml:space="preserve">Direction of bias: toward zero (understating the true expansion effect). </w:t>
      </w:r>
      <w:r>
        <w:t xml:space="preserve">If border migration moves uninsured individuals from control to treated states, control-state </w:t>
      </w:r>
      <w:r>
        <w:t xml:space="preserve">uninsured rates fall artificially, shrinking the DiD estimate. The woodwork effect operates </w:t>
      </w:r>
      <w:r>
        <w:t xml:space="preserve">similarly: control states see coverage gains attributable to ACA salience, which we incorrectly </w:t>
      </w:r>
      <w:r>
        <w:t xml:space="preserve">net out as part of the secular trend.</w:t>
      </w:r>
    </w:p>
    <w:p>
      <w:pPr>
        <w:spacing w:after="160" w:line="320"/>
        <w:jc w:val="both"/>
      </w:pPr>
      <w:r>
        <w:rPr>
          <w:b/>
          <w:bCs/>
        </w:rPr>
        <w:t xml:space="preserve">What would address it: </w:t>
      </w:r>
      <w:r>
        <w:t xml:space="preserve">A border-pair design (Dube, Lester, &amp; Reich 2010) comparing adjacent counties on opposite </w:t>
      </w:r>
      <w:r>
        <w:t xml:space="preserve">sides of state expansion borders would more cleanly isolate the policy effect from migration </w:t>
      </w:r>
      <w:r>
        <w:t xml:space="preserve">and salience-driven spillovers. Our exclusion of staggered adopters partially mitigates the </w:t>
      </w:r>
      <w:r>
        <w:t xml:space="preserve">most severe Goodman-Bacon (2021) concerns but does not address SUTVA per se.</w:t>
      </w:r>
    </w:p>
    <w:p>
      <w:pPr>
        <w:pStyle w:val="Heading2"/>
      </w:pPr>
      <w:r>
        <w:t xml:space="preserve">3. Confounding ACA Provisions</w:t>
      </w:r>
    </w:p>
    <w:p>
      <w:pPr>
        <w:spacing w:after="160" w:line="320"/>
        <w:jc w:val="both"/>
      </w:pPr>
      <w:r>
        <w:t xml:space="preserve">Our "treatment" variable captures more than the Medicaid expansion provision in isolation. </w:t>
      </w:r>
      <w:r>
        <w:t xml:space="preserve">The ACA bundled multiple major provisions effective in 2014: the individual mandate, federally- </w:t>
      </w:r>
      <w:r>
        <w:t xml:space="preserve">and state-run insurance exchanges, premium subsidies, pre-existing condition protections, and </w:t>
      </w:r>
      <w:r>
        <w:t xml:space="preserve">expanded dependent coverage. Expansion states tended to engage in more aggressive overall ACA </w:t>
      </w:r>
      <w:r>
        <w:t xml:space="preserve">implementation — running their own exchanges, conducting outreach campaigns, and supplementing </w:t>
      </w:r>
      <w:r>
        <w:t xml:space="preserve">federal subsidies — which we cannot separately identify from the Medicaid mechanism.</w:t>
      </w:r>
    </w:p>
    <w:p>
      <w:pPr>
        <w:spacing w:after="160" w:line="320"/>
        <w:jc w:val="both"/>
      </w:pPr>
      <w:r>
        <w:rPr>
          <w:b/>
          <w:bCs/>
        </w:rPr>
        <w:t xml:space="preserve">Why this matters: </w:t>
      </w:r>
      <w:r>
        <w:t xml:space="preserve">Our estimate is best interpreted as the combined effect of Medicaid expansion </w:t>
      </w:r>
      <w:r>
        <w:rPr>
          <w:i/>
          <w:iCs/>
        </w:rPr>
        <w:t xml:space="preserve">plus correlated state-level ACA implementation</w:t>
      </w:r>
      <w:r>
        <w:t xml:space="preserve">, not the marginal effect of Medicaid alone. For state policymakers deciding whether to adopt </w:t>
      </w:r>
      <w:r>
        <w:t xml:space="preserve">the full ACA expansion package today, this bundled estimate remains the relevant policy </w:t>
      </w:r>
      <w:r>
        <w:t xml:space="preserve">parameter; for narrower questions about Medicaid mechanism design, it is not.</w:t>
      </w:r>
    </w:p>
    <w:p>
      <w:pPr>
        <w:pStyle w:val="Heading2"/>
      </w:pPr>
      <w:r>
        <w:t xml:space="preserve">4. Specification Choice and Small-Cluster Inference</w:t>
      </w:r>
    </w:p>
    <w:p>
      <w:pPr>
        <w:spacing w:after="160" w:line="320"/>
        <w:jc w:val="both"/>
      </w:pPr>
      <w:r>
        <w:t xml:space="preserve">Our unweighted TWFE estimate (–2.06 pp, 95% CI: [–3.42, –0.69]) and population-weighted </w:t>
      </w:r>
      <w:r>
        <w:t xml:space="preserve">estimate (–1.41 pp, 95% CI: [–3.81, 0.99]) differ materially. The unweighted specification </w:t>
      </w:r>
      <w:r>
        <w:t xml:space="preserve">gives equal weight to a 500-person rural county and a five-million-person urban county; the </w:t>
      </w:r>
      <w:r>
        <w:t xml:space="preserve">weighted specification reports the average effect on the average person. Both are legitimate </w:t>
      </w:r>
      <w:r>
        <w:t xml:space="preserve">but answer different policy questions, and the weighted CI crosses zero.</w:t>
      </w:r>
    </w:p>
    <w:p>
      <w:pPr>
        <w:spacing w:after="160" w:line="320"/>
        <w:jc w:val="both"/>
      </w:pPr>
      <w:r>
        <w:t xml:space="preserve">Separately, our standard errors cluster at the state level — appropriate because treatment is </w:t>
      </w:r>
      <w:r>
        <w:t xml:space="preserve">state-assigned (Abadie, Athey, Imbens, &amp; Wooldridge 2017) — but with only 35 state clusters, </w:t>
      </w:r>
      <w:r>
        <w:t xml:space="preserve">we sit at the lower edge of where cluster-robust inference is reliable. Cameron and Miller </w:t>
      </w:r>
      <w:r>
        <w:t xml:space="preserve">(2015) suggest 40+ clusters as a rule of thumb. A wild cluster bootstrap (Cameron, Gelbach, &amp; </w:t>
      </w:r>
      <w:r>
        <w:t xml:space="preserve">Miller 2008) would provide more reliable inference under this constraint and is a clear </w:t>
      </w:r>
      <w:r>
        <w:t xml:space="preserve">avenue for robustness extension.</w:t>
      </w:r>
    </w:p>
    <w:p>
      <w:pPr>
        <w:pStyle w:val="Heading2"/>
      </w:pPr>
      <w:r>
        <w:t xml:space="preserve">5. External Validity to Remaining Non-Expansion States</w:t>
      </w:r>
    </w:p>
    <w:p>
      <w:pPr>
        <w:spacing w:after="160" w:line="320"/>
        <w:jc w:val="both"/>
      </w:pPr>
      <w:r>
        <w:t xml:space="preserve">The 10 states still not expanded by 2023 — Alabama, Florida, Georgia, Kansas, Mississippi, </w:t>
      </w:r>
      <w:r>
        <w:t xml:space="preserve">South Carolina, Tennessee, Texas, Wisconsin, and Wyoming — are systematically different from </w:t>
      </w:r>
      <w:r>
        <w:t xml:space="preserve">the 2014 expanders that identify our estimate. They are poorer, more rural, more Republican-</w:t>
      </w:r>
      <w:r>
        <w:t xml:space="preserve">governed, and have weaker pre-existing healthcare infrastructure. Whether the policy effect </w:t>
      </w:r>
      <w:r>
        <w:t xml:space="preserve">estimated on 2014 expanders generalizes to these states depends on whether the response </w:t>
      </w:r>
      <w:r>
        <w:t xml:space="preserve">function is homogeneous across these dimensions, which seems unlikely.</w:t>
      </w:r>
    </w:p>
    <w:p>
      <w:pPr>
        <w:spacing w:after="160" w:line="320"/>
        <w:jc w:val="both"/>
      </w:pPr>
      <w:r>
        <w:rPr>
          <w:b/>
          <w:bCs/>
        </w:rPr>
        <w:t xml:space="preserve">Direction of bias for policy projection: </w:t>
      </w:r>
      <w:r>
        <w:t xml:space="preserve">Likely </w:t>
      </w:r>
      <w:r>
        <w:rPr>
          <w:i/>
          <w:iCs/>
        </w:rPr>
        <w:t xml:space="preserve">toward zero</w:t>
      </w:r>
      <w:r>
        <w:t xml:space="preserve"> if applied uncritically. Lower take-up rates in states with weaker outreach infrastructure </w:t>
      </w:r>
      <w:r>
        <w:t xml:space="preserve">would attenuate the realized effect. Our Streamlit dashboard makes this explicit through a </w:t>
      </w:r>
      <w:r>
        <w:t xml:space="preserve">0.5–1.5× generalizability multiplier, allowing decision-makers to scenario-test under </w:t>
      </w:r>
      <w:r>
        <w:t xml:space="preserve">conservative external-validity assumptions.</w:t>
      </w:r>
    </w:p>
    <w:p>
      <w:pPr>
        <w:pStyle w:val="Heading2"/>
      </w:pPr>
      <w:r>
        <w:t xml:space="preserve">6. What I Cannot Rule Out</w:t>
      </w:r>
    </w:p>
    <w:p>
      <w:pPr>
        <w:spacing w:after="160" w:line="320"/>
        <w:jc w:val="both"/>
      </w:pPr>
      <w:r>
        <w:t xml:space="preserve">Despite five pre-treatment years, parallel-trend evidence in the event study, a null placebo </w:t>
      </w:r>
      <w:r>
        <w:t xml:space="preserve">DiD, county and year fixed effects, and state-clustered standard errors, I cannot fully rule </w:t>
      </w:r>
      <w:r>
        <w:t xml:space="preserve">out non-parallel secular trends correlated with the political choice to expand. The estimate </w:t>
      </w:r>
      <w:r>
        <w:t xml:space="preserve">should be interpreted as </w:t>
      </w:r>
      <w:r>
        <w:rPr>
          <w:b/>
          <w:bCs/>
        </w:rPr>
        <w:t xml:space="preserve">the combined effect of Medicaid expansion and associated state-level policy uptake on </w:t>
      </w:r>
      <w:r>
        <w:rPr>
          <w:b/>
          <w:bCs/>
        </w:rPr>
        <w:t xml:space="preserve">uninsurance, among states that chose to expand in 2014</w:t>
      </w:r>
      <w:r>
        <w:t xml:space="preserve"> — not as a context-free, generalizable Medicaid effect. The honest scope of inference is </w:t>
      </w:r>
      <w:r>
        <w:t xml:space="preserve">narrower than the headline estimate suggests, and the consulting recommendation should be </w:t>
      </w:r>
      <w:r>
        <w:t xml:space="preserve">framed accordingly.</w:t>
      </w:r>
    </w:p>
    <w:p>
      <w:pPr>
        <w:pStyle w:val="Heading2"/>
      </w:pPr>
      <w:r>
        <w:t xml:space="preserve">References</w:t>
      </w:r>
    </w:p>
    <w:p>
      <w:pPr>
        <w:spacing w:after="120" w:line="280"/>
        <w:ind w:left="360" w:hanging="360"/>
      </w:pPr>
      <w:r>
        <w:rPr>
          <w:sz w:val="22"/>
          <w:szCs w:val="22"/>
        </w:rPr>
        <w:t xml:space="preserve">Abadie, A., Athey, S., Imbens, G. W., &amp; Wooldridge, J. (2017). When should you adjust standard errors for clustering? NBER Working Paper No. 24003.</w:t>
      </w:r>
    </w:p>
    <w:p>
      <w:pPr>
        <w:spacing w:after="120" w:line="280"/>
        <w:ind w:left="360" w:hanging="360"/>
      </w:pPr>
      <w:r>
        <w:rPr>
          <w:sz w:val="22"/>
          <w:szCs w:val="22"/>
        </w:rPr>
        <w:t xml:space="preserve">Abadie, A., Diamond, A., &amp; Hainmueller, J. (2010). Synthetic control methods for comparative case studies: Estimating the effect of California's tobacco control program. Journal of the American Statistical Association, 105(490), 493–505.</w:t>
      </w:r>
    </w:p>
    <w:p>
      <w:pPr>
        <w:spacing w:after="120" w:line="280"/>
        <w:ind w:left="360" w:hanging="360"/>
      </w:pPr>
      <w:r>
        <w:rPr>
          <w:sz w:val="22"/>
          <w:szCs w:val="22"/>
        </w:rPr>
        <w:t xml:space="preserve">Cameron, A. C., Gelbach, J. B., &amp; Miller, D. L. (2008). Bootstrap-based improvements for inference with clustered errors. Review of Economics and Statistics, 90(3), 414–427.</w:t>
      </w:r>
    </w:p>
    <w:p>
      <w:pPr>
        <w:spacing w:after="120" w:line="280"/>
        <w:ind w:left="360" w:hanging="360"/>
      </w:pPr>
      <w:r>
        <w:rPr>
          <w:sz w:val="22"/>
          <w:szCs w:val="22"/>
        </w:rPr>
        <w:t xml:space="preserve">Cameron, A. C., &amp; Miller, D. L. (2015). A practitioner's guide to cluster-robust inference. Journal of Human Resources, 50(2), 317–372.</w:t>
      </w:r>
    </w:p>
    <w:p>
      <w:pPr>
        <w:spacing w:after="120" w:line="280"/>
        <w:ind w:left="360" w:hanging="360"/>
      </w:pPr>
      <w:r>
        <w:rPr>
          <w:sz w:val="22"/>
          <w:szCs w:val="22"/>
        </w:rPr>
        <w:t xml:space="preserve">Dube, A., Lester, T. W., &amp; Reich, M. (2010). Minimum wage effects across state borders: Estimates using contiguous counties. Review of Economics and Statistics, 92(4), 945–964.</w:t>
      </w:r>
    </w:p>
    <w:p>
      <w:pPr>
        <w:spacing w:after="120" w:line="280"/>
        <w:ind w:left="360" w:hanging="360"/>
      </w:pPr>
      <w:r>
        <w:rPr>
          <w:sz w:val="22"/>
          <w:szCs w:val="22"/>
        </w:rPr>
        <w:t xml:space="preserve">Goodman-Bacon, A. (2021). Difference-in-differences with variation in treatment timing. Journal of Econometrics, 225(2), 254–277.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2026-04-26T18:39:00.002Z</dcterms:created>
  <dcterms:modified xsi:type="dcterms:W3CDTF">2026-04-26T18:39:00.003Z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