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B46191" w14:textId="77777777" w:rsidR="00E25AC4" w:rsidRDefault="00AA4D44">
      <w:pPr>
        <w:pStyle w:val="a4"/>
      </w:pPr>
      <w:bookmarkStart w:id="0" w:name="X3ea578b120ea4116defb7979e3010ee28d9487c"/>
      <w:r>
        <w:rPr>
          <w:rFonts w:ascii="Times New Roman" w:hAnsi="Times New Roman" w:hint="eastAsia"/>
          <w:sz w:val="40"/>
        </w:rPr>
        <w:t>VRMicroscope</w:t>
      </w:r>
      <w:r>
        <w:rPr>
          <w:rFonts w:ascii="Times New Roman" w:hAnsi="Times New Roman" w:hint="eastAsia"/>
          <w:sz w:val="40"/>
        </w:rPr>
        <w:t>：融合交互式显微仿真与任务状态感知</w:t>
      </w:r>
      <w:r>
        <w:rPr>
          <w:rFonts w:ascii="Times New Roman" w:hAnsi="Times New Roman"/>
          <w:sz w:val="40"/>
        </w:rPr>
        <w:t xml:space="preserve"> AI </w:t>
      </w:r>
      <w:r>
        <w:rPr>
          <w:rFonts w:ascii="Times New Roman" w:hAnsi="Times New Roman" w:hint="eastAsia"/>
          <w:sz w:val="40"/>
        </w:rPr>
        <w:t>指引的虚拟现实教学系统</w:t>
      </w:r>
    </w:p>
    <w:p w14:paraId="700FC2AD" w14:textId="77777777" w:rsidR="00E25AC4" w:rsidRDefault="00AA4D44">
      <w:pPr>
        <w:pStyle w:val="FirstParagraph"/>
        <w:jc w:val="center"/>
      </w:pPr>
      <w:r>
        <w:rPr>
          <w:rFonts w:hint="eastAsia"/>
          <w:b/>
          <w:bCs/>
        </w:rPr>
        <w:t>作者与单位：</w:t>
      </w:r>
      <w:r>
        <w:rPr>
          <w:rFonts w:hint="eastAsia"/>
        </w:rPr>
        <w:t>匿名评审稿</w:t>
      </w:r>
    </w:p>
    <w:p w14:paraId="27AC603C" w14:textId="77777777" w:rsidR="00E25AC4" w:rsidRDefault="00E25AC4">
      <w:pPr>
        <w:spacing w:after="0"/>
        <w:sectPr w:rsidR="00E25AC4">
          <w:footnotePr>
            <w:numRestart w:val="eachSect"/>
          </w:footnotePr>
          <w:type w:val="continuous"/>
          <w:pgSz w:w="12240" w:h="15840"/>
          <w:pgMar w:top="1080" w:right="900" w:bottom="1440" w:left="900" w:header="720" w:footer="720" w:gutter="0"/>
          <w:cols w:space="360"/>
        </w:sectPr>
      </w:pPr>
    </w:p>
    <w:p w14:paraId="1AF49B2A" w14:textId="77777777" w:rsidR="00E25AC4" w:rsidRDefault="00AA4D44">
      <w:pPr>
        <w:pStyle w:val="2"/>
        <w:jc w:val="center"/>
      </w:pPr>
      <w:bookmarkStart w:id="1" w:name="摘要"/>
      <w:r>
        <w:rPr>
          <w:rFonts w:hint="eastAsia"/>
        </w:rPr>
        <w:t>摘要</w:t>
      </w:r>
    </w:p>
    <w:p w14:paraId="34F16B08" w14:textId="77777777" w:rsidR="00E25AC4" w:rsidRDefault="00AA4D44">
      <w:pPr>
        <w:pStyle w:val="FirstParagraph"/>
        <w:jc w:val="both"/>
      </w:pPr>
      <w:r>
        <w:rPr>
          <w:rFonts w:hint="eastAsia"/>
        </w:rPr>
        <w:t>显微镜教学要求学习者将仪器结构、操作过程与观察结果联系起来，但真实高端仪器的使用时间、操作风险与教学资源通常受到限制。本文提出</w:t>
      </w:r>
      <w:r>
        <w:t xml:space="preserve"> </w:t>
      </w:r>
      <w:r>
        <w:rPr>
          <w:rFonts w:hint="eastAsia"/>
        </w:rPr>
        <w:t>VRMicroscope</w:t>
      </w:r>
      <w:r>
        <w:rPr>
          <w:rFonts w:hint="eastAsia"/>
        </w:rPr>
        <w:t>，一个将交互式虚拟显微实验与任务状态感知</w:t>
      </w:r>
      <w:r>
        <w:t xml:space="preserve"> AI </w:t>
      </w:r>
      <w:r>
        <w:rPr>
          <w:rFonts w:hint="eastAsia"/>
        </w:rPr>
        <w:t>指引结合的虚拟现实教学系统。</w:t>
      </w:r>
      <w:r>
        <w:rPr>
          <w:rFonts w:hint="eastAsia"/>
        </w:rPr>
        <w:t>VR</w:t>
      </w:r>
      <w:r>
        <w:t xml:space="preserve"> </w:t>
      </w:r>
      <w:r>
        <w:rPr>
          <w:rFonts w:hint="eastAsia"/>
        </w:rPr>
        <w:t>环境支持样本拾取与放置、观察视点切换、粗细调焦、照明与物镜调整、部件展开查看，并通过关联模块展示数值孔径、空间频率与结构光以及太赫兹散射型近场光学显微镜（</w:t>
      </w:r>
      <w:r>
        <w:rPr>
          <w:rFonts w:hint="eastAsia"/>
        </w:rPr>
        <w:t>THz</w:t>
      </w:r>
      <w:r>
        <w:t xml:space="preserve"> </w:t>
      </w:r>
      <w:r>
        <w:rPr>
          <w:rFonts w:hint="eastAsia"/>
        </w:rPr>
        <w:t>s-SNOM</w:t>
      </w:r>
      <w:r>
        <w:rPr>
          <w:rFonts w:hint="eastAsia"/>
        </w:rPr>
        <w:t>）的核心概念。系统明确区分教学视觉映射、简化数值计算与经过标定的光学测量。</w:t>
      </w:r>
      <w:r>
        <w:rPr>
          <w:rFonts w:hint="eastAsia"/>
        </w:rPr>
        <w:t>AI</w:t>
      </w:r>
      <w:r>
        <w:t xml:space="preserve"> </w:t>
      </w:r>
      <w:r>
        <w:rPr>
          <w:rFonts w:hint="eastAsia"/>
        </w:rPr>
        <w:t>助手结合项目知识、当前界面状态和可用动作目录，由大语言模型生成解释或候选指引，再由程序校验动作标识并检查响应是否仍适用于当前状态；空间导航基于实时场景几何生成目标标记，中英文语音输入则先形成可编辑文本后再提交。评价采用实现级一致性检查与探索性用户研究两部分。</w:t>
      </w:r>
      <w:r>
        <w:rPr>
          <w:rFonts w:hint="eastAsia"/>
        </w:rPr>
        <w:t>19</w:t>
      </w:r>
      <w:r>
        <w:t xml:space="preserve"> </w:t>
      </w:r>
      <w:r>
        <w:rPr>
          <w:rFonts w:hint="eastAsia"/>
        </w:rPr>
        <w:t>名参与者中有</w:t>
      </w:r>
      <w:r>
        <w:t xml:space="preserve"> 18 </w:t>
      </w:r>
      <w:r>
        <w:rPr>
          <w:rFonts w:hint="eastAsia"/>
        </w:rPr>
        <w:t>名完成核心任务流程（</w:t>
      </w:r>
      <w:r>
        <w:rPr>
          <w:rFonts w:hint="eastAsia"/>
        </w:rPr>
        <w:t>94.7%</w:t>
      </w:r>
      <w:r>
        <w:rPr>
          <w:rFonts w:hint="eastAsia"/>
        </w:rPr>
        <w:t>），整体系统可用性量表（</w:t>
      </w:r>
      <w:r>
        <w:rPr>
          <w:rFonts w:hint="eastAsia"/>
        </w:rPr>
        <w:t>SUS</w:t>
      </w:r>
      <w:r>
        <w:rPr>
          <w:rFonts w:hint="eastAsia"/>
        </w:rPr>
        <w:t>）均值为</w:t>
      </w:r>
      <w:r>
        <w:t xml:space="preserve"> </w:t>
      </w:r>
      <w:r>
        <w:rPr>
          <w:rFonts w:hint="eastAsia"/>
        </w:rPr>
        <w:t>82.4/100</w:t>
      </w:r>
      <w:r>
        <w:rPr>
          <w:rFonts w:hint="eastAsia"/>
        </w:rPr>
        <w:t>；</w:t>
      </w:r>
      <w:r>
        <w:rPr>
          <w:rFonts w:hint="eastAsia"/>
        </w:rPr>
        <w:t>NASA-TLX</w:t>
      </w:r>
      <w:r>
        <w:t xml:space="preserve"> </w:t>
      </w:r>
      <w:r>
        <w:rPr>
          <w:rFonts w:hint="eastAsia"/>
        </w:rPr>
        <w:t>的描述性结果显示，付出努力（</w:t>
      </w:r>
      <w:r>
        <w:rPr>
          <w:rFonts w:hint="eastAsia"/>
        </w:rPr>
        <w:t>44.7</w:t>
      </w:r>
      <w:r>
        <w:rPr>
          <w:rFonts w:hint="eastAsia"/>
        </w:rPr>
        <w:t>）和心理需求（</w:t>
      </w:r>
      <w:r>
        <w:rPr>
          <w:rFonts w:hint="eastAsia"/>
        </w:rPr>
        <w:t>42.9</w:t>
      </w:r>
      <w:r>
        <w:rPr>
          <w:rFonts w:hint="eastAsia"/>
        </w:rPr>
        <w:t>）是相对较高的工作负荷维度，而挫败感均值为</w:t>
      </w:r>
      <w:r>
        <w:t xml:space="preserve"> </w:t>
      </w:r>
      <w:r>
        <w:rPr>
          <w:rFonts w:hint="eastAsia"/>
        </w:rPr>
        <w:t>24.2</w:t>
      </w:r>
      <w:r>
        <w:rPr>
          <w:rFonts w:hint="eastAsia"/>
        </w:rPr>
        <w:t>。由于研究采用单组探索性设计，本文将这些结果解释为工作流可行性与感知可用性的证据，而不据此推断</w:t>
      </w:r>
      <w:r>
        <w:t xml:space="preserve"> AI </w:t>
      </w:r>
      <w:r>
        <w:rPr>
          <w:rFonts w:hint="eastAsia"/>
        </w:rPr>
        <w:t>带来的因果学习增益。本文的主要贡献是将显微实验操作、具有明确科学边界的教学仿真与受当前任务状态约束的对话指引连接到同一套可操作学习活动中。</w:t>
      </w:r>
    </w:p>
    <w:p w14:paraId="2CA3E467" w14:textId="77777777" w:rsidR="00E25AC4" w:rsidRDefault="00AA4D44">
      <w:pPr>
        <w:pStyle w:val="a0"/>
        <w:jc w:val="both"/>
      </w:pPr>
      <w:r>
        <w:rPr>
          <w:rFonts w:hint="eastAsia"/>
          <w:b/>
          <w:bCs/>
        </w:rPr>
        <w:t>关键词：</w:t>
      </w:r>
      <w:r>
        <w:rPr>
          <w:rFonts w:hint="eastAsia"/>
        </w:rPr>
        <w:t>虚拟现实；显微镜教学</w:t>
      </w:r>
      <w:r>
        <w:rPr>
          <w:rFonts w:hint="eastAsia"/>
        </w:rPr>
        <w:t>；交互式仿真；任务状态感知；大语言模型；语音输入。</w:t>
      </w:r>
    </w:p>
    <w:p w14:paraId="267E1CBC" w14:textId="77777777" w:rsidR="00E25AC4" w:rsidRDefault="00AA4D44">
      <w:pPr>
        <w:pStyle w:val="2"/>
        <w:jc w:val="center"/>
      </w:pPr>
      <w:bookmarkStart w:id="2" w:name="abstract"/>
      <w:bookmarkEnd w:id="1"/>
      <w:r>
        <w:t>Abstract</w:t>
      </w:r>
    </w:p>
    <w:p w14:paraId="4F211F8E" w14:textId="77777777" w:rsidR="00E25AC4" w:rsidRDefault="00AA4D44">
      <w:pPr>
        <w:pStyle w:val="FirstParagraph"/>
        <w:jc w:val="both"/>
      </w:pPr>
      <w:r>
        <w:t>Microscopy education requires learners to connect instrument structure and operating procedures with changes in observable results, yet access to advanced instruments is often constrained by limited training time, operati</w:t>
      </w:r>
      <w:r>
        <w:t>onal risk, and teaching resources. This paper presents VRMicroscope, a virtual-reality learning system that integrates interactive microscopy simulation with task-state-aware AI guidance. The VR environment supports specimen pickup and placement, observati</w:t>
      </w:r>
      <w:r>
        <w:t>on viewpoints, coarse and fine focusing, illumination and objective adjustment, and exploded component inspection. Linked modules illustrate numerical aperture, spatial frequency and structured illumination, and the basic workflow of terahertz scattering-t</w:t>
      </w:r>
      <w:r>
        <w:t xml:space="preserve">ype scanning near-field optical microscopy (THz s-SNOM). The system explicitly distinguishes instructional visual mappings and simplified </w:t>
      </w:r>
      <w:r>
        <w:t>numerical models from calibrated optical measurement. The AI assistant combines project knowledge, current interface s</w:t>
      </w:r>
      <w:r>
        <w:t>tate, and a catalog of available actions: a large language model generates explanations or candidate guidance, while application code validates action identifiers and rejects recommendations that no longer match the current state. Spatial navigation create</w:t>
      </w:r>
      <w:r>
        <w:t>s target markers from live scene geometry, and Chinese/English speech input produces editable text before submission. Evaluation combines implementation-level conformance checks with an exploratory user study. Eighteen of 19 participants completed the core</w:t>
      </w:r>
      <w:r>
        <w:t xml:space="preserve"> task sequence (94.7%), and the whole-sample mean System Usability Scale (SUS) score was 82.4/100. Descriptive NASA-TLX results showed that Effort (44.7) and Mental Demand (42.9) were the largest reported workload dimensions, whereas mean Frustration was 2</w:t>
      </w:r>
      <w:r>
        <w:t>4.2. Because the study used a single-group exploratory design, these outcomes are interpreted as evidence of workflow feasibility and perceived usability rather than as causal evidence of learning gains attributable to AI. The main contribution is an integ</w:t>
      </w:r>
      <w:r>
        <w:t>rated microscopy-learning environment in which physical interaction, scientifically bounded instructional simulation, and conversational guidance share an explicit representation of what the learner can currently do.</w:t>
      </w:r>
    </w:p>
    <w:p w14:paraId="44C45A76" w14:textId="77777777" w:rsidR="00E25AC4" w:rsidRDefault="00AA4D44">
      <w:pPr>
        <w:pStyle w:val="2"/>
        <w:jc w:val="center"/>
      </w:pPr>
      <w:bookmarkStart w:id="3" w:name="引言"/>
      <w:bookmarkEnd w:id="2"/>
      <w:r>
        <w:t xml:space="preserve">I. </w:t>
      </w:r>
      <w:r>
        <w:t>引言</w:t>
      </w:r>
    </w:p>
    <w:p w14:paraId="3BCF2C78" w14:textId="77777777" w:rsidR="00E25AC4" w:rsidRDefault="00AA4D44">
      <w:pPr>
        <w:pStyle w:val="FirstParagraph"/>
        <w:jc w:val="both"/>
      </w:pPr>
      <w:r>
        <w:rPr>
          <w:rFonts w:hint="eastAsia"/>
        </w:rPr>
        <w:t>显微镜实训不仅要求学习者辨认三维仪器，还需要完成放样、调焦、照明调</w:t>
      </w:r>
      <w:r>
        <w:rPr>
          <w:rFonts w:hint="eastAsia"/>
        </w:rPr>
        <w:t>整和物镜切换，并解释观察视野为什么发生变化。虚拟实验室可以为这些操作提供可重复探索的环境，但必须说明哪些反馈对应真实原理，哪些只是为了便于教学而设计的表达。</w:t>
      </w:r>
    </w:p>
    <w:p w14:paraId="15E9DC00" w14:textId="77777777" w:rsidR="00E25AC4" w:rsidRDefault="00AA4D44">
      <w:pPr>
        <w:pStyle w:val="a0"/>
        <w:jc w:val="both"/>
      </w:pPr>
      <w:r>
        <w:t xml:space="preserve">VRMicroscope </w:t>
      </w:r>
      <w:r>
        <w:rPr>
          <w:rFonts w:hint="eastAsia"/>
        </w:rPr>
        <w:t>通过两个互补层次处理这一问题。实验环境提供物件、控制方式、视觉反馈和实验界面；</w:t>
      </w:r>
      <w:r>
        <w:rPr>
          <w:rFonts w:hint="eastAsia"/>
        </w:rPr>
        <w:t>AI</w:t>
      </w:r>
      <w:r>
        <w:t xml:space="preserve"> </w:t>
      </w:r>
      <w:r>
        <w:rPr>
          <w:rFonts w:hint="eastAsia"/>
        </w:rPr>
        <w:t>助手将学习者对这些体验的提问连接到项目知识和当前可进入的学习活动。例如，用户正在查看上部光学组件时，可以先询问其功能，再进入关联的数值孔径实验；如果用户仍在房间其他位置，则首先需要位置指引。</w:t>
      </w:r>
    </w:p>
    <w:p w14:paraId="47A9AEC3" w14:textId="77777777" w:rsidR="00E25AC4" w:rsidRDefault="00AA4D44">
      <w:pPr>
        <w:pStyle w:val="a0"/>
        <w:jc w:val="both"/>
      </w:pPr>
      <w:r>
        <w:rPr>
          <w:rFonts w:hint="eastAsia"/>
        </w:rPr>
        <w:t>因此，系统的核心问题是维持仪器界面、仿真科学边界和对</w:t>
      </w:r>
      <w:r>
        <w:rPr>
          <w:rFonts w:hint="eastAsia"/>
        </w:rPr>
        <w:t>话建议之间的一致性。真实共聚焦仪器的介绍可能涉及针孔调整或</w:t>
      </w:r>
      <w:r>
        <w:t xml:space="preserve"> Z-stack </w:t>
      </w:r>
      <w:r>
        <w:rPr>
          <w:rFonts w:hint="eastAsia"/>
        </w:rPr>
        <w:t>采集，但本项目没有提供这些已确认的操作。另一方面，如果助手只知道“项目包含</w:t>
      </w:r>
      <w:r>
        <w:t xml:space="preserve"> NA </w:t>
      </w:r>
      <w:r>
        <w:rPr>
          <w:rFonts w:hint="eastAsia"/>
        </w:rPr>
        <w:t>实验”，却不知道当前部件面板已经显示实验入口，也可能错误地让用户退出查看。</w:t>
      </w:r>
    </w:p>
    <w:p w14:paraId="53A2429C" w14:textId="77777777" w:rsidR="00E25AC4" w:rsidRDefault="00AA4D44">
      <w:pPr>
        <w:pStyle w:val="a0"/>
        <w:jc w:val="both"/>
      </w:pPr>
      <w:r>
        <w:rPr>
          <w:rFonts w:hint="eastAsia"/>
        </w:rPr>
        <w:t>本文的主要贡献为：</w:t>
      </w:r>
    </w:p>
    <w:p w14:paraId="12E2375C" w14:textId="77777777" w:rsidR="00E25AC4" w:rsidRDefault="00AA4D44">
      <w:pPr>
        <w:pStyle w:val="Compact"/>
        <w:numPr>
          <w:ilvl w:val="0"/>
          <w:numId w:val="2"/>
        </w:numPr>
        <w:jc w:val="both"/>
      </w:pPr>
      <w:r>
        <w:rPr>
          <w:rFonts w:hint="eastAsia"/>
        </w:rPr>
        <w:lastRenderedPageBreak/>
        <w:t>构建连接样本操作、调焦与照明反馈、结构认知及三类进阶教学模块的显微实验环境，明确各项输入、输出和建模边界。</w:t>
      </w:r>
    </w:p>
    <w:p w14:paraId="0B72925A" w14:textId="77777777" w:rsidR="00E25AC4" w:rsidRDefault="00AA4D44">
      <w:pPr>
        <w:pStyle w:val="Compact"/>
        <w:numPr>
          <w:ilvl w:val="0"/>
          <w:numId w:val="2"/>
        </w:numPr>
        <w:jc w:val="both"/>
      </w:pPr>
      <w:r>
        <w:rPr>
          <w:rFonts w:hint="eastAsia"/>
        </w:rPr>
        <w:t>设计结合项目知识、当前部件说明、可用动作目录、响应校验、空间标记与确认式语音输入的</w:t>
      </w:r>
      <w:r>
        <w:t xml:space="preserve"> AI </w:t>
      </w:r>
      <w:r>
        <w:rPr>
          <w:rFonts w:hint="eastAsia"/>
        </w:rPr>
        <w:t>指引架构。</w:t>
      </w:r>
    </w:p>
    <w:p w14:paraId="45653693" w14:textId="77777777" w:rsidR="00E25AC4" w:rsidRDefault="00AA4D44">
      <w:pPr>
        <w:pStyle w:val="Compact"/>
        <w:numPr>
          <w:ilvl w:val="0"/>
          <w:numId w:val="2"/>
        </w:numPr>
        <w:jc w:val="both"/>
      </w:pPr>
      <w:r>
        <w:rPr>
          <w:rFonts w:hint="eastAsia"/>
        </w:rPr>
        <w:t>通过实现级一致性检查与一项包含</w:t>
      </w:r>
      <w:r>
        <w:t xml:space="preserve"> 19 </w:t>
      </w:r>
      <w:r>
        <w:rPr>
          <w:rFonts w:hint="eastAsia"/>
        </w:rPr>
        <w:t>名参与者的</w:t>
      </w:r>
      <w:r>
        <w:rPr>
          <w:rFonts w:hint="eastAsia"/>
        </w:rPr>
        <w:t>探索性用户研究评价系统，分别报告任务完成、感知可用性和主观工作负荷，并避免将这些指标解释为未经对照验证的学习增益。</w:t>
      </w:r>
    </w:p>
    <w:p w14:paraId="56EB81DD" w14:textId="77777777" w:rsidR="00E25AC4" w:rsidRDefault="00AA4D44">
      <w:pPr>
        <w:pStyle w:val="FirstParagraph"/>
        <w:jc w:val="both"/>
      </w:pPr>
      <w:r>
        <w:rPr>
          <w:rFonts w:hint="eastAsia"/>
        </w:rPr>
        <w:t>系统面向操作熟悉与概念探索。迁移到真实仪器的能力、定量成像能力，以及</w:t>
      </w:r>
      <w:r>
        <w:t xml:space="preserve"> AI </w:t>
      </w:r>
      <w:r>
        <w:rPr>
          <w:rFonts w:hint="eastAsia"/>
        </w:rPr>
        <w:t>带来的额外学习收益，需要相应的评估证据支持。</w:t>
      </w:r>
    </w:p>
    <w:p w14:paraId="23E1DAAC" w14:textId="77777777" w:rsidR="00E25AC4" w:rsidRDefault="00AA4D44">
      <w:pPr>
        <w:pStyle w:val="2"/>
        <w:jc w:val="center"/>
      </w:pPr>
      <w:bookmarkStart w:id="4" w:name="相关工作与研究定位"/>
      <w:bookmarkEnd w:id="3"/>
      <w:r>
        <w:t xml:space="preserve">II. </w:t>
      </w:r>
      <w:r>
        <w:t>相关工作与研究定位</w:t>
      </w:r>
    </w:p>
    <w:p w14:paraId="2A8EB4BA" w14:textId="77777777" w:rsidR="00E25AC4" w:rsidRDefault="00AA4D44">
      <w:pPr>
        <w:pStyle w:val="FirstParagraph"/>
        <w:jc w:val="both"/>
      </w:pPr>
      <w:r>
        <w:rPr>
          <w:rFonts w:hint="eastAsia"/>
        </w:rPr>
        <w:t>生成式</w:t>
      </w:r>
      <w:r>
        <w:t xml:space="preserve"> AI </w:t>
      </w:r>
      <w:r>
        <w:rPr>
          <w:rFonts w:hint="eastAsia"/>
        </w:rPr>
        <w:t>与沉浸式教学的结合已经开始从“通用聊天窗口”转向与具体学习任务相连的交互设计。</w:t>
      </w:r>
      <w:r>
        <w:rPr>
          <w:rFonts w:hint="eastAsia"/>
        </w:rPr>
        <w:t>Chheang</w:t>
      </w:r>
      <w:r>
        <w:t xml:space="preserve"> </w:t>
      </w:r>
      <w:r>
        <w:rPr>
          <w:rFonts w:hint="eastAsia"/>
        </w:rPr>
        <w:t>等在</w:t>
      </w:r>
      <w:r>
        <w:t xml:space="preserve"> AIxVR 2024 </w:t>
      </w:r>
      <w:r>
        <w:rPr>
          <w:rFonts w:hint="eastAsia"/>
        </w:rPr>
        <w:t>的解剖学</w:t>
      </w:r>
      <w:r>
        <w:t xml:space="preserve"> VR </w:t>
      </w:r>
      <w:r>
        <w:rPr>
          <w:rFonts w:hint="eastAsia"/>
        </w:rPr>
        <w:t>研究中比较了不同虚拟助手呈现形式，并将任务表现、</w:t>
      </w:r>
      <w:r>
        <w:rPr>
          <w:rFonts w:hint="eastAsia"/>
        </w:rPr>
        <w:t>SUS</w:t>
      </w:r>
      <w:r>
        <w:rPr>
          <w:rFonts w:hint="eastAsia"/>
        </w:rPr>
        <w:t>、</w:t>
      </w:r>
      <w:r>
        <w:rPr>
          <w:rFonts w:hint="eastAsia"/>
        </w:rPr>
        <w:t>NASA-TLX</w:t>
      </w:r>
      <w:r>
        <w:rPr>
          <w:rFonts w:hint="eastAsia"/>
        </w:rPr>
        <w:t>、存在感与访谈反馈作为</w:t>
      </w:r>
      <w:r>
        <w:rPr>
          <w:rFonts w:hint="eastAsia"/>
        </w:rPr>
        <w:t>不同层次的评价指标</w:t>
      </w:r>
      <w:r>
        <w:t xml:space="preserve"> [1]</w:t>
      </w:r>
      <w:r>
        <w:t>。</w:t>
      </w:r>
      <w:r>
        <w:t xml:space="preserve">Geris </w:t>
      </w:r>
      <w:r>
        <w:rPr>
          <w:rFonts w:hint="eastAsia"/>
        </w:rPr>
        <w:t>和</w:t>
      </w:r>
      <w:r>
        <w:t xml:space="preserve"> Alce </w:t>
      </w:r>
      <w:r>
        <w:rPr>
          <w:rFonts w:hint="eastAsia"/>
        </w:rPr>
        <w:t>在</w:t>
      </w:r>
      <w:r>
        <w:t xml:space="preserve"> AIxVR 2026 </w:t>
      </w:r>
      <w:r>
        <w:rPr>
          <w:rFonts w:hint="eastAsia"/>
        </w:rPr>
        <w:t>的语音</w:t>
      </w:r>
      <w:r>
        <w:t xml:space="preserve"> XR </w:t>
      </w:r>
      <w:r>
        <w:rPr>
          <w:rFonts w:hint="eastAsia"/>
        </w:rPr>
        <w:t>辅导原型中，则通过结构化交互会话和自动日志重点评价响应延迟、反馈长度与运行成本</w:t>
      </w:r>
      <w:r>
        <w:t xml:space="preserve"> </w:t>
      </w:r>
      <w:r>
        <w:rPr>
          <w:rFonts w:hint="eastAsia"/>
        </w:rPr>
        <w:t>[2]</w:t>
      </w:r>
      <w:r>
        <w:rPr>
          <w:rFonts w:hint="eastAsia"/>
        </w:rPr>
        <w:t>。同届的</w:t>
      </w:r>
      <w:r>
        <w:t xml:space="preserve"> SpatialTutor </w:t>
      </w:r>
      <w:r>
        <w:rPr>
          <w:rFonts w:hint="eastAsia"/>
        </w:rPr>
        <w:t>将物体感知、空间提示与</w:t>
      </w:r>
      <w:r>
        <w:t xml:space="preserve"> LLM </w:t>
      </w:r>
      <w:r>
        <w:rPr>
          <w:rFonts w:hint="eastAsia"/>
        </w:rPr>
        <w:t>支持整合到混合现实医疗流程训练中</w:t>
      </w:r>
      <w:r>
        <w:t xml:space="preserve"> </w:t>
      </w:r>
      <w:r>
        <w:rPr>
          <w:rFonts w:hint="eastAsia"/>
        </w:rPr>
        <w:t>[3]</w:t>
      </w:r>
      <w:r>
        <w:rPr>
          <w:rFonts w:hint="eastAsia"/>
        </w:rPr>
        <w:t>。这些工作共同表明，</w:t>
      </w:r>
      <w:r>
        <w:rPr>
          <w:rFonts w:hint="eastAsia"/>
        </w:rPr>
        <w:t>AI+XR</w:t>
      </w:r>
      <w:r>
        <w:t xml:space="preserve"> </w:t>
      </w:r>
      <w:r>
        <w:rPr>
          <w:rFonts w:hint="eastAsia"/>
        </w:rPr>
        <w:t>系统的评价指标应直接对应具体贡献：交互性能、任务结果、主观体验和学习效果不能相互替代。</w:t>
      </w:r>
    </w:p>
    <w:p w14:paraId="3FB81EE9" w14:textId="77777777" w:rsidR="00E25AC4" w:rsidRDefault="00AA4D44">
      <w:pPr>
        <w:pStyle w:val="a0"/>
        <w:jc w:val="both"/>
      </w:pPr>
      <w:r>
        <w:rPr>
          <w:rFonts w:hint="eastAsia"/>
        </w:rPr>
        <w:t>本文关注显微镜学习活动与指引之间的对应关系。一个操作不仅需要在当前界面中真实可用，其反馈也需要在明确的仿真科学边界内解释。因此，本文将</w:t>
      </w:r>
      <w:r>
        <w:t xml:space="preserve"> AI </w:t>
      </w:r>
      <w:r>
        <w:rPr>
          <w:rFonts w:hint="eastAsia"/>
        </w:rPr>
        <w:t>视为实验环境</w:t>
      </w:r>
      <w:r>
        <w:rPr>
          <w:rFonts w:hint="eastAsia"/>
        </w:rPr>
        <w:t>中的受约束辅导层，而不是能够自主控制仪器的智能体；评价时也将实现级约束行为与用户层面的可用性结果分开报告。</w:t>
      </w:r>
    </w:p>
    <w:p w14:paraId="1586943C" w14:textId="77777777" w:rsidR="00E25AC4" w:rsidRDefault="00AA4D44">
      <w:pPr>
        <w:pStyle w:val="a0"/>
        <w:jc w:val="both"/>
      </w:pPr>
      <w:r>
        <w:rPr>
          <w:rFonts w:hint="eastAsia"/>
        </w:rPr>
        <w:t>定量共聚焦显微方法是本项目的重要科学参照</w:t>
      </w:r>
      <w:r>
        <w:t xml:space="preserve"> </w:t>
      </w:r>
      <w:r>
        <w:rPr>
          <w:rFonts w:hint="eastAsia"/>
        </w:rPr>
        <w:t>[4]</w:t>
      </w:r>
      <w:r>
        <w:rPr>
          <w:rFonts w:hint="eastAsia"/>
        </w:rPr>
        <w:t>。本项目介绍相关光学原理，但没有实现经过标定的共聚焦采集链路。数值孔径与空间频率教学资料</w:t>
      </w:r>
      <w:r>
        <w:t xml:space="preserve"> [5]</w:t>
      </w:r>
      <w:r>
        <w:t>、</w:t>
      </w:r>
      <w:r>
        <w:t xml:space="preserve">[6] </w:t>
      </w:r>
      <w:r>
        <w:rPr>
          <w:rFonts w:hint="eastAsia"/>
        </w:rPr>
        <w:t>为模块的概念解释提供参考；遵循这些基本原理，并不意味着项目中的所有图形映射都已通过真实仪器测量验</w:t>
      </w:r>
      <w:r>
        <w:rPr>
          <w:rFonts w:hint="eastAsia"/>
        </w:rPr>
        <w:t>证。</w:t>
      </w:r>
    </w:p>
    <w:p w14:paraId="66F16F20" w14:textId="77777777" w:rsidR="00E25AC4" w:rsidRDefault="00AA4D44">
      <w:pPr>
        <w:pStyle w:val="2"/>
        <w:jc w:val="center"/>
      </w:pPr>
      <w:bookmarkStart w:id="5" w:name="vr-实验环境与仿真边界"/>
      <w:bookmarkEnd w:id="4"/>
      <w:r>
        <w:t xml:space="preserve">III. VR </w:t>
      </w:r>
      <w:r>
        <w:t>实验环境与仿真边界</w:t>
      </w:r>
    </w:p>
    <w:p w14:paraId="57411AB5" w14:textId="77777777" w:rsidR="00E25AC4" w:rsidRDefault="00AA4D44">
      <w:pPr>
        <w:pStyle w:val="3"/>
      </w:pPr>
      <w:bookmarkStart w:id="6" w:name="实验室组织与交互状态"/>
      <w:r>
        <w:t xml:space="preserve">A. </w:t>
      </w:r>
      <w:r>
        <w:t>实验室组织与交互状态</w:t>
      </w:r>
    </w:p>
    <w:p w14:paraId="77AA63CC" w14:textId="77777777" w:rsidR="00E25AC4" w:rsidRDefault="00AA4D44">
      <w:pPr>
        <w:pStyle w:val="FirstParagraph"/>
        <w:jc w:val="both"/>
      </w:pPr>
      <w:r>
        <w:t xml:space="preserve">Unity </w:t>
      </w:r>
      <w:r>
        <w:rPr>
          <w:rFonts w:hint="eastAsia"/>
        </w:rPr>
        <w:t>实验室支持桌面和</w:t>
      </w:r>
      <w:r>
        <w:t xml:space="preserve"> XR </w:t>
      </w:r>
      <w:r>
        <w:rPr>
          <w:rFonts w:hint="eastAsia"/>
        </w:rPr>
        <w:t>交互。主交互状态包括</w:t>
      </w:r>
      <w:r>
        <w:t xml:space="preserve"> </w:t>
      </w:r>
      <w:r>
        <w:rPr>
          <w:rStyle w:val="VerbatimChar"/>
        </w:rPr>
        <w:t>Roaming</w:t>
      </w:r>
      <w:r>
        <w:t>、</w:t>
      </w:r>
      <w:r>
        <w:rPr>
          <w:rStyle w:val="VerbatimChar"/>
        </w:rPr>
        <w:t>Observing</w:t>
      </w:r>
      <w:r>
        <w:t xml:space="preserve"> </w:t>
      </w:r>
      <w:r>
        <w:rPr>
          <w:rFonts w:hint="eastAsia"/>
        </w:rPr>
        <w:t>和</w:t>
      </w:r>
      <w:r>
        <w:t xml:space="preserve"> </w:t>
      </w:r>
      <w:r>
        <w:rPr>
          <w:rStyle w:val="VerbatimChar"/>
        </w:rPr>
        <w:t>Tutorial</w:t>
      </w:r>
      <w:r>
        <w:rPr>
          <w:rFonts w:hint="eastAsia"/>
        </w:rPr>
        <w:t>；部件查看及各实验控制器另行维护局部状态。视点、物件激活、输入权限和界面可见性共同决定用户当前能够进行的学习活动。</w:t>
      </w:r>
    </w:p>
    <w:p w14:paraId="5EC38557" w14:textId="77777777" w:rsidR="00E25AC4" w:rsidRDefault="00AA4D44">
      <w:pPr>
        <w:pStyle w:val="a0"/>
        <w:jc w:val="both"/>
      </w:pPr>
      <w:r>
        <w:rPr>
          <w:rFonts w:hint="eastAsia"/>
        </w:rPr>
        <w:t>主状态切换延后到帧边界执行，教程输入限制则由独立检查处理。这些机制组织切换并减少同一输入触发多个行为的情况。</w:t>
      </w:r>
      <w:r>
        <w:rPr>
          <w:rFonts w:hint="eastAsia"/>
        </w:rPr>
        <w:t>AI</w:t>
      </w:r>
      <w:r>
        <w:t xml:space="preserve"> </w:t>
      </w:r>
      <w:r>
        <w:rPr>
          <w:rFonts w:hint="eastAsia"/>
        </w:rPr>
        <w:t>对话框打开时也会阻止常规实验操作，因此操作文案要求用户先关闭对话框。</w:t>
      </w:r>
    </w:p>
    <w:p w14:paraId="0DDF3ABE" w14:textId="77777777" w:rsidR="00E25AC4" w:rsidRDefault="00AA4D44">
      <w:pPr>
        <w:pStyle w:val="a0"/>
        <w:jc w:val="both"/>
      </w:pPr>
      <w:r>
        <w:rPr>
          <w:rFonts w:hint="eastAsia"/>
        </w:rPr>
        <w:t>整体学习内容可以连接为：处理样本、观察图像、调整仪器、查看部件、进入相关实验。这是一条可供探索的学习路径，并不表示所有用户都必须完成同一套强制教程。</w:t>
      </w:r>
    </w:p>
    <w:p w14:paraId="47DD4039" w14:textId="77777777" w:rsidR="00E25AC4" w:rsidRDefault="00AA4D44">
      <w:pPr>
        <w:pStyle w:val="a0"/>
        <w:keepNext/>
        <w:spacing w:before="200" w:after="200"/>
        <w:jc w:val="center"/>
      </w:pPr>
      <w:r>
        <w:rPr>
          <w:i/>
          <w:sz w:val="18"/>
        </w:rPr>
        <w:t>[</w:t>
      </w:r>
      <w:r>
        <w:rPr>
          <w:i/>
          <w:sz w:val="18"/>
        </w:rPr>
        <w:t>图</w:t>
      </w:r>
      <w:r>
        <w:rPr>
          <w:i/>
          <w:sz w:val="18"/>
        </w:rPr>
        <w:t xml:space="preserve"> 1</w:t>
      </w:r>
      <w:r>
        <w:rPr>
          <w:i/>
          <w:sz w:val="18"/>
        </w:rPr>
        <w:t>：待插入图片</w:t>
      </w:r>
      <w:r>
        <w:rPr>
          <w:i/>
          <w:sz w:val="18"/>
        </w:rPr>
        <w:t>]</w:t>
      </w:r>
    </w:p>
    <w:p w14:paraId="0DF5A333" w14:textId="77777777" w:rsidR="00E25AC4" w:rsidRDefault="00AA4D44">
      <w:pPr>
        <w:pStyle w:val="a0"/>
        <w:spacing w:after="120"/>
      </w:pPr>
      <w:r>
        <w:rPr>
          <w:rFonts w:hint="eastAsia"/>
          <w:sz w:val="16"/>
        </w:rPr>
        <w:t>图</w:t>
      </w:r>
      <w:r>
        <w:rPr>
          <w:sz w:val="16"/>
        </w:rPr>
        <w:t xml:space="preserve"> 1. VRMicroscope </w:t>
      </w:r>
      <w:r>
        <w:rPr>
          <w:rFonts w:hint="eastAsia"/>
          <w:sz w:val="16"/>
        </w:rPr>
        <w:t>学习环境与核心活动。学习者在同一实验室中进行样本操作、显微观察、部件探索和</w:t>
      </w:r>
      <w:r>
        <w:rPr>
          <w:sz w:val="16"/>
        </w:rPr>
        <w:t xml:space="preserve"> SNOM </w:t>
      </w:r>
      <w:r>
        <w:rPr>
          <w:rFonts w:hint="eastAsia"/>
          <w:sz w:val="16"/>
        </w:rPr>
        <w:t>流程演示，并通过助手获取相关解释与指引。</w:t>
      </w:r>
    </w:p>
    <w:p w14:paraId="2382A2DC" w14:textId="77777777" w:rsidR="00E25AC4" w:rsidRDefault="00E25AC4">
      <w:pPr>
        <w:spacing w:after="0"/>
        <w:sectPr w:rsidR="00E25AC4">
          <w:footnotePr>
            <w:numRestart w:val="eachSect"/>
          </w:footnotePr>
          <w:type w:val="continuous"/>
          <w:pgSz w:w="12240" w:h="15840"/>
          <w:pgMar w:top="1080" w:right="900" w:bottom="1440" w:left="900" w:header="720" w:footer="720" w:gutter="0"/>
          <w:cols w:num="2" w:space="360"/>
        </w:sectPr>
      </w:pPr>
    </w:p>
    <w:p w14:paraId="65AEA8C3" w14:textId="77777777" w:rsidR="00E25AC4" w:rsidRDefault="00AA4D44">
      <w:pPr>
        <w:pStyle w:val="a0"/>
        <w:keepNext/>
        <w:spacing w:after="120"/>
      </w:pPr>
      <w:r>
        <w:rPr>
          <w:rFonts w:hint="eastAsia"/>
          <w:b/>
          <w:bCs/>
          <w:sz w:val="16"/>
        </w:rPr>
        <w:t>表</w:t>
      </w:r>
      <w:r>
        <w:rPr>
          <w:b/>
          <w:bCs/>
          <w:sz w:val="16"/>
        </w:rPr>
        <w:t xml:space="preserve"> </w:t>
      </w:r>
      <w:r>
        <w:rPr>
          <w:rFonts w:hint="eastAsia"/>
          <w:b/>
          <w:bCs/>
          <w:sz w:val="16"/>
        </w:rPr>
        <w:t>1</w:t>
      </w:r>
      <w:r>
        <w:rPr>
          <w:rFonts w:hint="eastAsia"/>
          <w:b/>
          <w:bCs/>
          <w:sz w:val="16"/>
        </w:rPr>
        <w:t>：项目现有活动的输入、输出与教学边界。</w:t>
      </w:r>
    </w:p>
    <w:tbl>
      <w:tblPr>
        <w:tblStyle w:val="Table"/>
        <w:tblW w:w="5000" w:type="pct"/>
        <w:tblLayout w:type="fixed"/>
        <w:tblLook w:val="0020" w:firstRow="1" w:lastRow="0" w:firstColumn="0" w:lastColumn="0" w:noHBand="0" w:noVBand="0"/>
      </w:tblPr>
      <w:tblGrid>
        <w:gridCol w:w="2664"/>
        <w:gridCol w:w="2664"/>
        <w:gridCol w:w="2664"/>
        <w:gridCol w:w="2664"/>
      </w:tblGrid>
      <w:tr w:rsidR="00E25AC4" w14:paraId="260A222B" w14:textId="77777777" w:rsidTr="00E25AC4">
        <w:trPr>
          <w:cnfStyle w:val="100000000000" w:firstRow="1" w:lastRow="0" w:firstColumn="0" w:lastColumn="0" w:oddVBand="0" w:evenVBand="0" w:oddHBand="0" w:evenHBand="0" w:firstRowFirstColumn="0" w:firstRowLastColumn="0" w:lastRowFirstColumn="0" w:lastRowLastColumn="0"/>
          <w:tblHeader/>
        </w:trPr>
        <w:tc>
          <w:tcPr>
            <w:tcW w:w="2610" w:type="dxa"/>
          </w:tcPr>
          <w:p w14:paraId="788D2EAE" w14:textId="77777777" w:rsidR="00E25AC4" w:rsidRDefault="00AA4D44">
            <w:pPr>
              <w:pStyle w:val="Compact"/>
            </w:pPr>
            <w:r>
              <w:rPr>
                <w:rFonts w:hint="eastAsia"/>
                <w:b/>
                <w:sz w:val="16"/>
              </w:rPr>
              <w:t>活动与玩家输入</w:t>
            </w:r>
          </w:p>
        </w:tc>
        <w:tc>
          <w:tcPr>
            <w:tcW w:w="2610" w:type="dxa"/>
          </w:tcPr>
          <w:p w14:paraId="5B44D45A" w14:textId="77777777" w:rsidR="00E25AC4" w:rsidRDefault="00AA4D44">
            <w:pPr>
              <w:pStyle w:val="Compact"/>
            </w:pPr>
            <w:r>
              <w:rPr>
                <w:rFonts w:hint="eastAsia"/>
                <w:b/>
                <w:sz w:val="16"/>
              </w:rPr>
              <w:t>实际输出</w:t>
            </w:r>
          </w:p>
        </w:tc>
        <w:tc>
          <w:tcPr>
            <w:tcW w:w="2610" w:type="dxa"/>
          </w:tcPr>
          <w:p w14:paraId="7A93665F" w14:textId="77777777" w:rsidR="00E25AC4" w:rsidRDefault="00AA4D44">
            <w:pPr>
              <w:pStyle w:val="Compact"/>
            </w:pPr>
            <w:r>
              <w:rPr>
                <w:rFonts w:hint="eastAsia"/>
                <w:b/>
                <w:sz w:val="16"/>
              </w:rPr>
              <w:t>预期教学联系</w:t>
            </w:r>
          </w:p>
        </w:tc>
        <w:tc>
          <w:tcPr>
            <w:tcW w:w="2610" w:type="dxa"/>
          </w:tcPr>
          <w:p w14:paraId="03CB3703" w14:textId="77777777" w:rsidR="00E25AC4" w:rsidRDefault="00AA4D44">
            <w:pPr>
              <w:pStyle w:val="Compact"/>
            </w:pPr>
            <w:r>
              <w:rPr>
                <w:rFonts w:hint="eastAsia"/>
                <w:b/>
                <w:sz w:val="16"/>
              </w:rPr>
              <w:t>建模边界</w:t>
            </w:r>
          </w:p>
        </w:tc>
      </w:tr>
      <w:tr w:rsidR="00E25AC4" w14:paraId="586A10E3" w14:textId="77777777" w:rsidTr="00E25AC4">
        <w:tc>
          <w:tcPr>
            <w:tcW w:w="2610" w:type="dxa"/>
          </w:tcPr>
          <w:p w14:paraId="6DCD884F" w14:textId="77777777" w:rsidR="00E25AC4" w:rsidRDefault="00AA4D44">
            <w:pPr>
              <w:pStyle w:val="Compact"/>
            </w:pPr>
            <w:r>
              <w:rPr>
                <w:rFonts w:hint="eastAsia"/>
                <w:sz w:val="16"/>
              </w:rPr>
              <w:t>拾取、放置、观察和取出样本</w:t>
            </w:r>
          </w:p>
        </w:tc>
        <w:tc>
          <w:tcPr>
            <w:tcW w:w="2610" w:type="dxa"/>
          </w:tcPr>
          <w:p w14:paraId="00F343DA" w14:textId="77777777" w:rsidR="00E25AC4" w:rsidRDefault="00AA4D44">
            <w:pPr>
              <w:pStyle w:val="Compact"/>
            </w:pPr>
            <w:r>
              <w:rPr>
                <w:rFonts w:hint="eastAsia"/>
                <w:sz w:val="16"/>
              </w:rPr>
              <w:t>运行时样本的父对象</w:t>
            </w:r>
            <w:r>
              <w:rPr>
                <w:rFonts w:hint="eastAsia"/>
                <w:sz w:val="16"/>
              </w:rPr>
              <w:t>、姿态、可见性与观察环境变化</w:t>
            </w:r>
          </w:p>
        </w:tc>
        <w:tc>
          <w:tcPr>
            <w:tcW w:w="2610" w:type="dxa"/>
          </w:tcPr>
          <w:p w14:paraId="0F7EAD22" w14:textId="77777777" w:rsidR="00E25AC4" w:rsidRDefault="00AA4D44">
            <w:pPr>
              <w:pStyle w:val="Compact"/>
            </w:pPr>
            <w:r>
              <w:rPr>
                <w:rFonts w:hint="eastAsia"/>
                <w:sz w:val="16"/>
              </w:rPr>
              <w:t>建立样本放置与仪器观察的联系</w:t>
            </w:r>
          </w:p>
        </w:tc>
        <w:tc>
          <w:tcPr>
            <w:tcW w:w="2610" w:type="dxa"/>
          </w:tcPr>
          <w:p w14:paraId="09C4A7E7" w14:textId="77777777" w:rsidR="00E25AC4" w:rsidRDefault="00AA4D44">
            <w:pPr>
              <w:pStyle w:val="Compact"/>
            </w:pPr>
            <w:r>
              <w:rPr>
                <w:rFonts w:hint="eastAsia"/>
                <w:sz w:val="16"/>
              </w:rPr>
              <w:t>脚本化对象操作，未经接触力学验证</w:t>
            </w:r>
          </w:p>
        </w:tc>
      </w:tr>
      <w:tr w:rsidR="00E25AC4" w14:paraId="32A1F11A" w14:textId="77777777" w:rsidTr="00E25AC4">
        <w:tc>
          <w:tcPr>
            <w:tcW w:w="2610" w:type="dxa"/>
          </w:tcPr>
          <w:p w14:paraId="7816ACFD" w14:textId="77777777" w:rsidR="00E25AC4" w:rsidRDefault="00AA4D44">
            <w:pPr>
              <w:pStyle w:val="Compact"/>
            </w:pPr>
            <w:r>
              <w:rPr>
                <w:rFonts w:hint="eastAsia"/>
                <w:sz w:val="16"/>
              </w:rPr>
              <w:t>粗细调焦与切换物镜</w:t>
            </w:r>
          </w:p>
        </w:tc>
        <w:tc>
          <w:tcPr>
            <w:tcW w:w="2610" w:type="dxa"/>
          </w:tcPr>
          <w:p w14:paraId="18F76A3C" w14:textId="77777777" w:rsidR="00E25AC4" w:rsidRDefault="00AA4D44">
            <w:pPr>
              <w:pStyle w:val="Compact"/>
            </w:pPr>
            <w:r>
              <w:rPr>
                <w:rFonts w:hint="eastAsia"/>
                <w:sz w:val="16"/>
              </w:rPr>
              <w:t>随焦点参数变化的显隐、透明度、渲染反馈及视野大小</w:t>
            </w:r>
          </w:p>
        </w:tc>
        <w:tc>
          <w:tcPr>
            <w:tcW w:w="2610" w:type="dxa"/>
          </w:tcPr>
          <w:p w14:paraId="66B3513E" w14:textId="77777777" w:rsidR="00E25AC4" w:rsidRDefault="00AA4D44">
            <w:pPr>
              <w:pStyle w:val="Compact"/>
            </w:pPr>
            <w:r>
              <w:rPr>
                <w:rFonts w:hint="eastAsia"/>
                <w:sz w:val="16"/>
              </w:rPr>
              <w:t>先搜索可观察区间，再精细调整</w:t>
            </w:r>
          </w:p>
        </w:tc>
        <w:tc>
          <w:tcPr>
            <w:tcW w:w="2610" w:type="dxa"/>
          </w:tcPr>
          <w:p w14:paraId="0840A260" w14:textId="77777777" w:rsidR="00E25AC4" w:rsidRDefault="00AA4D44">
            <w:pPr>
              <w:pStyle w:val="Compact"/>
            </w:pPr>
            <w:r>
              <w:rPr>
                <w:rFonts w:hint="eastAsia"/>
                <w:sz w:val="16"/>
              </w:rPr>
              <w:t>人工设定焦点区间，没有共聚焦点扩散函数计算</w:t>
            </w:r>
          </w:p>
        </w:tc>
      </w:tr>
      <w:tr w:rsidR="00E25AC4" w14:paraId="34F42D64" w14:textId="77777777" w:rsidTr="00E25AC4">
        <w:tc>
          <w:tcPr>
            <w:tcW w:w="2610" w:type="dxa"/>
          </w:tcPr>
          <w:p w14:paraId="09AB3D14" w14:textId="77777777" w:rsidR="00E25AC4" w:rsidRDefault="00AA4D44">
            <w:pPr>
              <w:pStyle w:val="Compact"/>
            </w:pPr>
            <w:r>
              <w:rPr>
                <w:rFonts w:hint="eastAsia"/>
                <w:sz w:val="16"/>
              </w:rPr>
              <w:t>调整照明</w:t>
            </w:r>
          </w:p>
        </w:tc>
        <w:tc>
          <w:tcPr>
            <w:tcW w:w="2610" w:type="dxa"/>
          </w:tcPr>
          <w:p w14:paraId="0952D873" w14:textId="77777777" w:rsidR="00E25AC4" w:rsidRDefault="00AA4D44">
            <w:pPr>
              <w:pStyle w:val="Compact"/>
            </w:pPr>
            <w:r>
              <w:rPr>
                <w:rFonts w:hint="eastAsia"/>
                <w:sz w:val="16"/>
              </w:rPr>
              <w:t>光锥线宽与样本着色器亮度输入变化</w:t>
            </w:r>
          </w:p>
        </w:tc>
        <w:tc>
          <w:tcPr>
            <w:tcW w:w="2610" w:type="dxa"/>
          </w:tcPr>
          <w:p w14:paraId="4A465F63" w14:textId="77777777" w:rsidR="00E25AC4" w:rsidRDefault="00AA4D44">
            <w:pPr>
              <w:pStyle w:val="Compact"/>
            </w:pPr>
            <w:r>
              <w:rPr>
                <w:rFonts w:hint="eastAsia"/>
                <w:sz w:val="16"/>
              </w:rPr>
              <w:t>比较照明设置与观察效果</w:t>
            </w:r>
          </w:p>
        </w:tc>
        <w:tc>
          <w:tcPr>
            <w:tcW w:w="2610" w:type="dxa"/>
          </w:tcPr>
          <w:p w14:paraId="08C627DE" w14:textId="77777777" w:rsidR="00E25AC4" w:rsidRDefault="00AA4D44">
            <w:pPr>
              <w:pStyle w:val="Compact"/>
            </w:pPr>
            <w:r>
              <w:rPr>
                <w:rFonts w:hint="eastAsia"/>
                <w:sz w:val="16"/>
              </w:rPr>
              <w:t>无量纲显示增益，非标定照度</w:t>
            </w:r>
          </w:p>
        </w:tc>
      </w:tr>
      <w:tr w:rsidR="00E25AC4" w14:paraId="6BA5D5AC" w14:textId="77777777" w:rsidTr="00E25AC4">
        <w:tc>
          <w:tcPr>
            <w:tcW w:w="2610" w:type="dxa"/>
          </w:tcPr>
          <w:p w14:paraId="167E2295" w14:textId="77777777" w:rsidR="00E25AC4" w:rsidRDefault="00AA4D44">
            <w:pPr>
              <w:pStyle w:val="Compact"/>
            </w:pPr>
            <w:r>
              <w:rPr>
                <w:sz w:val="16"/>
              </w:rPr>
              <w:t xml:space="preserve">SuperAssembly </w:t>
            </w:r>
            <w:r>
              <w:rPr>
                <w:rFonts w:hint="eastAsia"/>
                <w:sz w:val="16"/>
              </w:rPr>
              <w:t>与选择部件</w:t>
            </w:r>
          </w:p>
        </w:tc>
        <w:tc>
          <w:tcPr>
            <w:tcW w:w="2610" w:type="dxa"/>
          </w:tcPr>
          <w:p w14:paraId="00016C06" w14:textId="77777777" w:rsidR="00E25AC4" w:rsidRDefault="00AA4D44">
            <w:pPr>
              <w:pStyle w:val="Compact"/>
            </w:pPr>
            <w:r>
              <w:rPr>
                <w:rFonts w:hint="eastAsia"/>
                <w:sz w:val="16"/>
              </w:rPr>
              <w:t>展开布局、部件说明及关联实验按钮</w:t>
            </w:r>
          </w:p>
        </w:tc>
        <w:tc>
          <w:tcPr>
            <w:tcW w:w="2610" w:type="dxa"/>
          </w:tcPr>
          <w:p w14:paraId="5199D701" w14:textId="77777777" w:rsidR="00E25AC4" w:rsidRDefault="00AA4D44">
            <w:pPr>
              <w:pStyle w:val="Compact"/>
            </w:pPr>
            <w:r>
              <w:rPr>
                <w:rFonts w:hint="eastAsia"/>
                <w:sz w:val="16"/>
              </w:rPr>
              <w:t>连接结构、功能与学习活动</w:t>
            </w:r>
          </w:p>
        </w:tc>
        <w:tc>
          <w:tcPr>
            <w:tcW w:w="2610" w:type="dxa"/>
          </w:tcPr>
          <w:p w14:paraId="15DA1D61" w14:textId="77777777" w:rsidR="00E25AC4" w:rsidRDefault="00AA4D44">
            <w:pPr>
              <w:pStyle w:val="Compact"/>
            </w:pPr>
            <w:r>
              <w:rPr>
                <w:rFonts w:hint="eastAsia"/>
                <w:sz w:val="16"/>
              </w:rPr>
              <w:t>示意性分离，不评价真实机械装配</w:t>
            </w:r>
          </w:p>
        </w:tc>
      </w:tr>
      <w:tr w:rsidR="00E25AC4" w14:paraId="5CCA5EB2" w14:textId="77777777" w:rsidTr="00E25AC4">
        <w:tc>
          <w:tcPr>
            <w:tcW w:w="2610" w:type="dxa"/>
          </w:tcPr>
          <w:p w14:paraId="5403139B" w14:textId="77777777" w:rsidR="00E25AC4" w:rsidRDefault="00AA4D44">
            <w:pPr>
              <w:pStyle w:val="Compact"/>
            </w:pPr>
            <w:r>
              <w:rPr>
                <w:rFonts w:hint="eastAsia"/>
                <w:sz w:val="16"/>
              </w:rPr>
              <w:t>调整数值孔径</w:t>
            </w:r>
          </w:p>
        </w:tc>
        <w:tc>
          <w:tcPr>
            <w:tcW w:w="2610" w:type="dxa"/>
          </w:tcPr>
          <w:p w14:paraId="1513FF59" w14:textId="77777777" w:rsidR="00E25AC4" w:rsidRDefault="00AA4D44">
            <w:pPr>
              <w:pStyle w:val="Compact"/>
            </w:pPr>
            <w:r>
              <w:rPr>
                <w:rFonts w:hint="eastAsia"/>
                <w:sz w:val="16"/>
              </w:rPr>
              <w:t>光锥几何与样本外观示意变化</w:t>
            </w:r>
          </w:p>
        </w:tc>
        <w:tc>
          <w:tcPr>
            <w:tcW w:w="2610" w:type="dxa"/>
          </w:tcPr>
          <w:p w14:paraId="3B37AB3C" w14:textId="77777777" w:rsidR="00E25AC4" w:rsidRDefault="00AA4D44">
            <w:pPr>
              <w:pStyle w:val="Compact"/>
            </w:pPr>
            <w:r>
              <w:rPr>
                <w:rFonts w:hint="eastAsia"/>
                <w:sz w:val="16"/>
              </w:rPr>
              <w:t>探索收集角与</w:t>
            </w:r>
            <w:r>
              <w:rPr>
                <w:sz w:val="16"/>
              </w:rPr>
              <w:t xml:space="preserve"> NA</w:t>
            </w:r>
          </w:p>
        </w:tc>
        <w:tc>
          <w:tcPr>
            <w:tcW w:w="2610" w:type="dxa"/>
          </w:tcPr>
          <w:p w14:paraId="61B0F596" w14:textId="77777777" w:rsidR="00E25AC4" w:rsidRDefault="00AA4D44">
            <w:pPr>
              <w:pStyle w:val="Compact"/>
            </w:pPr>
            <w:r>
              <w:rPr>
                <w:rFonts w:hint="eastAsia"/>
                <w:sz w:val="16"/>
              </w:rPr>
              <w:t>固定介质教学模型，</w:t>
            </w:r>
            <w:r>
              <w:rPr>
                <w:rFonts w:hint="eastAsia"/>
                <w:sz w:val="16"/>
              </w:rPr>
              <w:t>NA</w:t>
            </w:r>
            <w:r>
              <w:rPr>
                <w:sz w:val="16"/>
              </w:rPr>
              <w:t xml:space="preserve"> </w:t>
            </w:r>
            <w:r>
              <w:rPr>
                <w:rFonts w:hint="eastAsia"/>
                <w:sz w:val="16"/>
              </w:rPr>
              <w:t>不唯一决定倍率</w:t>
            </w:r>
          </w:p>
        </w:tc>
      </w:tr>
      <w:tr w:rsidR="00E25AC4" w14:paraId="4A0C0C00" w14:textId="77777777" w:rsidTr="00E25AC4">
        <w:tc>
          <w:tcPr>
            <w:tcW w:w="2610" w:type="dxa"/>
          </w:tcPr>
          <w:p w14:paraId="5A9FBF62" w14:textId="77777777" w:rsidR="00E25AC4" w:rsidRDefault="00AA4D44">
            <w:pPr>
              <w:pStyle w:val="Compact"/>
            </w:pPr>
            <w:r>
              <w:rPr>
                <w:rFonts w:hint="eastAsia"/>
                <w:sz w:val="16"/>
              </w:rPr>
              <w:t>选择空间频率与照明</w:t>
            </w:r>
          </w:p>
        </w:tc>
        <w:tc>
          <w:tcPr>
            <w:tcW w:w="2610" w:type="dxa"/>
          </w:tcPr>
          <w:p w14:paraId="3D7E01F2" w14:textId="77777777" w:rsidR="00E25AC4" w:rsidRDefault="00AA4D44">
            <w:pPr>
              <w:pStyle w:val="Compact"/>
            </w:pPr>
            <w:r>
              <w:rPr>
                <w:rFonts w:hint="eastAsia"/>
                <w:sz w:val="16"/>
              </w:rPr>
              <w:t>光栅</w:t>
            </w:r>
            <w:r>
              <w:rPr>
                <w:rFonts w:hint="eastAsia"/>
                <w:sz w:val="16"/>
              </w:rPr>
              <w:t>/</w:t>
            </w:r>
            <w:r>
              <w:rPr>
                <w:rFonts w:hint="eastAsia"/>
                <w:sz w:val="16"/>
              </w:rPr>
              <w:t>衍射示意及源于样本纹理的傅里叶显示</w:t>
            </w:r>
          </w:p>
        </w:tc>
        <w:tc>
          <w:tcPr>
            <w:tcW w:w="2610" w:type="dxa"/>
          </w:tcPr>
          <w:p w14:paraId="261D779C" w14:textId="77777777" w:rsidR="00E25AC4" w:rsidRDefault="00AA4D44">
            <w:pPr>
              <w:pStyle w:val="Compact"/>
            </w:pPr>
            <w:r>
              <w:rPr>
                <w:rFonts w:hint="eastAsia"/>
                <w:sz w:val="16"/>
              </w:rPr>
              <w:t>连接周期结构、衍射与频谱支持范围</w:t>
            </w:r>
          </w:p>
        </w:tc>
        <w:tc>
          <w:tcPr>
            <w:tcW w:w="2610" w:type="dxa"/>
          </w:tcPr>
          <w:p w14:paraId="53825537" w14:textId="77777777" w:rsidR="00E25AC4" w:rsidRDefault="00AA4D44">
            <w:pPr>
              <w:pStyle w:val="Compact"/>
            </w:pPr>
            <w:r>
              <w:rPr>
                <w:rFonts w:hint="eastAsia"/>
                <w:sz w:val="16"/>
              </w:rPr>
              <w:t>简化结构光说明</w:t>
            </w:r>
          </w:p>
        </w:tc>
      </w:tr>
      <w:tr w:rsidR="00E25AC4" w14:paraId="0C2A6F79" w14:textId="77777777" w:rsidTr="00E25AC4">
        <w:tc>
          <w:tcPr>
            <w:tcW w:w="2610" w:type="dxa"/>
          </w:tcPr>
          <w:p w14:paraId="4B3540DA" w14:textId="77777777" w:rsidR="00E25AC4" w:rsidRDefault="00AA4D44">
            <w:pPr>
              <w:pStyle w:val="Compact"/>
            </w:pPr>
            <w:r>
              <w:rPr>
                <w:rFonts w:hint="eastAsia"/>
                <w:sz w:val="16"/>
              </w:rPr>
              <w:t>选择</w:t>
            </w:r>
            <w:r>
              <w:rPr>
                <w:sz w:val="16"/>
              </w:rPr>
              <w:t xml:space="preserve"> SNOM </w:t>
            </w:r>
            <w:r>
              <w:rPr>
                <w:rFonts w:hint="eastAsia"/>
                <w:sz w:val="16"/>
              </w:rPr>
              <w:t>探针并控制演示</w:t>
            </w:r>
          </w:p>
        </w:tc>
        <w:tc>
          <w:tcPr>
            <w:tcW w:w="2610" w:type="dxa"/>
          </w:tcPr>
          <w:p w14:paraId="5505D7C4" w14:textId="77777777" w:rsidR="00E25AC4" w:rsidRDefault="00AA4D44">
            <w:pPr>
              <w:pStyle w:val="Compact"/>
            </w:pPr>
            <w:r>
              <w:rPr>
                <w:rFonts w:hint="eastAsia"/>
                <w:sz w:val="16"/>
              </w:rPr>
              <w:t>安装、敲击、扫描动画及示意图像</w:t>
            </w:r>
          </w:p>
        </w:tc>
        <w:tc>
          <w:tcPr>
            <w:tcW w:w="2610" w:type="dxa"/>
          </w:tcPr>
          <w:p w14:paraId="5C335B9C" w14:textId="77777777" w:rsidR="00E25AC4" w:rsidRDefault="00AA4D44">
            <w:pPr>
              <w:pStyle w:val="Compact"/>
            </w:pPr>
            <w:r>
              <w:rPr>
                <w:rFonts w:hint="eastAsia"/>
                <w:sz w:val="16"/>
              </w:rPr>
              <w:t>理解近场显微工作流程</w:t>
            </w:r>
          </w:p>
        </w:tc>
        <w:tc>
          <w:tcPr>
            <w:tcW w:w="2610" w:type="dxa"/>
          </w:tcPr>
          <w:p w14:paraId="394E4E9B" w14:textId="77777777" w:rsidR="00E25AC4" w:rsidRDefault="00AA4D44">
            <w:pPr>
              <w:pStyle w:val="Compact"/>
            </w:pPr>
            <w:r>
              <w:rPr>
                <w:rFonts w:hint="eastAsia"/>
                <w:sz w:val="16"/>
              </w:rPr>
              <w:t>使用合成输出的流程演示</w:t>
            </w:r>
          </w:p>
        </w:tc>
      </w:tr>
    </w:tbl>
    <w:p w14:paraId="53031C4B" w14:textId="77777777" w:rsidR="00E25AC4" w:rsidRDefault="00E25AC4">
      <w:pPr>
        <w:spacing w:after="0"/>
        <w:sectPr w:rsidR="00E25AC4">
          <w:footnotePr>
            <w:numRestart w:val="eachSect"/>
          </w:footnotePr>
          <w:type w:val="continuous"/>
          <w:pgSz w:w="12240" w:h="15840"/>
          <w:pgMar w:top="1080" w:right="900" w:bottom="1440" w:left="900" w:header="720" w:footer="720" w:gutter="0"/>
          <w:cols w:space="360"/>
        </w:sectPr>
      </w:pPr>
    </w:p>
    <w:p w14:paraId="396150F3" w14:textId="77777777" w:rsidR="00E25AC4" w:rsidRDefault="00AA4D44">
      <w:pPr>
        <w:pStyle w:val="3"/>
      </w:pPr>
      <w:bookmarkStart w:id="7" w:name="样本操作与观察"/>
      <w:bookmarkEnd w:id="6"/>
      <w:r>
        <w:lastRenderedPageBreak/>
        <w:t xml:space="preserve">B. </w:t>
      </w:r>
      <w:r>
        <w:t>样本操作与观察</w:t>
      </w:r>
    </w:p>
    <w:p w14:paraId="656B3CBD" w14:textId="77777777" w:rsidR="00E25AC4" w:rsidRDefault="00AA4D44">
      <w:pPr>
        <w:pStyle w:val="FirstParagraph"/>
        <w:jc w:val="both"/>
      </w:pPr>
      <w:r>
        <w:rPr>
          <w:rFonts w:hint="eastAsia"/>
        </w:rPr>
        <w:t>拾取样本时，程序创建一个附着于手部的运行时副本。放置操作检查距离和手中实际带有指定标签的对象，再将样本移入显微镜观察环境，统一其姿态与比例。取出操作将其恢复为激活的手持对象；必要时，程序重新计算受焦点影响的可见性。</w:t>
      </w:r>
    </w:p>
    <w:p w14:paraId="5E05FCEB" w14:textId="77777777" w:rsidR="00E25AC4" w:rsidRDefault="00AA4D44">
      <w:pPr>
        <w:pStyle w:val="a0"/>
        <w:jc w:val="both"/>
      </w:pPr>
      <w:r>
        <w:rPr>
          <w:rFonts w:hint="eastAsia"/>
        </w:rPr>
        <w:t>样本归属、可见性和用户观察模式分别维护。已经放置的样本可能因为调焦参数超出区间而被隐藏，隐藏不代表样本消失或回到样本柜。</w:t>
      </w:r>
      <w:r>
        <w:rPr>
          <w:rStyle w:val="VerbatimChar"/>
        </w:rPr>
        <w:t>Observing</w:t>
      </w:r>
      <w:r>
        <w:t xml:space="preserve"> </w:t>
      </w:r>
      <w:r>
        <w:rPr>
          <w:rFonts w:hint="eastAsia"/>
        </w:rPr>
        <w:t>表示用户交互和视点状态，与手持或放置状态共同决定观察行为。</w:t>
      </w:r>
    </w:p>
    <w:p w14:paraId="26C4B08B" w14:textId="77777777" w:rsidR="00E25AC4" w:rsidRDefault="00AA4D44">
      <w:pPr>
        <w:pStyle w:val="a0"/>
        <w:jc w:val="both"/>
      </w:pPr>
      <w:r>
        <w:rPr>
          <w:rFonts w:hint="eastAsia"/>
        </w:rPr>
        <w:t>渲染设置使用不同的场景</w:t>
      </w:r>
      <w:r>
        <w:rPr>
          <w:rFonts w:hint="eastAsia"/>
        </w:rPr>
        <w:t>/</w:t>
      </w:r>
      <w:r>
        <w:rPr>
          <w:rFonts w:hint="eastAsia"/>
        </w:rPr>
        <w:t>观察视点对象以及显微图像相机，并通过渲染纹理在仪器屏幕中显示观察内容。切</w:t>
      </w:r>
      <w:r>
        <w:rPr>
          <w:rFonts w:hint="eastAsia"/>
        </w:rPr>
        <w:t>换物镜会调整图像相机的正交尺寸。这一结构在实验室中提供独立的仪器观察视图。</w:t>
      </w:r>
    </w:p>
    <w:p w14:paraId="62B590EC" w14:textId="77777777" w:rsidR="00E25AC4" w:rsidRDefault="00AA4D44">
      <w:pPr>
        <w:pStyle w:val="3"/>
      </w:pPr>
      <w:bookmarkStart w:id="8" w:name="调焦物镜与照明反馈"/>
      <w:bookmarkEnd w:id="7"/>
      <w:r>
        <w:t xml:space="preserve">C. </w:t>
      </w:r>
      <w:r>
        <w:t>调焦、物镜与照明反馈</w:t>
      </w:r>
    </w:p>
    <w:p w14:paraId="6A859210" w14:textId="77777777" w:rsidR="00E25AC4" w:rsidRDefault="00AA4D44">
      <w:pPr>
        <w:pStyle w:val="FirstParagraph"/>
        <w:jc w:val="both"/>
      </w:pPr>
      <w:r>
        <w:rPr>
          <w:rFonts w:hint="eastAsia"/>
        </w:rPr>
        <w:t>调焦练习通过较大的粗调步长寻找样本可观察区间，再以细调改善显示。设</w:t>
      </w:r>
      <w:r>
        <w:t xml:space="preserve"> </w:t>
      </w:r>
      <m:oMath>
        <m:r>
          <w:rPr>
            <w:rFonts w:ascii="Cambria Math" w:hAnsi="Cambria Math"/>
          </w:rPr>
          <m:t>v</m:t>
        </m:r>
      </m:oMath>
      <w:r>
        <w:t xml:space="preserve"> </w:t>
      </w:r>
      <w:r>
        <w:rPr>
          <w:rFonts w:hint="eastAsia"/>
        </w:rPr>
        <w:t>为无量纲滑块值，</w:t>
      </w:r>
      <m:oMath>
        <m:r>
          <w:rPr>
            <w:rFonts w:ascii="Cambria Math" w:hAnsi="Cambria Math"/>
          </w:rPr>
          <m:t>j</m:t>
        </m:r>
      </m:oMath>
      <w:r>
        <w:t xml:space="preserve"> </w:t>
      </w:r>
      <w:r>
        <w:rPr>
          <w:rFonts w:hint="eastAsia"/>
        </w:rPr>
        <w:t>为物镜索引，</w:t>
      </w:r>
      <m:oMath>
        <m:sSub>
          <m:sSubPr>
            <m:ctrlPr>
              <w:rPr>
                <w:rFonts w:ascii="Cambria Math" w:hAnsi="Cambria Math"/>
              </w:rPr>
            </m:ctrlPr>
          </m:sSubPr>
          <m:e>
            <m:r>
              <w:rPr>
                <w:rFonts w:ascii="Cambria Math" w:hAnsi="Cambria Math"/>
              </w:rPr>
              <m:t>f</m:t>
            </m:r>
          </m:e>
          <m:sub>
            <m:r>
              <w:rPr>
                <w:rFonts w:ascii="Cambria Math" w:hAnsi="Cambria Math"/>
              </w:rPr>
              <m:t>j</m:t>
            </m:r>
          </m:sub>
        </m:sSub>
      </m:oMath>
      <w:r>
        <w:t>、</w:t>
      </w:r>
      <m:oMath>
        <m:sSub>
          <m:sSubPr>
            <m:ctrlPr>
              <w:rPr>
                <w:rFonts w:ascii="Cambria Math" w:hAnsi="Cambria Math"/>
              </w:rPr>
            </m:ctrlPr>
          </m:sSubPr>
          <m:e>
            <m:r>
              <w:rPr>
                <w:rFonts w:ascii="Cambria Math" w:hAnsi="Cambria Math"/>
              </w:rPr>
              <m:t>r</m:t>
            </m:r>
          </m:e>
          <m:sub>
            <m:r>
              <w:rPr>
                <w:rFonts w:ascii="Cambria Math" w:hAnsi="Cambria Math"/>
              </w:rPr>
              <m:t>j</m:t>
            </m:r>
          </m:sub>
        </m:sSub>
      </m:oMath>
      <w:r>
        <w:t>、</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w:t>
      </w:r>
      <w:r>
        <w:rPr>
          <w:rFonts w:hint="eastAsia"/>
        </w:rPr>
        <w:t>分别为该物镜的焦点中心、可见区间半宽和完全不透明区间半宽。定义</w:t>
      </w:r>
      <w:r>
        <w:t xml:space="preserve"> </w:t>
      </w:r>
      <m:oMath>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oMath>
      <w:r>
        <w:rPr>
          <w:rFonts w:hint="eastAsia"/>
        </w:rPr>
        <w:t>，样本在</w:t>
      </w:r>
      <w:r>
        <w:t xml:space="preserve"> </w:t>
      </w:r>
      <m:oMath>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oMath>
      <w:r>
        <w:t xml:space="preserve"> </w:t>
      </w:r>
      <w:r>
        <w:rPr>
          <w:rFonts w:hint="eastAsia"/>
        </w:rPr>
        <w:t>时激活，其透明度为：</w:t>
      </w:r>
    </w:p>
    <w:p w14:paraId="214151F9" w14:textId="77777777" w:rsidR="00E25AC4" w:rsidRDefault="00AA4D44">
      <w:pPr>
        <w:pStyle w:val="a0"/>
        <w:spacing w:before="80" w:after="80"/>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rPr>
            <m:t>(</m:t>
          </m:r>
          <m:r>
            <w:rPr>
              <w:rFonts w:ascii="Cambria Math" w:hAnsi="Cambria Math"/>
            </w:rPr>
            <m:t>v</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r>
                      <m:rPr>
                        <m:sty m:val="p"/>
                      </m:rPr>
                      <w:rPr>
                        <w:rFonts w:ascii="Cambria Math" w:hAnsi="Cambria Math"/>
                      </w:rPr>
                      <m:t>,</m:t>
                    </m:r>
                  </m:e>
                  <m:e>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&lt;</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e>
                </m:mr>
                <m:m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num>
                      <m:den>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den>
                    </m:f>
                    <m:r>
                      <m:rPr>
                        <m:sty m:val="p"/>
                      </m:rPr>
                      <w:rPr>
                        <w:rFonts w:ascii="Cambria Math" w:hAnsi="Cambria Math"/>
                      </w:rPr>
                      <m:t>,</m:t>
                    </m:r>
                  </m:e>
                  <m:e>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e>
                </m:mr>
              </m:m>
            </m:e>
          </m:d>
        </m:oMath>
      </m:oMathPara>
    </w:p>
    <w:p w14:paraId="61F26EFC" w14:textId="77777777" w:rsidR="00E25AC4" w:rsidRDefault="00AA4D44">
      <w:pPr>
        <w:pStyle w:val="FirstParagraph"/>
        <w:jc w:val="both"/>
      </w:pPr>
      <w:r>
        <w:rPr>
          <w:rFonts w:hint="eastAsia"/>
        </w:rPr>
        <w:t>区间外样本被隐藏；区间内另以</w:t>
      </w:r>
      <w:r>
        <w:t xml:space="preserve"> </w:t>
      </w:r>
      <m:oMath>
        <m:r>
          <w:rPr>
            <w:rFonts w:ascii="Cambria Math" w:hAnsi="Cambria Math"/>
          </w:rPr>
          <m:t>300</m:t>
        </m:r>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oMath>
      <w:r>
        <w:t xml:space="preserve"> </w:t>
      </w:r>
      <w:r>
        <w:rPr>
          <w:rFonts w:hint="eastAsia"/>
        </w:rPr>
        <w:t>设置渲染焦点参数。当前四档物镜标签为</w:t>
      </w:r>
      <w:r>
        <w:t xml:space="preserve"> </w:t>
      </w:r>
      <w:r>
        <w:rPr>
          <w:rFonts w:hint="eastAsia"/>
        </w:rPr>
        <w:t>5</w:t>
      </w:r>
      <w:r>
        <w:rPr>
          <w:rFonts w:hint="eastAsia"/>
        </w:rPr>
        <w:t>、</w:t>
      </w:r>
      <w:r>
        <w:rPr>
          <w:rFonts w:hint="eastAsia"/>
        </w:rPr>
        <w:t>10</w:t>
      </w:r>
      <w:r>
        <w:rPr>
          <w:rFonts w:hint="eastAsia"/>
        </w:rPr>
        <w:t>、</w:t>
      </w:r>
      <w:r>
        <w:rPr>
          <w:rFonts w:hint="eastAsia"/>
        </w:rPr>
        <w:t>50</w:t>
      </w:r>
      <w:r>
        <w:rPr>
          <w:rFonts w:hint="eastAsia"/>
        </w:rPr>
        <w:t>、</w:t>
      </w:r>
      <w:r>
        <w:rPr>
          <w:rFonts w:hint="eastAsia"/>
        </w:rPr>
        <w:t>100</w:t>
      </w:r>
      <w:r>
        <w:rPr>
          <w:rFonts w:hint="eastAsia"/>
        </w:rPr>
        <w:t>，可见区间半宽依次为</w:t>
      </w:r>
      <w:r>
        <w:t xml:space="preserve"> </w:t>
      </w:r>
      <w:r>
        <w:rPr>
          <w:rFonts w:hint="eastAsia"/>
        </w:rPr>
        <w:t>0.17</w:t>
      </w:r>
      <w:r>
        <w:rPr>
          <w:rFonts w:hint="eastAsia"/>
        </w:rPr>
        <w:t>、</w:t>
      </w:r>
      <w:r>
        <w:rPr>
          <w:rFonts w:hint="eastAsia"/>
        </w:rPr>
        <w:t>0.13</w:t>
      </w:r>
      <w:r>
        <w:rPr>
          <w:rFonts w:hint="eastAsia"/>
        </w:rPr>
        <w:t>、</w:t>
      </w:r>
      <w:r>
        <w:rPr>
          <w:rFonts w:hint="eastAsia"/>
        </w:rPr>
        <w:t>0.07</w:t>
      </w:r>
      <w:r>
        <w:rPr>
          <w:rFonts w:hint="eastAsia"/>
        </w:rPr>
        <w:t>、</w:t>
      </w:r>
      <w:r>
        <w:rPr>
          <w:rFonts w:hint="eastAsia"/>
        </w:rPr>
        <w:t>0.04</w:t>
      </w:r>
      <w:r>
        <w:rPr>
          <w:rFonts w:hint="eastAsia"/>
        </w:rPr>
        <w:t>。随着区间缩小，学习者需要更细致地调整焦点。代码配置下粗细调滑块增量的比例为</w:t>
      </w:r>
      <w:r>
        <w:t xml:space="preserve"> </w:t>
      </w:r>
      <w:r>
        <w:rPr>
          <w:rFonts w:hint="eastAsia"/>
        </w:rPr>
        <w:t>25:1</w:t>
      </w:r>
      <w:r>
        <w:rPr>
          <w:rFonts w:hint="eastAsia"/>
        </w:rPr>
        <w:t>。这些参数定义视觉反馈和操作灵敏度，不是以微米标定的位移或共聚焦针孔传递函数。</w:t>
      </w:r>
    </w:p>
    <w:p w14:paraId="2C9895DC" w14:textId="77777777" w:rsidR="00E25AC4" w:rsidRDefault="00AA4D44">
      <w:pPr>
        <w:pStyle w:val="a0"/>
        <w:jc w:val="both"/>
      </w:pPr>
      <w:r>
        <w:rPr>
          <w:rFonts w:hint="eastAsia"/>
        </w:rPr>
        <w:t>切换物镜时，转盘旋转并改变图像相机的正交尺寸，使玩家比较观察尺度。照明调整同时改变光束线宽和样本着色器的无量纲亮度输入。调焦、视野和照明分别提供可操纵的反馈通道，帮助学习</w:t>
      </w:r>
      <w:r>
        <w:rPr>
          <w:rFonts w:hint="eastAsia"/>
        </w:rPr>
        <w:t>者区分“样本是否进入观察区间”“显示尺度”和“显示亮度”。焦点中心、光强增益及相机尺寸属于软件配置，后续物理标定应另行进行。</w:t>
      </w:r>
    </w:p>
    <w:p w14:paraId="74B9EA5E" w14:textId="77777777" w:rsidR="00E25AC4" w:rsidRDefault="00AA4D44">
      <w:pPr>
        <w:pStyle w:val="3"/>
      </w:pPr>
      <w:bookmarkStart w:id="9" w:name="结构认知与教程限制"/>
      <w:bookmarkEnd w:id="8"/>
      <w:r>
        <w:t xml:space="preserve">D. </w:t>
      </w:r>
      <w:r>
        <w:t>结构认知与教程限制</w:t>
      </w:r>
    </w:p>
    <w:p w14:paraId="1B610300" w14:textId="77777777" w:rsidR="00E25AC4" w:rsidRDefault="00AA4D44">
      <w:pPr>
        <w:pStyle w:val="FirstParagraph"/>
        <w:jc w:val="both"/>
      </w:pPr>
      <w:r>
        <w:t xml:space="preserve">SuperAssembly </w:t>
      </w:r>
      <w:r>
        <w:rPr>
          <w:rFonts w:hint="eastAsia"/>
        </w:rPr>
        <w:t>根据部件中心相对于模型中心的方向展开部件，并允许配置位移幅度和方向。正常与展开模型按模式切换，学习者可在展开布局中选择部件，查看名称、功能说明和关联实验。</w:t>
      </w:r>
    </w:p>
    <w:p w14:paraId="73BCCB5F" w14:textId="77777777" w:rsidR="00E25AC4" w:rsidRDefault="00AA4D44">
      <w:pPr>
        <w:pStyle w:val="a0"/>
        <w:jc w:val="both"/>
      </w:pPr>
      <w:r>
        <w:rPr>
          <w:rFonts w:hint="eastAsia"/>
        </w:rPr>
        <w:t>上部光学组件关联数值孔径实验，物镜关联空间频率实验，两者位于同一显微镜学习区域。部件名称、说明和实验入口共同构成</w:t>
      </w:r>
      <w:r>
        <w:t xml:space="preserve"> AI </w:t>
      </w:r>
      <w:r>
        <w:rPr>
          <w:rFonts w:hint="eastAsia"/>
        </w:rPr>
        <w:t>可读取的学习上下文，使“这个部件有什</w:t>
      </w:r>
      <w:r>
        <w:rPr>
          <w:rFonts w:hint="eastAsia"/>
        </w:rPr>
        <w:t>么作用”与“如何体验</w:t>
      </w:r>
      <w:r>
        <w:rPr>
          <w:rFonts w:hint="eastAsia"/>
        </w:rPr>
        <w:t>相关实验”可以在同一界面连续完成。</w:t>
      </w:r>
    </w:p>
    <w:p w14:paraId="2CD2FA71" w14:textId="77777777" w:rsidR="00E25AC4" w:rsidRDefault="00AA4D44">
      <w:pPr>
        <w:pStyle w:val="a0"/>
        <w:jc w:val="both"/>
      </w:pPr>
      <w:r>
        <w:rPr>
          <w:rFonts w:hint="eastAsia"/>
        </w:rPr>
        <w:t>教程通过输入条件和步骤检查限制流程推进。完成记录表示程序要求的操作已经满足；概念理解需要通过独立学习测量评价。</w:t>
      </w:r>
    </w:p>
    <w:p w14:paraId="34DE8F80" w14:textId="77777777" w:rsidR="00E25AC4" w:rsidRDefault="00AA4D44">
      <w:pPr>
        <w:pStyle w:val="3"/>
      </w:pPr>
      <w:bookmarkStart w:id="10" w:name="数值孔径实验"/>
      <w:bookmarkEnd w:id="9"/>
      <w:r>
        <w:t xml:space="preserve">E. </w:t>
      </w:r>
      <w:r>
        <w:t>数值孔径实验</w:t>
      </w:r>
    </w:p>
    <w:p w14:paraId="59340228" w14:textId="77777777" w:rsidR="00E25AC4" w:rsidRDefault="00AA4D44">
      <w:pPr>
        <w:pStyle w:val="FirstParagraph"/>
        <w:jc w:val="both"/>
      </w:pPr>
      <w:r>
        <w:t xml:space="preserve">NA </w:t>
      </w:r>
      <w:r>
        <w:rPr>
          <w:rFonts w:hint="eastAsia"/>
        </w:rPr>
        <w:t>模块提供</w:t>
      </w:r>
      <w:r>
        <w:t xml:space="preserve"> 0.03–0.95 </w:t>
      </w:r>
      <w:r>
        <w:rPr>
          <w:rFonts w:hint="eastAsia"/>
        </w:rPr>
        <w:t>的滑块范围，在固定折射率</w:t>
      </w:r>
      <w:r>
        <w:t xml:space="preserve"> </w:t>
      </w:r>
      <m:oMath>
        <m:r>
          <w:rPr>
            <w:rFonts w:ascii="Cambria Math" w:hAnsi="Cambria Math"/>
          </w:rPr>
          <m:t>n</m:t>
        </m:r>
        <m:r>
          <m:rPr>
            <m:sty m:val="p"/>
          </m:rPr>
          <w:rPr>
            <w:rFonts w:ascii="Cambria Math" w:hAnsi="Cambria Math"/>
          </w:rPr>
          <m:t>=</m:t>
        </m:r>
        <m:r>
          <w:rPr>
            <w:rFonts w:ascii="Cambria Math" w:hAnsi="Cambria Math"/>
          </w:rPr>
          <m:t>1</m:t>
        </m:r>
      </m:oMath>
      <w:r>
        <w:t xml:space="preserve"> </w:t>
      </w:r>
      <w:r>
        <w:rPr>
          <w:rFonts w:hint="eastAsia"/>
        </w:rPr>
        <w:t>下使用：</w:t>
      </w:r>
    </w:p>
    <w:p w14:paraId="3B439E82" w14:textId="77777777" w:rsidR="00E25AC4" w:rsidRDefault="00AA4D44">
      <w:pPr>
        <w:pStyle w:val="a0"/>
        <w:spacing w:before="80" w:after="80"/>
      </w:pPr>
      <m:oMathPara>
        <m:oMathParaPr>
          <m:jc m:val="center"/>
        </m:oMathParaPr>
        <m:oMath>
          <m:r>
            <m:rPr>
              <m:sty m:val="p"/>
            </m:rPr>
            <w:rPr>
              <w:rFonts w:ascii="Cambria Math" w:hAnsi="Cambria Math"/>
            </w:rPr>
            <m:t>NA=</m:t>
          </m:r>
          <m:r>
            <w:rPr>
              <w:rFonts w:ascii="Cambria Math" w:hAnsi="Cambria Math"/>
            </w:rPr>
            <m:t>n</m:t>
          </m:r>
          <m:r>
            <m:rPr>
              <m:sty m:val="p"/>
            </m:rPr>
            <w:rPr>
              <w:rFonts w:ascii="Cambria Math" w:hAnsi="Cambria Math"/>
            </w:rPr>
            <m:t>sin</m:t>
          </m:r>
          <m:r>
            <w:rPr>
              <w:rFonts w:ascii="Cambria Math" w:hAnsi="Cambria Math"/>
            </w:rPr>
            <m:t>θ</m:t>
          </m:r>
          <m:r>
            <m:rPr>
              <m:sty m:val="p"/>
            </m:rPr>
            <w:rPr>
              <w:rFonts w:ascii="Cambria Math" w:hAnsi="Cambria Math"/>
            </w:rPr>
            <m:t>,</m:t>
          </m:r>
          <m:r>
            <w:rPr>
              <w:rFonts w:ascii="Cambria Math" w:hAnsi="Cambria Math"/>
            </w:rPr>
            <m:t>  </m:t>
          </m:r>
          <m:r>
            <w:rPr>
              <w:rFonts w:ascii="Cambria Math" w:hAnsi="Cambria Math"/>
            </w:rPr>
            <m:t>θ</m:t>
          </m:r>
          <m:r>
            <m:rPr>
              <m:sty m:val="p"/>
            </m:rPr>
            <w:rPr>
              <w:rFonts w:ascii="Cambria Math" w:hAnsi="Cambria Math"/>
            </w:rPr>
            <m:t>=arcsin(NA/</m:t>
          </m:r>
          <m:r>
            <w:rPr>
              <w:rFonts w:ascii="Cambria Math" w:hAnsi="Cambria Math"/>
            </w:rPr>
            <m:t>n</m:t>
          </m:r>
          <m:r>
            <m:rPr>
              <m:sty m:val="p"/>
            </m:rPr>
            <w:rPr>
              <w:rFonts w:ascii="Cambria Math" w:hAnsi="Cambria Math"/>
            </w:rPr>
            <m:t>).</m:t>
          </m:r>
        </m:oMath>
      </m:oMathPara>
    </w:p>
    <w:p w14:paraId="2C24C33C" w14:textId="77777777" w:rsidR="00E25AC4" w:rsidRDefault="00AA4D44">
      <w:pPr>
        <w:pStyle w:val="FirstParagraph"/>
        <w:jc w:val="both"/>
      </w:pPr>
      <m:oMath>
        <m:r>
          <w:rPr>
            <w:rFonts w:ascii="Cambria Math" w:hAnsi="Cambria Math"/>
          </w:rPr>
          <m:t>θ</m:t>
        </m:r>
      </m:oMath>
      <w:r>
        <w:t xml:space="preserve"> </w:t>
      </w:r>
      <w:r>
        <w:rPr>
          <w:rFonts w:hint="eastAsia"/>
        </w:rPr>
        <w:t>为光锥半角。界面同步更新半角、全孔径角和光锥几何，使收集角的变化可直接观察。理论关系依据显微光学</w:t>
      </w:r>
      <w:r>
        <w:t xml:space="preserve"> </w:t>
      </w:r>
      <w:r>
        <w:rPr>
          <w:rFonts w:hint="eastAsia"/>
        </w:rPr>
        <w:t>[7]</w:t>
      </w:r>
      <w:r>
        <w:rPr>
          <w:rFonts w:hint="eastAsia"/>
        </w:rPr>
        <w:t>，呈现方式参考光锥教学资料</w:t>
      </w:r>
      <w:r>
        <w:t xml:space="preserve"> </w:t>
      </w:r>
      <w:r>
        <w:rPr>
          <w:rFonts w:hint="eastAsia"/>
        </w:rPr>
        <w:t>[5]</w:t>
      </w:r>
      <w:r>
        <w:rPr>
          <w:rFonts w:hint="eastAsia"/>
        </w:rPr>
        <w:t>。玩家比较不同设置时，可以将数值变化与几何变化对应起来。</w:t>
      </w:r>
      <w:r>
        <w:rPr>
          <w:rFonts w:hint="eastAsia"/>
        </w:rPr>
        <w:t>参考倍率锚点和样本外观变化用于辅助说明；</w:t>
      </w:r>
      <w:r>
        <w:rPr>
          <w:rFonts w:hint="eastAsia"/>
        </w:rPr>
        <w:t>NA</w:t>
      </w:r>
      <w:r>
        <w:t xml:space="preserve"> </w:t>
      </w:r>
      <w:r>
        <w:rPr>
          <w:rFonts w:hint="eastAsia"/>
        </w:rPr>
        <w:t>与倍率仍是不同属性，外观变化不作为亮度、景深或分辨率的定量测量。</w:t>
      </w:r>
    </w:p>
    <w:p w14:paraId="19629EC1" w14:textId="77777777" w:rsidR="00E25AC4" w:rsidRDefault="00AA4D44">
      <w:pPr>
        <w:pStyle w:val="3"/>
      </w:pPr>
      <w:bookmarkStart w:id="11" w:name="空间频率与结构光教学显示"/>
      <w:bookmarkEnd w:id="10"/>
      <w:r>
        <w:t xml:space="preserve">F. </w:t>
      </w:r>
      <w:r>
        <w:t>空间频率与结构光教学显示</w:t>
      </w:r>
    </w:p>
    <w:p w14:paraId="7771104D" w14:textId="77777777" w:rsidR="00E25AC4" w:rsidRDefault="00AA4D44">
      <w:pPr>
        <w:pStyle w:val="FirstParagraph"/>
        <w:jc w:val="both"/>
      </w:pPr>
      <w:r>
        <w:rPr>
          <w:rFonts w:hint="eastAsia"/>
        </w:rPr>
        <w:t>空间频率界面提供</w:t>
      </w:r>
      <w:r>
        <w:t xml:space="preserve"> 250</w:t>
      </w:r>
      <w:r>
        <w:t>、</w:t>
      </w:r>
      <w:r>
        <w:t>125</w:t>
      </w:r>
      <w:r>
        <w:t>、</w:t>
      </w:r>
      <w:r>
        <w:t xml:space="preserve">62.5 </w:t>
      </w:r>
      <w:r>
        <w:rPr>
          <w:rFonts w:hint="eastAsia"/>
        </w:rPr>
        <w:t>线</w:t>
      </w:r>
      <w:r>
        <w:rPr>
          <w:rFonts w:hint="eastAsia"/>
        </w:rPr>
        <w:t>/mm</w:t>
      </w:r>
      <w:r>
        <w:t xml:space="preserve"> </w:t>
      </w:r>
      <w:r>
        <w:rPr>
          <w:rFonts w:hint="eastAsia"/>
        </w:rPr>
        <w:t>三档光栅及照明选择。设空间频率为</w:t>
      </w:r>
      <w:r>
        <w:t xml:space="preserve"> </w:t>
      </w:r>
      <m:oMath>
        <m:sSub>
          <m:sSubPr>
            <m:ctrlPr>
              <w:rPr>
                <w:rFonts w:ascii="Cambria Math" w:hAnsi="Cambria Math"/>
              </w:rPr>
            </m:ctrlPr>
          </m:sSubPr>
          <m:e>
            <m:r>
              <w:rPr>
                <w:rFonts w:ascii="Cambria Math" w:hAnsi="Cambria Math"/>
              </w:rPr>
              <m:t>ν</m:t>
            </m:r>
          </m:e>
          <m:sub>
            <m:r>
              <w:rPr>
                <w:rFonts w:ascii="Cambria Math" w:hAnsi="Cambria Math"/>
              </w:rPr>
              <m:t>g</m:t>
            </m:r>
          </m:sub>
        </m:sSub>
      </m:oMath>
      <w:r>
        <w:rPr>
          <w:rFonts w:hint="eastAsia"/>
        </w:rPr>
        <w:t>、示意波长为</w:t>
      </w:r>
      <w:r>
        <w:t xml:space="preserve"> </w:t>
      </w:r>
      <m:oMath>
        <m:r>
          <w:rPr>
            <w:rFonts w:ascii="Cambria Math" w:hAnsi="Cambria Math"/>
          </w:rPr>
          <m:t>λ</m:t>
        </m:r>
      </m:oMath>
      <w:r>
        <w:rPr>
          <w:rFonts w:hint="eastAsia"/>
        </w:rPr>
        <w:t>、示意焦距为</w:t>
      </w:r>
      <w:r>
        <w:t xml:space="preserve"> </w:t>
      </w:r>
      <m:oMath>
        <m:sSub>
          <m:sSubPr>
            <m:ctrlPr>
              <w:rPr>
                <w:rFonts w:ascii="Cambria Math" w:hAnsi="Cambria Math"/>
              </w:rPr>
            </m:ctrlPr>
          </m:sSubPr>
          <m:e>
            <m:r>
              <w:rPr>
                <w:rFonts w:ascii="Cambria Math" w:hAnsi="Cambria Math"/>
              </w:rPr>
              <m:t>f</m:t>
            </m:r>
          </m:e>
          <m:sub>
            <m:r>
              <m:rPr>
                <m:sty m:val="p"/>
              </m:rPr>
              <w:rPr>
                <w:rFonts w:ascii="Cambria Math" w:hAnsi="Cambria Math"/>
              </w:rPr>
              <m:t>obj</m:t>
            </m:r>
          </m:sub>
        </m:sSub>
      </m:oMath>
      <w:r>
        <w:rPr>
          <w:rFonts w:hint="eastAsia"/>
        </w:rPr>
        <w:t>，图示采用：</w:t>
      </w:r>
    </w:p>
    <w:p w14:paraId="478B5109" w14:textId="77777777" w:rsidR="00E25AC4" w:rsidRDefault="00AA4D44">
      <w:pPr>
        <w:pStyle w:val="a0"/>
        <w:spacing w:before="80" w:after="80"/>
      </w:pPr>
      <m:oMathPara>
        <m:oMathParaPr>
          <m:jc m:val="center"/>
        </m:oMathParaPr>
        <m:oMath>
          <m:r>
            <w:rPr>
              <w:rFonts w:ascii="Cambria Math" w:hAnsi="Cambria Math"/>
            </w:rPr>
            <m:t>D</m:t>
          </m:r>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ν</m:t>
                  </m:r>
                </m:e>
                <m:sub>
                  <m:r>
                    <w:rPr>
                      <w:rFonts w:ascii="Cambria Math" w:hAnsi="Cambria Math"/>
                    </w:rPr>
                    <m:t>g</m:t>
                  </m:r>
                </m:sub>
              </m:sSub>
            </m:den>
          </m:f>
          <m:r>
            <m:rPr>
              <m:sty m:val="p"/>
            </m:rPr>
            <w:rPr>
              <w:rFonts w:ascii="Cambria Math" w:hAnsi="Cambria Math"/>
            </w:rPr>
            <m:t>,</m:t>
          </m:r>
          <m:r>
            <w:rPr>
              <w:rFonts w:ascii="Cambria Math" w:hAnsi="Cambria Math"/>
            </w:rPr>
            <m:t>  </m:t>
          </m:r>
          <m:r>
            <m:rPr>
              <m:sty m:val="p"/>
            </m:rPr>
            <w:rPr>
              <w:rFonts w:ascii="Cambria Math" w:hAnsi="Cambria Math"/>
            </w:rPr>
            <m:t>sin</m:t>
          </m:r>
          <m:r>
            <w:rPr>
              <w:rFonts w:ascii="Cambria Math" w:hAnsi="Cambria Math"/>
            </w:rPr>
            <m:t>ψ</m:t>
          </m:r>
          <m:r>
            <m:rPr>
              <m:sty m:val="p"/>
            </m:rPr>
            <w:rPr>
              <w:rFonts w:ascii="Cambria Math" w:hAnsi="Cambria Math"/>
            </w:rPr>
            <m:t>=</m:t>
          </m:r>
          <m:f>
            <m:fPr>
              <m:ctrlPr>
                <w:rPr>
                  <w:rFonts w:ascii="Cambria Math" w:hAnsi="Cambria Math"/>
                </w:rPr>
              </m:ctrlPr>
            </m:fPr>
            <m:num>
              <m:r>
                <w:rPr>
                  <w:rFonts w:ascii="Cambria Math" w:hAnsi="Cambria Math"/>
                </w:rPr>
                <m:t>λ</m:t>
              </m:r>
            </m:num>
            <m:den>
              <m:r>
                <w:rPr>
                  <w:rFonts w:ascii="Cambria Math" w:hAnsi="Cambria Math"/>
                </w:rPr>
                <m:t>D</m:t>
              </m:r>
            </m:den>
          </m:f>
          <m:r>
            <m:rPr>
              <m:sty m:val="p"/>
            </m:rPr>
            <w:rPr>
              <w:rFonts w:ascii="Cambria Math" w:hAnsi="Cambria Math"/>
            </w:rPr>
            <m:t>,</m:t>
          </m:r>
          <m:r>
            <w:rPr>
              <w:rFonts w:ascii="Cambria Math" w:hAnsi="Cambria Math"/>
            </w:rPr>
            <m:t>  </m:t>
          </m:r>
          <m:r>
            <w:rPr>
              <w:rFonts w:ascii="Cambria Math" w:hAnsi="Cambria Math"/>
            </w:rPr>
            <m:t>ρ</m:t>
          </m:r>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obj</m:t>
              </m:r>
            </m:sub>
          </m:sSub>
          <m:r>
            <m:rPr>
              <m:sty m:val="p"/>
            </m:rPr>
            <w:rPr>
              <w:rFonts w:ascii="Cambria Math" w:hAnsi="Cambria Math"/>
            </w:rPr>
            <m:t>tan</m:t>
          </m:r>
          <m:r>
            <w:rPr>
              <w:rFonts w:ascii="Cambria Math" w:hAnsi="Cambria Math"/>
            </w:rPr>
            <m:t>ψ</m:t>
          </m:r>
          <m:r>
            <m:rPr>
              <m:sty m:val="p"/>
            </m:rPr>
            <w:rPr>
              <w:rFonts w:ascii="Cambria Math" w:hAnsi="Cambria Math"/>
            </w:rPr>
            <m:t>.</m:t>
          </m:r>
        </m:oMath>
      </m:oMathPara>
    </w:p>
    <w:p w14:paraId="46B091DF" w14:textId="77777777" w:rsidR="00E25AC4" w:rsidRDefault="00AA4D44">
      <w:pPr>
        <w:pStyle w:val="FirstParagraph"/>
        <w:jc w:val="both"/>
      </w:pPr>
      <w:r>
        <w:rPr>
          <w:rFonts w:hint="eastAsia"/>
        </w:rPr>
        <w:t>其中</w:t>
      </w:r>
      <w:r>
        <w:t xml:space="preserve"> </w:t>
      </w:r>
      <m:oMath>
        <m:r>
          <w:rPr>
            <w:rFonts w:ascii="Cambria Math" w:hAnsi="Cambria Math"/>
          </w:rPr>
          <m:t>ρ</m:t>
        </m:r>
      </m:oMath>
      <w:r>
        <w:t xml:space="preserve"> </w:t>
      </w:r>
      <w:r>
        <w:rPr>
          <w:rFonts w:hint="eastAsia"/>
        </w:rPr>
        <w:t>表示后焦平面偏移，区别于下文的样本频谱。小角度下</w:t>
      </w:r>
      <w:r>
        <w:t xml:space="preserve"> </w:t>
      </w:r>
      <m:oMath>
        <m:r>
          <w:rPr>
            <w:rFonts w:ascii="Cambria Math" w:hAnsi="Cambria Math"/>
          </w:rPr>
          <m:t>ρ</m:t>
        </m:r>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obj</m:t>
            </m:r>
          </m:sub>
        </m:sSub>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D</m:t>
        </m:r>
      </m:oMath>
      <w:r>
        <w:rPr>
          <w:rFonts w:hint="eastAsia"/>
        </w:rPr>
        <w:t>，可将光栅间距与衍射位置联系起来</w:t>
      </w:r>
      <w:r>
        <w:t xml:space="preserve"> [6], [8], [9]</w:t>
      </w:r>
      <w:r>
        <w:t>。</w:t>
      </w:r>
    </w:p>
    <w:p w14:paraId="7ED8FC6A" w14:textId="77777777" w:rsidR="00E25AC4" w:rsidRDefault="00AA4D44">
      <w:pPr>
        <w:pStyle w:val="a0"/>
        <w:jc w:val="both"/>
      </w:pPr>
      <w:r>
        <w:rPr>
          <w:rFonts w:hint="eastAsia"/>
        </w:rPr>
        <w:t>样本纹理先转为标量场，对选中样本应用可分离的</w:t>
      </w:r>
      <w:r>
        <w:t xml:space="preserve"> Hann </w:t>
      </w:r>
      <w:r>
        <w:rPr>
          <w:rFonts w:hint="eastAsia"/>
        </w:rPr>
        <w:t>型窗以减弱边界效应</w:t>
      </w:r>
      <w:r>
        <w:t xml:space="preserve"> </w:t>
      </w:r>
      <w:r>
        <w:rPr>
          <w:rFonts w:hint="eastAsia"/>
        </w:rPr>
        <w:t>[10]</w:t>
      </w:r>
      <w:r>
        <w:rPr>
          <w:rFonts w:hint="eastAsia"/>
        </w:rPr>
        <w:t>，随后乘以</w:t>
      </w:r>
      <w:r>
        <w:t xml:space="preserve"> </w:t>
      </w:r>
      <m:oMath>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x</m:t>
            </m:r>
            <m:r>
              <m:rPr>
                <m:sty m:val="p"/>
              </m:rPr>
              <w:rPr>
                <w:rFonts w:ascii="Cambria Math" w:hAnsi="Cambria Math"/>
              </w:rPr>
              <m:t>+</m:t>
            </m:r>
            <m:r>
              <w:rPr>
                <w:rFonts w:ascii="Cambria Math" w:hAnsi="Cambria Math"/>
              </w:rPr>
              <m:t>y</m:t>
            </m:r>
          </m:sup>
        </m:sSup>
      </m:oMath>
      <w:r>
        <w:t xml:space="preserve"> </w:t>
      </w:r>
      <w:r>
        <w:rPr>
          <w:rFonts w:hint="eastAsia"/>
        </w:rPr>
        <w:t>将零频移到显示中心，并执行按行、按列的</w:t>
      </w:r>
      <w:r>
        <w:t xml:space="preserve"> radix-2 FFT </w:t>
      </w:r>
      <w:r>
        <w:rPr>
          <w:rFonts w:hint="eastAsia"/>
        </w:rPr>
        <w:t>[11]</w:t>
      </w:r>
      <w:r>
        <w:rPr>
          <w:rFonts w:hint="eastAsia"/>
        </w:rPr>
        <w:t>。默认尺寸为</w:t>
      </w:r>
      <w:r>
        <w:t xml:space="preserve"> </w:t>
      </w:r>
      <m:oMath>
        <m:r>
          <w:rPr>
            <w:rFonts w:ascii="Cambria Math" w:hAnsi="Cambria Math"/>
          </w:rPr>
          <m:t>128</m:t>
        </m:r>
        <m:r>
          <m:rPr>
            <m:sty m:val="p"/>
          </m:rPr>
          <w:rPr>
            <w:rFonts w:ascii="Cambria Math" w:hAnsi="Cambria Math"/>
          </w:rPr>
          <m:t>×</m:t>
        </m:r>
        <m:r>
          <w:rPr>
            <w:rFonts w:ascii="Cambria Math" w:hAnsi="Cambria Math"/>
          </w:rPr>
          <m:t>128</m:t>
        </m:r>
      </m:oMath>
      <w:r>
        <w:rPr>
          <w:rFonts w:hint="eastAsia"/>
        </w:rPr>
        <w:t>，支持</w:t>
      </w:r>
      <w:r>
        <w:t xml:space="preserve"> 64–256 </w:t>
      </w:r>
      <w:r>
        <w:rPr>
          <w:rFonts w:hint="eastAsia"/>
        </w:rPr>
        <w:t>的二次幂尺寸。幅值经对数压缩、归一化和显示增强后形成样本频谱面板。</w:t>
      </w:r>
    </w:p>
    <w:p w14:paraId="655857A1" w14:textId="77777777" w:rsidR="00E25AC4" w:rsidRDefault="00AA4D44">
      <w:pPr>
        <w:pStyle w:val="a0"/>
        <w:jc w:val="both"/>
      </w:pPr>
      <w:r>
        <w:rPr>
          <w:rFonts w:hint="eastAsia"/>
        </w:rPr>
        <w:t>记样本频谱为</w:t>
      </w:r>
      <w:r>
        <w:t xml:space="preserve"> </w:t>
      </w:r>
      <m:oMath>
        <m:r>
          <w:rPr>
            <w:rFonts w:ascii="Cambria Math" w:hAnsi="Cambria Math"/>
          </w:rPr>
          <m:t>O</m:t>
        </m:r>
        <m:r>
          <m:rPr>
            <m:sty m:val="p"/>
          </m:rPr>
          <w:rPr>
            <w:rFonts w:ascii="Cambria Math" w:hAnsi="Cambria Math"/>
          </w:rPr>
          <m:t>(</m:t>
        </m:r>
        <m:r>
          <m:rPr>
            <m:sty m:val="bi"/>
          </m:rPr>
          <w:rPr>
            <w:rFonts w:ascii="Cambria Math" w:hAnsi="Cambria Math"/>
          </w:rPr>
          <m:t>k</m:t>
        </m:r>
        <m:r>
          <m:rPr>
            <m:sty m:val="p"/>
          </m:rPr>
          <w:rPr>
            <w:rFonts w:ascii="Cambria Math" w:hAnsi="Cambria Math"/>
          </w:rPr>
          <m:t>)</m:t>
        </m:r>
      </m:oMath>
      <w:r>
        <w:rPr>
          <w:rFonts w:hint="eastAsia"/>
        </w:rPr>
        <w:t>，照明载波为</w:t>
      </w:r>
      <w:r>
        <w:t xml:space="preserve"> </w:t>
      </w:r>
      <m:oMath>
        <m:sSub>
          <m:sSubPr>
            <m:ctrlPr>
              <w:rPr>
                <w:rFonts w:ascii="Cambria Math" w:hAnsi="Cambria Math"/>
              </w:rPr>
            </m:ctrlPr>
          </m:sSubPr>
          <m:e>
            <m:r>
              <m:rPr>
                <m:sty m:val="bi"/>
              </m:rPr>
              <w:rPr>
                <w:rFonts w:ascii="Cambria Math" w:hAnsi="Cambria Math"/>
              </w:rPr>
              <m:t>k</m:t>
            </m:r>
          </m:e>
          <m:sub>
            <m:r>
              <w:rPr>
                <w:rFonts w:ascii="Cambria Math" w:hAnsi="Cambria Math"/>
              </w:rPr>
              <m:t>0</m:t>
            </m:r>
          </m:sub>
        </m:sSub>
      </m:oMath>
      <w:r>
        <w:rPr>
          <w:rFonts w:hint="eastAsia"/>
        </w:rPr>
        <w:t>，调制度为</w:t>
      </w:r>
      <w:r>
        <w:t xml:space="preserve"> </w:t>
      </w:r>
      <m:oMath>
        <m:r>
          <w:rPr>
            <w:rFonts w:ascii="Cambria Math" w:hAnsi="Cambria Math"/>
          </w:rPr>
          <m:t>μ</m:t>
        </m:r>
      </m:oMath>
      <w:r>
        <w:rPr>
          <w:rFonts w:hint="eastAsia"/>
        </w:rPr>
        <w:t>，照明相位为</w:t>
      </w:r>
      <w:r>
        <w:t xml:space="preserve"> </w:t>
      </w:r>
      <m:oMath>
        <m:r>
          <w:rPr>
            <w:rFonts w:ascii="Cambria Math" w:hAnsi="Cambria Math"/>
          </w:rPr>
          <m:t>φ</m:t>
        </m:r>
      </m:oMath>
      <w:r>
        <w:rPr>
          <w:rFonts w:hint="eastAsia"/>
        </w:rPr>
        <w:t>。标准</w:t>
      </w:r>
      <w:r>
        <w:t xml:space="preserve"> SIM </w:t>
      </w:r>
      <w:r>
        <w:rPr>
          <w:rFonts w:hint="eastAsia"/>
        </w:rPr>
        <w:t>的理论背景可概括为</w:t>
      </w:r>
      <w:r>
        <w:t xml:space="preserve"> [12], </w:t>
      </w:r>
      <w:r>
        <w:rPr>
          <w:rFonts w:hint="eastAsia"/>
        </w:rPr>
        <w:t>[13]</w:t>
      </w:r>
      <w:r>
        <w:rPr>
          <w:rFonts w:hint="eastAsia"/>
        </w:rPr>
        <w:t>：</w:t>
      </w:r>
    </w:p>
    <w:p w14:paraId="0926B5B3" w14:textId="77777777" w:rsidR="00E25AC4" w:rsidRDefault="00AA4D44">
      <w:pPr>
        <w:pStyle w:val="a0"/>
        <w:spacing w:before="80" w:after="80"/>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φ</m:t>
              </m:r>
            </m:sub>
          </m:sSub>
          <m:r>
            <m:rPr>
              <m:sty m:val="p"/>
            </m:rPr>
            <w:rPr>
              <w:rFonts w:ascii="Cambria Math" w:hAnsi="Cambria Math"/>
            </w:rPr>
            <m:t>(</m:t>
          </m:r>
          <m:r>
            <m:rPr>
              <m:sty m:val="bi"/>
            </m:rP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opt</m:t>
              </m:r>
            </m:sub>
          </m:sSub>
          <m:r>
            <m:rPr>
              <m:sty m:val="p"/>
            </m:rPr>
            <w:rPr>
              <w:rFonts w:ascii="Cambria Math" w:hAnsi="Cambria Math"/>
            </w:rPr>
            <m:t>(</m:t>
          </m:r>
          <m:r>
            <m:rPr>
              <m:sty m:val="bi"/>
            </m:rPr>
            <w:rPr>
              <w:rFonts w:ascii="Cambria Math" w:hAnsi="Cambria Math"/>
            </w:rPr>
            <m:t>k</m:t>
          </m:r>
          <m:r>
            <m:rPr>
              <m:sty m:val="p"/>
            </m:rPr>
            <w:rPr>
              <w:rFonts w:ascii="Cambria Math" w:hAnsi="Cambria Math"/>
            </w:rPr>
            <m:t>)</m:t>
          </m:r>
          <m:d>
            <m:dPr>
              <m:begChr m:val="["/>
              <m:endChr m:val="]"/>
              <m:ctrlPr>
                <w:rPr>
                  <w:rFonts w:ascii="Cambria Math" w:hAnsi="Cambria Math"/>
                </w:rPr>
              </m:ctrlPr>
            </m:dPr>
            <m:e>
              <m:r>
                <w:rPr>
                  <w:rFonts w:ascii="Cambria Math" w:hAnsi="Cambria Math"/>
                </w:rPr>
                <m:t>O</m:t>
              </m:r>
              <m:r>
                <m:rPr>
                  <m:sty m:val="p"/>
                </m:rPr>
                <w:rPr>
                  <w:rFonts w:ascii="Cambria Math" w:hAnsi="Cambria Math"/>
                </w:rPr>
                <m:t>(</m:t>
              </m:r>
              <m:r>
                <m:rPr>
                  <m:sty m:val="bi"/>
                </m:rP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μ</m:t>
                  </m:r>
                </m:num>
                <m:den>
                  <m:r>
                    <w:rPr>
                      <w:rFonts w:ascii="Cambria Math" w:hAnsi="Cambria Math"/>
                    </w:rPr>
                    <m:t>2</m:t>
                  </m:r>
                </m:den>
              </m:f>
              <m:sSup>
                <m:sSupPr>
                  <m:ctrlPr>
                    <w:rPr>
                      <w:rFonts w:ascii="Cambria Math" w:hAnsi="Cambria Math"/>
                    </w:rPr>
                  </m:ctrlPr>
                </m:sSupPr>
                <m:e>
                  <m:r>
                    <w:rPr>
                      <w:rFonts w:ascii="Cambria Math" w:hAnsi="Cambria Math"/>
                    </w:rPr>
                    <m:t>e</m:t>
                  </m:r>
                </m:e>
                <m:sup>
                  <m:r>
                    <w:rPr>
                      <w:rFonts w:ascii="Cambria Math" w:hAnsi="Cambria Math"/>
                    </w:rPr>
                    <m:t>iφ</m:t>
                  </m:r>
                </m:sup>
              </m:sSup>
              <m:r>
                <w:rPr>
                  <w:rFonts w:ascii="Cambria Math" w:hAnsi="Cambria Math"/>
                </w:rPr>
                <m:t>O</m:t>
              </m:r>
              <m:r>
                <m:rPr>
                  <m:sty m:val="p"/>
                </m:rPr>
                <w:rPr>
                  <w:rFonts w:ascii="Cambria Math" w:hAnsi="Cambria Math"/>
                </w:rPr>
                <m:t>(</m:t>
              </m:r>
              <m:r>
                <m:rPr>
                  <m:sty m:val="bi"/>
                </m:rPr>
                <w:rPr>
                  <w:rFonts w:ascii="Cambria Math" w:hAnsi="Cambria Math"/>
                </w:rPr>
                <m:t>k</m:t>
              </m:r>
              <m:r>
                <m:rPr>
                  <m:sty m:val="p"/>
                </m:rPr>
                <w:rPr>
                  <w:rFonts w:ascii="Cambria Math" w:hAnsi="Cambria Math"/>
                </w:rPr>
                <m:t>-</m:t>
              </m:r>
              <m:sSub>
                <m:sSubPr>
                  <m:ctrlPr>
                    <w:rPr>
                      <w:rFonts w:ascii="Cambria Math" w:hAnsi="Cambria Math"/>
                    </w:rPr>
                  </m:ctrlPr>
                </m:sSubPr>
                <m:e>
                  <m:r>
                    <m:rPr>
                      <m:sty m:val="bi"/>
                    </m:rPr>
                    <w:rPr>
                      <w:rFonts w:ascii="Cambria Math" w:hAnsi="Cambria Math"/>
                    </w:rPr>
                    <m:t>k</m:t>
                  </m:r>
                </m:e>
                <m:sub>
                  <m: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μ</m:t>
                  </m:r>
                </m:num>
                <m:den>
                  <m:r>
                    <w:rPr>
                      <w:rFonts w:ascii="Cambria Math" w:hAnsi="Cambria Math"/>
                    </w:rPr>
                    <m:t>2</m:t>
                  </m:r>
                </m:den>
              </m:f>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iφ</m:t>
                  </m:r>
                </m:sup>
              </m:sSup>
              <m:r>
                <w:rPr>
                  <w:rFonts w:ascii="Cambria Math" w:hAnsi="Cambria Math"/>
                </w:rPr>
                <m:t>O</m:t>
              </m:r>
              <m:r>
                <m:rPr>
                  <m:sty m:val="p"/>
                </m:rPr>
                <w:rPr>
                  <w:rFonts w:ascii="Cambria Math" w:hAnsi="Cambria Math"/>
                </w:rPr>
                <m:t>(</m:t>
              </m:r>
              <m:r>
                <m:rPr>
                  <m:sty m:val="bi"/>
                </m:rPr>
                <w:rPr>
                  <w:rFonts w:ascii="Cambria Math" w:hAnsi="Cambria Math"/>
                </w:rPr>
                <m:t>k</m:t>
              </m:r>
              <m:r>
                <m:rPr>
                  <m:sty m:val="p"/>
                </m:rPr>
                <w:rPr>
                  <w:rFonts w:ascii="Cambria Math" w:hAnsi="Cambria Math"/>
                </w:rPr>
                <m:t>+</m:t>
              </m:r>
              <m:sSub>
                <m:sSubPr>
                  <m:ctrlPr>
                    <w:rPr>
                      <w:rFonts w:ascii="Cambria Math" w:hAnsi="Cambria Math"/>
                    </w:rPr>
                  </m:ctrlPr>
                </m:sSubPr>
                <m:e>
                  <m:r>
                    <m:rPr>
                      <m:sty m:val="bi"/>
                    </m:rPr>
                    <w:rPr>
                      <w:rFonts w:ascii="Cambria Math" w:hAnsi="Cambria Math"/>
                    </w:rPr>
                    <m:t>k</m:t>
                  </m:r>
                </m:e>
                <m:sub>
                  <m:r>
                    <w:rPr>
                      <w:rFonts w:ascii="Cambria Math" w:hAnsi="Cambria Math"/>
                    </w:rPr>
                    <m:t>0</m:t>
                  </m:r>
                </m:sub>
              </m:sSub>
              <m:r>
                <m:rPr>
                  <m:sty m:val="p"/>
                </m:rPr>
                <w:rPr>
                  <w:rFonts w:ascii="Cambria Math" w:hAnsi="Cambria Math"/>
                </w:rPr>
                <m:t>)</m:t>
              </m:r>
            </m:e>
          </m:d>
          <m:r>
            <m:rPr>
              <m:sty m:val="p"/>
            </m:rPr>
            <w:rPr>
              <w:rFonts w:ascii="Cambria Math" w:hAnsi="Cambria Math"/>
            </w:rPr>
            <m:t>.</m:t>
          </m:r>
        </m:oMath>
      </m:oMathPara>
    </w:p>
    <w:p w14:paraId="2D155152" w14:textId="77777777" w:rsidR="00E25AC4" w:rsidRDefault="00AA4D44">
      <w:pPr>
        <w:pStyle w:val="FirstParagraph"/>
        <w:jc w:val="both"/>
      </w:pPr>
      <m:oMath>
        <m:sSub>
          <m:sSubPr>
            <m:ctrlPr>
              <w:rPr>
                <w:rFonts w:ascii="Cambria Math" w:hAnsi="Cambria Math"/>
              </w:rPr>
            </m:ctrlPr>
          </m:sSubPr>
          <m:e>
            <m:r>
              <w:rPr>
                <w:rFonts w:ascii="Cambria Math" w:hAnsi="Cambria Math"/>
              </w:rPr>
              <m:t>H</m:t>
            </m:r>
          </m:e>
          <m:sub>
            <m:r>
              <m:rPr>
                <m:sty m:val="p"/>
              </m:rPr>
              <w:rPr>
                <w:rFonts w:ascii="Cambria Math" w:hAnsi="Cambria Math"/>
              </w:rPr>
              <m:t>opt</m:t>
            </m:r>
          </m:sub>
        </m:sSub>
      </m:oMath>
      <w:r>
        <w:t xml:space="preserve"> </w:t>
      </w:r>
      <w:r>
        <w:rPr>
          <w:rFonts w:hint="eastAsia"/>
        </w:rPr>
        <w:t>为理论光学传递函数。当前混合面板仅演示一对移位侧带，其显示前幅值为：</w:t>
      </w:r>
    </w:p>
    <w:p w14:paraId="25DD8098" w14:textId="77777777" w:rsidR="00E25AC4" w:rsidRDefault="00AA4D44">
      <w:pPr>
        <w:pStyle w:val="a0"/>
        <w:spacing w:before="80" w:after="80"/>
      </w:pPr>
      <m:oMathPara>
        <m:oMathParaPr>
          <m:jc m:val="center"/>
        </m:oMathParaPr>
        <m:oMath>
          <m:r>
            <w:rPr>
              <w:rFonts w:ascii="Cambria Math" w:hAnsi="Cambria Math"/>
            </w:rPr>
            <m:t>B</m:t>
          </m:r>
          <m:r>
            <m:rPr>
              <m:sty m:val="p"/>
            </m:rPr>
            <w:rPr>
              <w:rFonts w:ascii="Cambria Math" w:hAnsi="Cambria Math"/>
            </w:rPr>
            <m:t>(</m:t>
          </m:r>
          <m:r>
            <m:rPr>
              <m:sty m:val="bi"/>
            </m:rP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demo</m:t>
              </m:r>
            </m:sub>
          </m:sSub>
          <m:r>
            <m:rPr>
              <m:sty m:val="p"/>
            </m:rPr>
            <w:rPr>
              <w:rFonts w:ascii="Cambria Math" w:hAnsi="Cambria Math"/>
            </w:rPr>
            <m:t>(</m:t>
          </m:r>
          <m:r>
            <m:rPr>
              <m:sty m:val="bi"/>
            </m:rPr>
            <w:rPr>
              <w:rFonts w:ascii="Cambria Math" w:hAnsi="Cambria Math"/>
            </w:rPr>
            <m:t>k</m:t>
          </m:r>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μ</m:t>
                  </m:r>
                </m:num>
                <m:den>
                  <m:r>
                    <w:rPr>
                      <w:rFonts w:ascii="Cambria Math" w:hAnsi="Cambria Math"/>
                    </w:rPr>
                    <m:t>2</m:t>
                  </m:r>
                </m:den>
              </m:f>
              <m:d>
                <m:dPr>
                  <m:begChr m:val="["/>
                  <m:endChr m:val="]"/>
                  <m:ctrlPr>
                    <w:rPr>
                      <w:rFonts w:ascii="Cambria Math" w:hAnsi="Cambria Math"/>
                    </w:rPr>
                  </m:ctrlPr>
                </m:dPr>
                <m:e>
                  <m:r>
                    <w:rPr>
                      <w:rFonts w:ascii="Cambria Math" w:hAnsi="Cambria Math"/>
                    </w:rPr>
                    <m:t>O</m:t>
                  </m:r>
                  <m:r>
                    <m:rPr>
                      <m:sty m:val="p"/>
                    </m:rPr>
                    <w:rPr>
                      <w:rFonts w:ascii="Cambria Math" w:hAnsi="Cambria Math"/>
                    </w:rPr>
                    <m:t>(</m:t>
                  </m:r>
                  <m:r>
                    <m:rPr>
                      <m:sty m:val="bi"/>
                    </m:rPr>
                    <w:rPr>
                      <w:rFonts w:ascii="Cambria Math" w:hAnsi="Cambria Math"/>
                    </w:rPr>
                    <m:t>k</m:t>
                  </m:r>
                  <m:r>
                    <m:rPr>
                      <m:sty m:val="p"/>
                    </m:rPr>
                    <w:rPr>
                      <w:rFonts w:ascii="Cambria Math" w:hAnsi="Cambria Math"/>
                    </w:rPr>
                    <m:t>-</m:t>
                  </m:r>
                  <m:sSub>
                    <m:sSubPr>
                      <m:ctrlPr>
                        <w:rPr>
                          <w:rFonts w:ascii="Cambria Math" w:hAnsi="Cambria Math"/>
                        </w:rPr>
                      </m:ctrlPr>
                    </m:sSubPr>
                    <m:e>
                      <m:r>
                        <m:rPr>
                          <m:sty m:val="bi"/>
                        </m:rPr>
                        <w:rPr>
                          <w:rFonts w:ascii="Cambria Math" w:hAnsi="Cambria Math"/>
                        </w:rPr>
                        <m:t>k</m:t>
                      </m:r>
                    </m:e>
                    <m:sub>
                      <m:r>
                        <w:rPr>
                          <w:rFonts w:ascii="Cambria Math" w:hAnsi="Cambria Math"/>
                        </w:rPr>
                        <m:t>0</m:t>
                      </m:r>
                    </m:sub>
                  </m:sSub>
                  <m:r>
                    <m:rPr>
                      <m:sty m:val="p"/>
                    </m:rPr>
                    <w:rPr>
                      <w:rFonts w:ascii="Cambria Math" w:hAnsi="Cambria Math"/>
                    </w:rPr>
                    <m:t>)+</m:t>
                  </m:r>
                  <m:r>
                    <w:rPr>
                      <w:rFonts w:ascii="Cambria Math" w:hAnsi="Cambria Math"/>
                    </w:rPr>
                    <m:t>O</m:t>
                  </m:r>
                  <m:r>
                    <m:rPr>
                      <m:sty m:val="p"/>
                    </m:rPr>
                    <w:rPr>
                      <w:rFonts w:ascii="Cambria Math" w:hAnsi="Cambria Math"/>
                    </w:rPr>
                    <m:t>(</m:t>
                  </m:r>
                  <m:r>
                    <m:rPr>
                      <m:sty m:val="bi"/>
                    </m:rPr>
                    <w:rPr>
                      <w:rFonts w:ascii="Cambria Math" w:hAnsi="Cambria Math"/>
                    </w:rPr>
                    <m:t>k</m:t>
                  </m:r>
                  <m:r>
                    <m:rPr>
                      <m:sty m:val="p"/>
                    </m:rPr>
                    <w:rPr>
                      <w:rFonts w:ascii="Cambria Math" w:hAnsi="Cambria Math"/>
                    </w:rPr>
                    <m:t>+</m:t>
                  </m:r>
                  <m:sSub>
                    <m:sSubPr>
                      <m:ctrlPr>
                        <w:rPr>
                          <w:rFonts w:ascii="Cambria Math" w:hAnsi="Cambria Math"/>
                        </w:rPr>
                      </m:ctrlPr>
                    </m:sSubPr>
                    <m:e>
                      <m:r>
                        <m:rPr>
                          <m:sty m:val="bi"/>
                        </m:rPr>
                        <w:rPr>
                          <w:rFonts w:ascii="Cambria Math" w:hAnsi="Cambria Math"/>
                        </w:rPr>
                        <m:t>k</m:t>
                      </m:r>
                    </m:e>
                    <m:sub>
                      <m:r>
                        <w:rPr>
                          <w:rFonts w:ascii="Cambria Math" w:hAnsi="Cambria Math"/>
                        </w:rPr>
                        <m:t>0</m:t>
                      </m:r>
                    </m:sub>
                  </m:sSub>
                  <m:r>
                    <m:rPr>
                      <m:sty m:val="p"/>
                    </m:rPr>
                    <w:rPr>
                      <w:rFonts w:ascii="Cambria Math" w:hAnsi="Cambria Math"/>
                    </w:rPr>
                    <m:t>)</m:t>
                  </m:r>
                </m:e>
              </m:d>
            </m:e>
          </m:d>
          <m:r>
            <m:rPr>
              <m:sty m:val="p"/>
            </m:rPr>
            <w:rPr>
              <w:rFonts w:ascii="Cambria Math" w:hAnsi="Cambria Math"/>
            </w:rPr>
            <m:t>.</m:t>
          </m:r>
        </m:oMath>
      </m:oMathPara>
    </w:p>
    <w:p w14:paraId="3D9B1DD6" w14:textId="77777777" w:rsidR="00E25AC4" w:rsidRDefault="00AA4D44">
      <w:pPr>
        <w:pStyle w:val="FirstParagraph"/>
        <w:jc w:val="both"/>
      </w:pPr>
      <m:oMath>
        <m:sSub>
          <m:sSubPr>
            <m:ctrlPr>
              <w:rPr>
                <w:rFonts w:ascii="Cambria Math" w:hAnsi="Cambria Math"/>
              </w:rPr>
            </m:ctrlPr>
          </m:sSubPr>
          <m:e>
            <m:r>
              <w:rPr>
                <w:rFonts w:ascii="Cambria Math" w:hAnsi="Cambria Math"/>
              </w:rPr>
              <m:t>P</m:t>
            </m:r>
          </m:e>
          <m:sub>
            <m:r>
              <m:rPr>
                <m:sty m:val="p"/>
              </m:rPr>
              <w:rPr>
                <w:rFonts w:ascii="Cambria Math" w:hAnsi="Cambria Math"/>
              </w:rPr>
              <m:t>demo</m:t>
            </m:r>
          </m:sub>
        </m:sSub>
      </m:oMath>
      <w:r>
        <w:t xml:space="preserve"> </w:t>
      </w:r>
      <w:r>
        <w:rPr>
          <w:rFonts w:hint="eastAsia"/>
        </w:rPr>
        <w:t>是代码定义的非负示意</w:t>
      </w:r>
      <w:r>
        <w:t xml:space="preserve"> pupil </w:t>
      </w:r>
      <w:r>
        <w:rPr>
          <w:rFonts w:hint="eastAsia"/>
        </w:rPr>
        <w:t>权重，不等同于实测</w:t>
      </w:r>
      <w:r>
        <w:t xml:space="preserve"> </w:t>
      </w:r>
      <m:oMath>
        <m:sSub>
          <m:sSubPr>
            <m:ctrlPr>
              <w:rPr>
                <w:rFonts w:ascii="Cambria Math" w:hAnsi="Cambria Math"/>
              </w:rPr>
            </m:ctrlPr>
          </m:sSubPr>
          <m:e>
            <m:r>
              <w:rPr>
                <w:rFonts w:ascii="Cambria Math" w:hAnsi="Cambria Math"/>
              </w:rPr>
              <m:t>H</m:t>
            </m:r>
          </m:e>
          <m:sub>
            <m:r>
              <m:rPr>
                <m:sty m:val="p"/>
              </m:rPr>
              <w:rPr>
                <w:rFonts w:ascii="Cambria Math" w:hAnsi="Cambria Math"/>
              </w:rPr>
              <m:t>opt</m:t>
            </m:r>
          </m:sub>
        </m:sSub>
      </m:oMath>
      <w:r>
        <w:t>。</w:t>
      </w:r>
      <m:oMath>
        <m:r>
          <w:rPr>
            <w:rFonts w:ascii="Cambria Math" w:hAnsi="Cambria Math"/>
          </w:rPr>
          <m:t>B</m:t>
        </m:r>
      </m:oMath>
      <w:r>
        <w:t xml:space="preserve"> </w:t>
      </w:r>
      <w:r>
        <w:rPr>
          <w:rFonts w:hint="eastAsia"/>
        </w:rPr>
        <w:t>还经过显示映射，并非直接显示复数频谱。恢复支持面板则将</w:t>
      </w:r>
      <w:r>
        <w:t xml:space="preserve"> 0°</w:t>
      </w:r>
      <w:r>
        <w:t>、</w:t>
      </w:r>
      <w:r>
        <w:t>60°</w:t>
      </w:r>
      <w:r>
        <w:t>、</w:t>
      </w:r>
      <w:r>
        <w:t xml:space="preserve">120° </w:t>
      </w:r>
      <w:r>
        <w:rPr>
          <w:rFonts w:hint="eastAsia"/>
        </w:rPr>
        <w:t>的中心与移位覆盖组合，作用于经过显示处理的样本频谱幅值。两类面板帮助比较</w:t>
      </w:r>
      <w:r>
        <w:rPr>
          <w:rFonts w:hint="eastAsia"/>
        </w:rPr>
        <w:lastRenderedPageBreak/>
        <w:t>“频谱搬移”和“多方向覆盖”，没有执行完整多相位采集、相位分离和定量重建。改变载波会改变侧带和支持范围，而未变化样本的源频谱保持其原有含义。</w:t>
      </w:r>
    </w:p>
    <w:p w14:paraId="02D473B0" w14:textId="77777777" w:rsidR="00E25AC4" w:rsidRDefault="00AA4D44">
      <w:pPr>
        <w:pStyle w:val="a0"/>
        <w:keepNext/>
        <w:spacing w:before="200" w:after="200"/>
        <w:jc w:val="center"/>
      </w:pPr>
      <w:r>
        <w:rPr>
          <w:i/>
          <w:sz w:val="18"/>
        </w:rPr>
        <w:t>[</w:t>
      </w:r>
      <w:r>
        <w:rPr>
          <w:i/>
          <w:sz w:val="18"/>
        </w:rPr>
        <w:t>图</w:t>
      </w:r>
      <w:r>
        <w:rPr>
          <w:i/>
          <w:sz w:val="18"/>
        </w:rPr>
        <w:t xml:space="preserve"> 2</w:t>
      </w:r>
      <w:r>
        <w:rPr>
          <w:i/>
          <w:sz w:val="18"/>
        </w:rPr>
        <w:t>：待插入图片</w:t>
      </w:r>
      <w:r>
        <w:rPr>
          <w:i/>
          <w:sz w:val="18"/>
        </w:rPr>
        <w:t>]</w:t>
      </w:r>
    </w:p>
    <w:p w14:paraId="2B66CB5B" w14:textId="77777777" w:rsidR="00E25AC4" w:rsidRDefault="00AA4D44">
      <w:pPr>
        <w:pStyle w:val="a0"/>
        <w:spacing w:after="120"/>
      </w:pPr>
      <w:r>
        <w:rPr>
          <w:rFonts w:hint="eastAsia"/>
          <w:sz w:val="16"/>
        </w:rPr>
        <w:t>图</w:t>
      </w:r>
      <w:r>
        <w:rPr>
          <w:sz w:val="16"/>
        </w:rPr>
        <w:t xml:space="preserve"> 2. </w:t>
      </w:r>
      <w:r>
        <w:rPr>
          <w:rFonts w:hint="eastAsia"/>
          <w:sz w:val="16"/>
        </w:rPr>
        <w:t>教学输入与可观察反馈的对应关系。调焦、</w:t>
      </w:r>
      <w:r>
        <w:rPr>
          <w:rFonts w:hint="eastAsia"/>
          <w:sz w:val="16"/>
        </w:rPr>
        <w:t>NA</w:t>
      </w:r>
      <w:r>
        <w:rPr>
          <w:sz w:val="16"/>
        </w:rPr>
        <w:t xml:space="preserve"> </w:t>
      </w:r>
      <w:r>
        <w:rPr>
          <w:rFonts w:hint="eastAsia"/>
          <w:sz w:val="16"/>
        </w:rPr>
        <w:t>和照明载波分别改变样本显示、光锥几何及侧带</w:t>
      </w:r>
      <w:r>
        <w:rPr>
          <w:rFonts w:hint="eastAsia"/>
          <w:sz w:val="16"/>
        </w:rPr>
        <w:t>/</w:t>
      </w:r>
      <w:r>
        <w:rPr>
          <w:rFonts w:hint="eastAsia"/>
          <w:sz w:val="16"/>
        </w:rPr>
        <w:t>支持范围；光学反馈包含人工映射和简化数值显示。</w:t>
      </w:r>
    </w:p>
    <w:p w14:paraId="2194202E" w14:textId="77777777" w:rsidR="00E25AC4" w:rsidRDefault="00AA4D44">
      <w:pPr>
        <w:pStyle w:val="3"/>
      </w:pPr>
      <w:bookmarkStart w:id="12" w:name="thz-s-snom-演示"/>
      <w:bookmarkEnd w:id="11"/>
      <w:r>
        <w:t xml:space="preserve">G. THz s-SNOM </w:t>
      </w:r>
      <w:r>
        <w:t>演示</w:t>
      </w:r>
    </w:p>
    <w:p w14:paraId="4AA33F14" w14:textId="77777777" w:rsidR="00E25AC4" w:rsidRDefault="00AA4D44">
      <w:pPr>
        <w:pStyle w:val="FirstParagraph"/>
        <w:jc w:val="both"/>
      </w:pPr>
      <w:r>
        <w:t xml:space="preserve">SNOM </w:t>
      </w:r>
      <w:r>
        <w:rPr>
          <w:rFonts w:hint="eastAsia"/>
        </w:rPr>
        <w:t>模块提供“选择探针—安装—启动系统”的操作流程，随后演示</w:t>
      </w:r>
      <w:r>
        <w:t xml:space="preserve"> THz </w:t>
      </w:r>
      <w:r>
        <w:rPr>
          <w:rFonts w:hint="eastAsia"/>
        </w:rPr>
        <w:t>产生与传播、探针敲</w:t>
      </w:r>
      <w:r>
        <w:rPr>
          <w:rFonts w:hint="eastAsia"/>
        </w:rPr>
        <w:t>击、近场耦合、背景抑制及栅格扫描。</w:t>
      </w:r>
      <w:r>
        <w:rPr>
          <w:rFonts w:hint="eastAsia"/>
        </w:rPr>
        <w:t>THz</w:t>
      </w:r>
      <w:r>
        <w:t xml:space="preserve"> </w:t>
      </w:r>
      <w:r>
        <w:rPr>
          <w:rFonts w:hint="eastAsia"/>
        </w:rPr>
        <w:t>时域光谱和近场显微方法为教学内容提供理论背景</w:t>
      </w:r>
      <w:r>
        <w:t xml:space="preserve"> [14]–[17]</w:t>
      </w:r>
      <w:r>
        <w:t>。</w:t>
      </w:r>
    </w:p>
    <w:p w14:paraId="73B7CF35" w14:textId="77777777" w:rsidR="00E25AC4" w:rsidRDefault="00AA4D44">
      <w:pPr>
        <w:pStyle w:val="a0"/>
        <w:jc w:val="both"/>
      </w:pPr>
      <w:r>
        <w:rPr>
          <w:rFonts w:hint="eastAsia"/>
        </w:rPr>
        <w:t>程序通过周期性探针运动、扫描光标、示意波形和表面</w:t>
      </w:r>
      <w:r>
        <w:rPr>
          <w:rFonts w:hint="eastAsia"/>
        </w:rPr>
        <w:t>/</w:t>
      </w:r>
      <w:r>
        <w:rPr>
          <w:rFonts w:hint="eastAsia"/>
        </w:rPr>
        <w:t>近场图像连接阶段与观察结果。高次谐波内容用于解释在探针敲击频率的整数倍处提取散射信号分量，以帮助区分近场贡献与背景</w:t>
      </w:r>
      <w:r>
        <w:t xml:space="preserve"> [16], </w:t>
      </w:r>
      <w:r>
        <w:rPr>
          <w:rFonts w:hint="eastAsia"/>
        </w:rPr>
        <w:t>[17]</w:t>
      </w:r>
      <w:r>
        <w:rPr>
          <w:rFonts w:hint="eastAsia"/>
        </w:rPr>
        <w:t>；当前界面展示这一概念，不对实测信号执行谐波解调。</w:t>
      </w:r>
    </w:p>
    <w:p w14:paraId="6D952880" w14:textId="77777777" w:rsidR="00E25AC4" w:rsidRDefault="00AA4D44">
      <w:pPr>
        <w:pStyle w:val="a0"/>
        <w:jc w:val="both"/>
      </w:pPr>
      <w:r>
        <w:rPr>
          <w:rFonts w:hint="eastAsia"/>
        </w:rPr>
        <w:t>三种探针的</w:t>
      </w:r>
      <w:r>
        <w:t xml:space="preserve"> 3×</w:t>
      </w:r>
      <w:r>
        <w:t>、</w:t>
      </w:r>
      <w:r>
        <w:t>2×</w:t>
      </w:r>
      <w:r>
        <w:t>、</w:t>
      </w:r>
      <w:r>
        <w:t xml:space="preserve">1× </w:t>
      </w:r>
      <w:r>
        <w:rPr>
          <w:rFonts w:hint="eastAsia"/>
        </w:rPr>
        <w:t>标签表示相对细节的教学比较。波形和图像均为程序生成示例，支持流程理解与概念观察；任意像素的实测波形、实验幅相反演和介电常数求解不属</w:t>
      </w:r>
      <w:r>
        <w:rPr>
          <w:rFonts w:hint="eastAsia"/>
        </w:rPr>
        <w:t>于该模块。设备模型的来源与部件对应关系需与作者持有的项目资料核对。</w:t>
      </w:r>
    </w:p>
    <w:p w14:paraId="0E3FA745" w14:textId="77777777" w:rsidR="00E25AC4" w:rsidRDefault="00AA4D44">
      <w:pPr>
        <w:pStyle w:val="2"/>
        <w:jc w:val="center"/>
      </w:pPr>
      <w:bookmarkStart w:id="13" w:name="与实验环境结合的-ai-指引"/>
      <w:bookmarkEnd w:id="12"/>
      <w:bookmarkEnd w:id="5"/>
      <w:r>
        <w:t xml:space="preserve">IV. </w:t>
      </w:r>
      <w:r>
        <w:t>与实验环境结合的</w:t>
      </w:r>
      <w:r>
        <w:t xml:space="preserve"> AI </w:t>
      </w:r>
      <w:r>
        <w:t>指引</w:t>
      </w:r>
    </w:p>
    <w:p w14:paraId="3B00C3C7" w14:textId="77777777" w:rsidR="00E25AC4" w:rsidRDefault="00AA4D44">
      <w:pPr>
        <w:pStyle w:val="3"/>
      </w:pPr>
      <w:bookmarkStart w:id="14" w:name="对话入口与知识数据流"/>
      <w:r>
        <w:t xml:space="preserve">A. </w:t>
      </w:r>
      <w:r>
        <w:t>对话入口与知识数据流</w:t>
      </w:r>
    </w:p>
    <w:p w14:paraId="27638E99" w14:textId="77777777" w:rsidR="00E25AC4" w:rsidRDefault="00AA4D44">
      <w:pPr>
        <w:pStyle w:val="FirstParagraph"/>
        <w:jc w:val="both"/>
      </w:pPr>
      <w:r>
        <w:rPr>
          <w:rFonts w:hint="eastAsia"/>
        </w:rPr>
        <w:t>动态小助手在屏幕角落提供问答入口，本地问候与空闲建议用于提示学习主题。明确提交的问题通过</w:t>
      </w:r>
      <w:r>
        <w:t xml:space="preserve"> Python </w:t>
      </w:r>
      <w:r>
        <w:rPr>
          <w:rFonts w:hint="eastAsia"/>
        </w:rPr>
        <w:t>网关发送到</w:t>
      </w:r>
      <w:r>
        <w:t xml:space="preserve"> </w:t>
      </w:r>
      <w:r>
        <w:rPr>
          <w:rFonts w:hint="eastAsia"/>
        </w:rPr>
        <w:t>DeepSeek</w:t>
      </w:r>
      <w:r>
        <w:rPr>
          <w:rFonts w:hint="eastAsia"/>
        </w:rPr>
        <w:t>。网关将人工整理的项目知识、交互描述和本次状态快照组合为上下文；模型无需访问项目文件或观察画面即可获得相关部件与可用</w:t>
      </w:r>
      <w:r>
        <w:rPr>
          <w:rFonts w:hint="eastAsia"/>
        </w:rPr>
        <w:t>活动的信息。</w:t>
      </w:r>
    </w:p>
    <w:p w14:paraId="31624D3D" w14:textId="77777777" w:rsidR="00E25AC4" w:rsidRDefault="00AA4D44">
      <w:pPr>
        <w:pStyle w:val="a0"/>
        <w:jc w:val="both"/>
      </w:pPr>
      <w:r>
        <w:rPr>
          <w:rFonts w:hint="eastAsia"/>
        </w:rPr>
        <w:t>系统使用固定知识包注入和共享动作目录。知识包支持概念解释，动作目录规定具体控制步骤，两者通过当前实验状态连接。响应携带提示词和知识版本，便于将后续记录对应到实际运行配置。语音转写是独立入口：录音先形成文字草稿，用户确认后才进入相同问答流程。</w:t>
      </w:r>
    </w:p>
    <w:p w14:paraId="2339E5D8" w14:textId="77777777" w:rsidR="00E25AC4" w:rsidRDefault="00AA4D44">
      <w:pPr>
        <w:pStyle w:val="a0"/>
        <w:keepNext/>
        <w:spacing w:before="200" w:after="200"/>
        <w:jc w:val="center"/>
      </w:pPr>
      <w:r>
        <w:rPr>
          <w:i/>
          <w:sz w:val="18"/>
        </w:rPr>
        <w:t>[</w:t>
      </w:r>
      <w:r>
        <w:rPr>
          <w:i/>
          <w:sz w:val="18"/>
        </w:rPr>
        <w:t>图</w:t>
      </w:r>
      <w:r>
        <w:rPr>
          <w:i/>
          <w:sz w:val="18"/>
        </w:rPr>
        <w:t xml:space="preserve"> 3</w:t>
      </w:r>
      <w:r>
        <w:rPr>
          <w:i/>
          <w:sz w:val="18"/>
        </w:rPr>
        <w:t>：待插入图片</w:t>
      </w:r>
      <w:r>
        <w:rPr>
          <w:i/>
          <w:sz w:val="18"/>
        </w:rPr>
        <w:t>]</w:t>
      </w:r>
    </w:p>
    <w:p w14:paraId="7F334A49" w14:textId="77777777" w:rsidR="00E25AC4" w:rsidRDefault="00AA4D44">
      <w:pPr>
        <w:pStyle w:val="a0"/>
        <w:spacing w:after="120"/>
      </w:pPr>
      <w:r>
        <w:rPr>
          <w:rFonts w:hint="eastAsia"/>
          <w:sz w:val="16"/>
        </w:rPr>
        <w:t>图</w:t>
      </w:r>
      <w:r>
        <w:rPr>
          <w:sz w:val="16"/>
        </w:rPr>
        <w:t xml:space="preserve"> 3. </w:t>
      </w:r>
      <w:r>
        <w:rPr>
          <w:rFonts w:hint="eastAsia"/>
          <w:sz w:val="16"/>
        </w:rPr>
        <w:t>状态约束的问答架构。模型选择候选解释或指引，程序负责可用性校验、操作文案和响应时效；格式修复保持同一状态权限，实验操作由玩家完成。</w:t>
      </w:r>
    </w:p>
    <w:p w14:paraId="6DB5C2E9" w14:textId="77777777" w:rsidR="00E25AC4" w:rsidRDefault="00AA4D44">
      <w:pPr>
        <w:pStyle w:val="3"/>
      </w:pPr>
      <w:bookmarkStart w:id="15" w:name="任务状态与可用活动"/>
      <w:bookmarkEnd w:id="14"/>
      <w:r>
        <w:t xml:space="preserve">B. </w:t>
      </w:r>
      <w:r>
        <w:t>任务状态与可用活动</w:t>
      </w:r>
    </w:p>
    <w:p w14:paraId="7103502A" w14:textId="77777777" w:rsidR="00E25AC4" w:rsidRDefault="00E25AC4">
      <w:pPr>
        <w:spacing w:after="0"/>
        <w:sectPr w:rsidR="00E25AC4">
          <w:footnotePr>
            <w:numRestart w:val="eachSect"/>
          </w:footnotePr>
          <w:type w:val="continuous"/>
          <w:pgSz w:w="12240" w:h="15840"/>
          <w:pgMar w:top="1080" w:right="900" w:bottom="1440" w:left="900" w:header="720" w:footer="720" w:gutter="0"/>
          <w:cols w:num="2" w:space="360"/>
        </w:sectPr>
      </w:pPr>
    </w:p>
    <w:p w14:paraId="27274E46" w14:textId="77777777" w:rsidR="00E25AC4" w:rsidRDefault="00AA4D44">
      <w:pPr>
        <w:pStyle w:val="FirstParagraph"/>
        <w:keepNext/>
        <w:spacing w:after="120"/>
      </w:pPr>
      <w:r>
        <w:rPr>
          <w:rFonts w:hint="eastAsia"/>
          <w:b/>
          <w:bCs/>
          <w:sz w:val="16"/>
        </w:rPr>
        <w:t>表</w:t>
      </w:r>
      <w:r>
        <w:rPr>
          <w:b/>
          <w:bCs/>
          <w:sz w:val="16"/>
        </w:rPr>
        <w:t xml:space="preserve"> </w:t>
      </w:r>
      <w:r>
        <w:rPr>
          <w:rFonts w:hint="eastAsia"/>
          <w:b/>
          <w:bCs/>
          <w:sz w:val="16"/>
        </w:rPr>
        <w:t>2</w:t>
      </w:r>
      <w:r>
        <w:rPr>
          <w:rFonts w:hint="eastAsia"/>
          <w:b/>
          <w:bCs/>
          <w:sz w:val="16"/>
        </w:rPr>
        <w:t>：</w:t>
      </w:r>
      <w:r>
        <w:rPr>
          <w:rFonts w:hint="eastAsia"/>
          <w:b/>
          <w:bCs/>
          <w:sz w:val="16"/>
        </w:rPr>
        <w:t>VR</w:t>
      </w:r>
      <w:r>
        <w:rPr>
          <w:b/>
          <w:bCs/>
          <w:sz w:val="16"/>
        </w:rPr>
        <w:t xml:space="preserve"> </w:t>
      </w:r>
      <w:r>
        <w:rPr>
          <w:rFonts w:hint="eastAsia"/>
          <w:b/>
          <w:bCs/>
          <w:sz w:val="16"/>
        </w:rPr>
        <w:t>活动与</w:t>
      </w:r>
      <w:r>
        <w:rPr>
          <w:b/>
          <w:bCs/>
          <w:sz w:val="16"/>
        </w:rPr>
        <w:t xml:space="preserve"> AI </w:t>
      </w:r>
      <w:r>
        <w:rPr>
          <w:rFonts w:hint="eastAsia"/>
          <w:b/>
          <w:bCs/>
          <w:sz w:val="16"/>
        </w:rPr>
        <w:t>上下文</w:t>
      </w:r>
      <w:r>
        <w:rPr>
          <w:rFonts w:hint="eastAsia"/>
          <w:b/>
          <w:bCs/>
          <w:sz w:val="16"/>
        </w:rPr>
        <w:t>的对应关系。</w:t>
      </w:r>
    </w:p>
    <w:tbl>
      <w:tblPr>
        <w:tblStyle w:val="Table"/>
        <w:tblW w:w="5000" w:type="pct"/>
        <w:tblLayout w:type="fixed"/>
        <w:tblLook w:val="0020" w:firstRow="1" w:lastRow="0" w:firstColumn="0" w:lastColumn="0" w:noHBand="0" w:noVBand="0"/>
      </w:tblPr>
      <w:tblGrid>
        <w:gridCol w:w="3552"/>
        <w:gridCol w:w="3552"/>
        <w:gridCol w:w="3552"/>
      </w:tblGrid>
      <w:tr w:rsidR="00E25AC4" w14:paraId="1BBAB34C" w14:textId="77777777" w:rsidTr="00E25AC4">
        <w:trPr>
          <w:cnfStyle w:val="100000000000" w:firstRow="1" w:lastRow="0" w:firstColumn="0" w:lastColumn="0" w:oddVBand="0" w:evenVBand="0" w:oddHBand="0" w:evenHBand="0" w:firstRowFirstColumn="0" w:firstRowLastColumn="0" w:lastRowFirstColumn="0" w:lastRowLastColumn="0"/>
          <w:tblHeader/>
        </w:trPr>
        <w:tc>
          <w:tcPr>
            <w:tcW w:w="3480" w:type="dxa"/>
          </w:tcPr>
          <w:p w14:paraId="29F2A661" w14:textId="77777777" w:rsidR="00E25AC4" w:rsidRDefault="00AA4D44">
            <w:pPr>
              <w:pStyle w:val="Compact"/>
            </w:pPr>
            <w:r>
              <w:rPr>
                <w:b/>
                <w:sz w:val="16"/>
              </w:rPr>
              <w:t xml:space="preserve">VR </w:t>
            </w:r>
            <w:r>
              <w:rPr>
                <w:rFonts w:hint="eastAsia"/>
                <w:b/>
                <w:sz w:val="16"/>
              </w:rPr>
              <w:t>情境</w:t>
            </w:r>
          </w:p>
        </w:tc>
        <w:tc>
          <w:tcPr>
            <w:tcW w:w="3480" w:type="dxa"/>
          </w:tcPr>
          <w:p w14:paraId="5CE58DA3" w14:textId="77777777" w:rsidR="00E25AC4" w:rsidRDefault="00AA4D44">
            <w:pPr>
              <w:pStyle w:val="Compact"/>
            </w:pPr>
            <w:r>
              <w:rPr>
                <w:rFonts w:hint="eastAsia"/>
                <w:b/>
                <w:sz w:val="16"/>
              </w:rPr>
              <w:t>提供的信息</w:t>
            </w:r>
          </w:p>
        </w:tc>
        <w:tc>
          <w:tcPr>
            <w:tcW w:w="3480" w:type="dxa"/>
          </w:tcPr>
          <w:p w14:paraId="6D777B1B" w14:textId="77777777" w:rsidR="00E25AC4" w:rsidRDefault="00AA4D44">
            <w:pPr>
              <w:pStyle w:val="Compact"/>
            </w:pPr>
            <w:r>
              <w:rPr>
                <w:rFonts w:hint="eastAsia"/>
                <w:b/>
                <w:sz w:val="16"/>
              </w:rPr>
              <w:t>支持的指引</w:t>
            </w:r>
          </w:p>
        </w:tc>
      </w:tr>
      <w:tr w:rsidR="00E25AC4" w14:paraId="642E8A23" w14:textId="77777777" w:rsidTr="00E25AC4">
        <w:tc>
          <w:tcPr>
            <w:tcW w:w="3480" w:type="dxa"/>
          </w:tcPr>
          <w:p w14:paraId="647D2115" w14:textId="77777777" w:rsidR="00E25AC4" w:rsidRDefault="00AA4D44">
            <w:pPr>
              <w:pStyle w:val="Compact"/>
            </w:pPr>
            <w:r>
              <w:rPr>
                <w:rFonts w:hint="eastAsia"/>
                <w:sz w:val="16"/>
              </w:rPr>
              <w:t>样本操作</w:t>
            </w:r>
          </w:p>
        </w:tc>
        <w:tc>
          <w:tcPr>
            <w:tcW w:w="3480" w:type="dxa"/>
          </w:tcPr>
          <w:p w14:paraId="2F6AFE7E" w14:textId="77777777" w:rsidR="00E25AC4" w:rsidRDefault="00AA4D44">
            <w:pPr>
              <w:pStyle w:val="Compact"/>
            </w:pPr>
            <w:r>
              <w:rPr>
                <w:rFonts w:hint="eastAsia"/>
                <w:sz w:val="16"/>
              </w:rPr>
              <w:t>手持对象、放置状态、可用动作</w:t>
            </w:r>
          </w:p>
        </w:tc>
        <w:tc>
          <w:tcPr>
            <w:tcW w:w="3480" w:type="dxa"/>
          </w:tcPr>
          <w:p w14:paraId="36B1F5C6" w14:textId="77777777" w:rsidR="00E25AC4" w:rsidRDefault="00AA4D44">
            <w:pPr>
              <w:pStyle w:val="Compact"/>
            </w:pPr>
            <w:r>
              <w:rPr>
                <w:rFonts w:hint="eastAsia"/>
                <w:sz w:val="16"/>
              </w:rPr>
              <w:t>拾取、放置、观察或取出</w:t>
            </w:r>
          </w:p>
        </w:tc>
      </w:tr>
      <w:tr w:rsidR="00E25AC4" w14:paraId="7FEF7422" w14:textId="77777777" w:rsidTr="00E25AC4">
        <w:tc>
          <w:tcPr>
            <w:tcW w:w="3480" w:type="dxa"/>
          </w:tcPr>
          <w:p w14:paraId="68765F6B" w14:textId="77777777" w:rsidR="00E25AC4" w:rsidRDefault="00AA4D44">
            <w:pPr>
              <w:pStyle w:val="Compact"/>
            </w:pPr>
            <w:r>
              <w:rPr>
                <w:rFonts w:hint="eastAsia"/>
                <w:sz w:val="16"/>
              </w:rPr>
              <w:t>显微观察</w:t>
            </w:r>
          </w:p>
        </w:tc>
        <w:tc>
          <w:tcPr>
            <w:tcW w:w="3480" w:type="dxa"/>
          </w:tcPr>
          <w:p w14:paraId="20376BA2" w14:textId="77777777" w:rsidR="00E25AC4" w:rsidRDefault="00AA4D44">
            <w:pPr>
              <w:pStyle w:val="Compact"/>
            </w:pPr>
            <w:r>
              <w:rPr>
                <w:rFonts w:hint="eastAsia"/>
                <w:sz w:val="16"/>
              </w:rPr>
              <w:t>模式、观察点、可用控制</w:t>
            </w:r>
          </w:p>
        </w:tc>
        <w:tc>
          <w:tcPr>
            <w:tcW w:w="3480" w:type="dxa"/>
          </w:tcPr>
          <w:p w14:paraId="0928DE93" w14:textId="77777777" w:rsidR="00E25AC4" w:rsidRDefault="00AA4D44">
            <w:pPr>
              <w:pStyle w:val="Compact"/>
            </w:pPr>
            <w:r>
              <w:rPr>
                <w:rFonts w:hint="eastAsia"/>
                <w:sz w:val="16"/>
              </w:rPr>
              <w:t>调焦、亮度或物镜操作说明</w:t>
            </w:r>
          </w:p>
        </w:tc>
      </w:tr>
      <w:tr w:rsidR="00E25AC4" w14:paraId="1D1B8D1D" w14:textId="77777777" w:rsidTr="00E25AC4">
        <w:tc>
          <w:tcPr>
            <w:tcW w:w="3480" w:type="dxa"/>
          </w:tcPr>
          <w:p w14:paraId="2047282D" w14:textId="77777777" w:rsidR="00E25AC4" w:rsidRDefault="00AA4D44">
            <w:pPr>
              <w:pStyle w:val="Compact"/>
            </w:pPr>
            <w:r>
              <w:rPr>
                <w:rFonts w:hint="eastAsia"/>
                <w:sz w:val="16"/>
              </w:rPr>
              <w:t>部件查看</w:t>
            </w:r>
          </w:p>
        </w:tc>
        <w:tc>
          <w:tcPr>
            <w:tcW w:w="3480" w:type="dxa"/>
          </w:tcPr>
          <w:p w14:paraId="64DD0882" w14:textId="77777777" w:rsidR="00E25AC4" w:rsidRDefault="00AA4D44">
            <w:pPr>
              <w:pStyle w:val="Compact"/>
            </w:pPr>
            <w:r>
              <w:rPr>
                <w:rFonts w:hint="eastAsia"/>
                <w:sz w:val="16"/>
              </w:rPr>
              <w:t>名称、说明、关联实验、可用启动动作</w:t>
            </w:r>
          </w:p>
        </w:tc>
        <w:tc>
          <w:tcPr>
            <w:tcW w:w="3480" w:type="dxa"/>
          </w:tcPr>
          <w:p w14:paraId="0E9C4BFB" w14:textId="77777777" w:rsidR="00E25AC4" w:rsidRDefault="00AA4D44">
            <w:pPr>
              <w:pStyle w:val="Compact"/>
            </w:pPr>
            <w:r>
              <w:rPr>
                <w:rFonts w:hint="eastAsia"/>
                <w:sz w:val="16"/>
              </w:rPr>
              <w:t>部件解释及实验入口</w:t>
            </w:r>
          </w:p>
        </w:tc>
      </w:tr>
      <w:tr w:rsidR="00E25AC4" w14:paraId="3AE4FC20" w14:textId="77777777" w:rsidTr="00E25AC4">
        <w:tc>
          <w:tcPr>
            <w:tcW w:w="3480" w:type="dxa"/>
          </w:tcPr>
          <w:p w14:paraId="45015C77" w14:textId="77777777" w:rsidR="00E25AC4" w:rsidRDefault="00AA4D44">
            <w:pPr>
              <w:pStyle w:val="Compact"/>
            </w:pPr>
            <w:r>
              <w:rPr>
                <w:rFonts w:hint="eastAsia"/>
                <w:sz w:val="16"/>
              </w:rPr>
              <w:t>NA/</w:t>
            </w:r>
            <w:r>
              <w:rPr>
                <w:rFonts w:hint="eastAsia"/>
                <w:sz w:val="16"/>
              </w:rPr>
              <w:t>空间频率</w:t>
            </w:r>
          </w:p>
        </w:tc>
        <w:tc>
          <w:tcPr>
            <w:tcW w:w="3480" w:type="dxa"/>
          </w:tcPr>
          <w:p w14:paraId="60450D48" w14:textId="77777777" w:rsidR="00E25AC4" w:rsidRDefault="00AA4D44">
            <w:pPr>
              <w:pStyle w:val="Compact"/>
            </w:pPr>
            <w:r>
              <w:rPr>
                <w:rFonts w:hint="eastAsia"/>
                <w:sz w:val="16"/>
              </w:rPr>
              <w:t>当前模块参数和控制</w:t>
            </w:r>
          </w:p>
        </w:tc>
        <w:tc>
          <w:tcPr>
            <w:tcW w:w="3480" w:type="dxa"/>
          </w:tcPr>
          <w:p w14:paraId="541B6B02" w14:textId="77777777" w:rsidR="00E25AC4" w:rsidRDefault="00AA4D44">
            <w:pPr>
              <w:pStyle w:val="Compact"/>
            </w:pPr>
            <w:r>
              <w:rPr>
                <w:rFonts w:hint="eastAsia"/>
                <w:sz w:val="16"/>
              </w:rPr>
              <w:t>参数含义与当前操作</w:t>
            </w:r>
          </w:p>
        </w:tc>
      </w:tr>
      <w:tr w:rsidR="00E25AC4" w14:paraId="2A041075" w14:textId="77777777" w:rsidTr="00E25AC4">
        <w:tc>
          <w:tcPr>
            <w:tcW w:w="3480" w:type="dxa"/>
          </w:tcPr>
          <w:p w14:paraId="7DA92DA4" w14:textId="77777777" w:rsidR="00E25AC4" w:rsidRDefault="00AA4D44">
            <w:pPr>
              <w:pStyle w:val="Compact"/>
            </w:pPr>
            <w:r>
              <w:rPr>
                <w:sz w:val="16"/>
              </w:rPr>
              <w:t>SNOM</w:t>
            </w:r>
          </w:p>
        </w:tc>
        <w:tc>
          <w:tcPr>
            <w:tcW w:w="3480" w:type="dxa"/>
          </w:tcPr>
          <w:p w14:paraId="5E48DA7F" w14:textId="77777777" w:rsidR="00E25AC4" w:rsidRDefault="00AA4D44">
            <w:pPr>
              <w:pStyle w:val="Compact"/>
            </w:pPr>
            <w:r>
              <w:rPr>
                <w:rFonts w:hint="eastAsia"/>
                <w:sz w:val="16"/>
              </w:rPr>
              <w:t>阶段、探针、播放及部件模式</w:t>
            </w:r>
          </w:p>
        </w:tc>
        <w:tc>
          <w:tcPr>
            <w:tcW w:w="3480" w:type="dxa"/>
          </w:tcPr>
          <w:p w14:paraId="2BF325F6" w14:textId="77777777" w:rsidR="00E25AC4" w:rsidRDefault="00AA4D44">
            <w:pPr>
              <w:pStyle w:val="Compact"/>
            </w:pPr>
            <w:r>
              <w:rPr>
                <w:rFonts w:hint="eastAsia"/>
                <w:sz w:val="16"/>
              </w:rPr>
              <w:t>当前流程和前置条件</w:t>
            </w:r>
          </w:p>
        </w:tc>
      </w:tr>
      <w:tr w:rsidR="00E25AC4" w14:paraId="7DDBC4FE" w14:textId="77777777" w:rsidTr="00E25AC4">
        <w:tc>
          <w:tcPr>
            <w:tcW w:w="3480" w:type="dxa"/>
          </w:tcPr>
          <w:p w14:paraId="78F813EB" w14:textId="77777777" w:rsidR="00E25AC4" w:rsidRDefault="00AA4D44">
            <w:pPr>
              <w:pStyle w:val="Compact"/>
            </w:pPr>
            <w:r>
              <w:rPr>
                <w:rFonts w:hint="eastAsia"/>
                <w:sz w:val="16"/>
              </w:rPr>
              <w:t>空间定位</w:t>
            </w:r>
          </w:p>
        </w:tc>
        <w:tc>
          <w:tcPr>
            <w:tcW w:w="3480" w:type="dxa"/>
          </w:tcPr>
          <w:p w14:paraId="60212025" w14:textId="77777777" w:rsidR="00E25AC4" w:rsidRDefault="00AA4D44">
            <w:pPr>
              <w:pStyle w:val="Compact"/>
            </w:pPr>
            <w:r>
              <w:rPr>
                <w:rFonts w:hint="eastAsia"/>
                <w:sz w:val="16"/>
              </w:rPr>
              <w:t>可用目标、世界位置、玩家朝向及尺度</w:t>
            </w:r>
          </w:p>
        </w:tc>
        <w:tc>
          <w:tcPr>
            <w:tcW w:w="3480" w:type="dxa"/>
          </w:tcPr>
          <w:p w14:paraId="71DB1C5B" w14:textId="77777777" w:rsidR="00E25AC4" w:rsidRDefault="00AA4D44">
            <w:pPr>
              <w:pStyle w:val="Compact"/>
            </w:pPr>
            <w:r>
              <w:rPr>
                <w:rFonts w:hint="eastAsia"/>
                <w:sz w:val="16"/>
              </w:rPr>
              <w:t>仪器区域或具体样本标记</w:t>
            </w:r>
          </w:p>
        </w:tc>
      </w:tr>
    </w:tbl>
    <w:p w14:paraId="732140E0" w14:textId="77777777" w:rsidR="00E25AC4" w:rsidRDefault="00E25AC4">
      <w:pPr>
        <w:spacing w:after="0"/>
        <w:sectPr w:rsidR="00E25AC4">
          <w:footnotePr>
            <w:numRestart w:val="eachSect"/>
          </w:footnotePr>
          <w:type w:val="continuous"/>
          <w:pgSz w:w="12240" w:h="15840"/>
          <w:pgMar w:top="1080" w:right="900" w:bottom="1440" w:left="900" w:header="720" w:footer="720" w:gutter="0"/>
          <w:cols w:space="360"/>
        </w:sectPr>
      </w:pPr>
    </w:p>
    <w:p w14:paraId="5DC2D446" w14:textId="77777777" w:rsidR="00E25AC4" w:rsidRDefault="00AA4D44">
      <w:pPr>
        <w:pStyle w:val="a0"/>
        <w:jc w:val="both"/>
      </w:pPr>
      <w:r>
        <w:rPr>
          <w:rFonts w:hint="eastAsia"/>
        </w:rPr>
        <w:lastRenderedPageBreak/>
        <w:t>快照不含焦点滑块值、焦点误差、当前物镜索引、图像质量测量或粗细调选择。因此，调焦指引提供操作方法与观察目标，由用户比较显示变化；助手不能计算保证改善清晰度的调整方向。当前模块之外的默认字段不作为实验读数。</w:t>
      </w:r>
    </w:p>
    <w:p w14:paraId="165667DC" w14:textId="77777777" w:rsidR="00E25AC4" w:rsidRDefault="00AA4D44">
      <w:pPr>
        <w:pStyle w:val="3"/>
      </w:pPr>
      <w:bookmarkStart w:id="16" w:name="受约束生成与一次格式修复"/>
      <w:bookmarkEnd w:id="15"/>
      <w:r>
        <w:t xml:space="preserve">C. </w:t>
      </w:r>
      <w:r>
        <w:t>受约束生成与一次格式修复</w:t>
      </w:r>
    </w:p>
    <w:p w14:paraId="0BDB2204" w14:textId="77777777" w:rsidR="00E25AC4" w:rsidRDefault="00AA4D44">
      <w:pPr>
        <w:pStyle w:val="FirstParagraph"/>
        <w:jc w:val="both"/>
      </w:pPr>
      <w:r>
        <w:rPr>
          <w:rFonts w:hint="eastAsia"/>
        </w:rPr>
        <w:t>设</w:t>
      </w:r>
      <w:r>
        <w:t xml:space="preserve"> </w:t>
      </w:r>
      <m:oMath>
        <m:r>
          <m:rPr>
            <m:scr m:val="script"/>
            <m:sty m:val="p"/>
          </m:rPr>
          <w:rPr>
            <w:rFonts w:ascii="Cambria Math" w:hAnsi="Cambria Math"/>
          </w:rPr>
          <m:t>C</m:t>
        </m:r>
      </m:oMath>
      <w:r>
        <w:t xml:space="preserve"> </w:t>
      </w:r>
      <w:r>
        <w:rPr>
          <w:rFonts w:hint="eastAsia"/>
        </w:rPr>
        <w:t>为共享动作目录，</w:t>
      </w:r>
      <m:oMath>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w:t>
      </w:r>
      <w:r>
        <w:rPr>
          <w:rFonts w:hint="eastAsia"/>
        </w:rPr>
        <w:t>为状态</w:t>
      </w:r>
      <w:r>
        <w:t xml:space="preserve"> </w:t>
      </w:r>
      <m:oMath>
        <m:r>
          <w:rPr>
            <w:rFonts w:ascii="Cambria Math" w:hAnsi="Cambria Math"/>
          </w:rPr>
          <m:t>s</m:t>
        </m:r>
      </m:oMath>
      <w:r>
        <w:t xml:space="preserve"> </w:t>
      </w:r>
      <w:r>
        <w:rPr>
          <w:rFonts w:hint="eastAsia"/>
        </w:rPr>
        <w:t>下动作</w:t>
      </w:r>
      <w:r>
        <w:t xml:space="preserve"> </w:t>
      </w:r>
      <m:oMath>
        <m:r>
          <w:rPr>
            <w:rFonts w:ascii="Cambria Math" w:hAnsi="Cambria Math"/>
          </w:rPr>
          <m:t>a</m:t>
        </m:r>
      </m:oMath>
      <w:r>
        <w:t xml:space="preserve"> </w:t>
      </w:r>
      <w:r>
        <w:rPr>
          <w:rFonts w:hint="eastAsia"/>
        </w:rPr>
        <w:t>的可用性条件，则：</w:t>
      </w:r>
    </w:p>
    <w:p w14:paraId="70B4A4AE" w14:textId="77777777" w:rsidR="00E25AC4" w:rsidRDefault="00AA4D44">
      <w:pPr>
        <w:pStyle w:val="a0"/>
        <w:spacing w:before="80" w:after="80"/>
      </w:pPr>
      <m:oMathPara>
        <m:oMathParaPr>
          <m:jc m:val="center"/>
        </m:oMathParaPr>
        <m:oMath>
          <m:r>
            <m:rPr>
              <m:scr m:val="script"/>
              <m:sty m:val="p"/>
            </m:rP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oMath>
      </m:oMathPara>
    </w:p>
    <w:p w14:paraId="5D1E8E03" w14:textId="77777777" w:rsidR="00E25AC4" w:rsidRDefault="00AA4D44">
      <w:pPr>
        <w:pStyle w:val="FirstParagraph"/>
        <w:jc w:val="both"/>
      </w:pPr>
      <w:r>
        <w:t xml:space="preserve">Unity </w:t>
      </w:r>
      <w:r>
        <w:rPr>
          <w:rFonts w:hint="eastAsia"/>
        </w:rPr>
        <w:t>根据界面、控制器、距离和输入绑定产生</w:t>
      </w:r>
      <w:r>
        <w:t xml:space="preserve"> </w:t>
      </w:r>
      <m:oMath>
        <m:r>
          <m:rPr>
            <m:scr m:val="script"/>
            <m:sty m:val="p"/>
          </m:rP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oMath>
      <w:r>
        <w:t>。</w:t>
      </w:r>
      <w:r>
        <w:t xml:space="preserve">DeepSeek </w:t>
      </w:r>
      <w:r>
        <w:rPr>
          <w:rFonts w:hint="eastAsia"/>
        </w:rPr>
        <w:t>返回解释、指引、澄清或拒答；操作指引每次选择一个允许动作，位置指引则选择一个当前目标。后端验证动作、交互及主题的对应关系，客户端在显示前再次验证。</w:t>
      </w:r>
    </w:p>
    <w:p w14:paraId="783AEB05" w14:textId="77777777" w:rsidR="00E25AC4" w:rsidRDefault="00AA4D44">
      <w:pPr>
        <w:pStyle w:val="a0"/>
        <w:jc w:val="both"/>
      </w:pPr>
      <w:r>
        <w:rPr>
          <w:rFonts w:hint="eastAsia"/>
        </w:rPr>
        <w:t>合法操作的模型文案被替换为目录中的标准步骤和观察提示。因此，已经确定会被替换的文字长度或箭头格式不会使合法操作失败。如果候选</w:t>
      </w:r>
      <w:r>
        <w:t xml:space="preserve"> </w:t>
      </w:r>
      <w:r>
        <w:rPr>
          <w:rFonts w:hint="eastAsia"/>
        </w:rPr>
        <w:t>JSON</w:t>
      </w:r>
      <w:r>
        <w:rPr>
          <w:rFonts w:hint="eastAsia"/>
        </w:rPr>
        <w:t>、字段或动作选择未通过结构校验，系统按原问题和同一快照最多重新生成一次。重生成仍接受完整权限检查；超时和上游访问异常不按格式错误重试。</w:t>
      </w:r>
    </w:p>
    <w:p w14:paraId="0757082B" w14:textId="77777777" w:rsidR="00E25AC4" w:rsidRDefault="00AA4D44">
      <w:pPr>
        <w:pStyle w:val="a0"/>
        <w:jc w:val="both"/>
      </w:pPr>
      <w:r>
        <w:rPr>
          <w:rFonts w:hint="eastAsia"/>
        </w:rPr>
        <w:t>非拒答候选随后接受一次语义审核，检查回答范围、事实支持和操作是否符合问题目标。生成器与审核器采</w:t>
      </w:r>
      <w:r>
        <w:rPr>
          <w:rFonts w:hint="eastAsia"/>
        </w:rPr>
        <w:t>用相同模型配置，因此审核属于附加检查，而非独立正确性保证。生成格式失败、审核格式异常、访问权限和超时通过不同服务提示报告，正常语义拒答与系统故障分开显示。</w:t>
      </w:r>
    </w:p>
    <w:p w14:paraId="30E11C15" w14:textId="77777777" w:rsidR="00E25AC4" w:rsidRDefault="00AA4D44">
      <w:pPr>
        <w:pStyle w:val="3"/>
      </w:pPr>
      <w:bookmarkStart w:id="17" w:name="连续学习与响应时效"/>
      <w:bookmarkEnd w:id="16"/>
      <w:r>
        <w:t xml:space="preserve">D. </w:t>
      </w:r>
      <w:r>
        <w:t>连续学习与响应时效</w:t>
      </w:r>
    </w:p>
    <w:p w14:paraId="46FF2FE3" w14:textId="77777777" w:rsidR="00E25AC4" w:rsidRDefault="00AA4D44">
      <w:pPr>
        <w:pStyle w:val="FirstParagraph"/>
        <w:jc w:val="both"/>
      </w:pPr>
      <w:r>
        <w:rPr>
          <w:rFonts w:hint="eastAsia"/>
        </w:rPr>
        <w:t>在部件界面中，“这个部件”由选中名称和说明解析；要求体验时，优先选择当前可用的关联实验。一般性的“下一步”优先推进当前学习路径，例如预装配后的展开、展开后的部件选择。退出用于明确退出、切换模块或必要的前置路线，而不是默认建议。</w:t>
      </w:r>
    </w:p>
    <w:p w14:paraId="46DD04A3" w14:textId="77777777" w:rsidR="00E25AC4" w:rsidRDefault="00AA4D44">
      <w:pPr>
        <w:pStyle w:val="a0"/>
        <w:jc w:val="both"/>
      </w:pPr>
      <w:r>
        <w:rPr>
          <w:rFonts w:hint="eastAsia"/>
        </w:rPr>
        <w:t>每次请求保存状态序列化文本和快照标识。操作回答到达时，客户端重新读取状态，比较标识、内容和动作权限；过</w:t>
      </w:r>
      <w:r>
        <w:rPr>
          <w:rFonts w:hint="eastAsia"/>
        </w:rPr>
        <w:t>期建议不作为当前指令显示。对话框关闭后，提示卡继续提醒玩家并周期性检查上下文。该机制保持实际控制权在玩家手中，提示出现本身不表示操作完成。</w:t>
      </w:r>
    </w:p>
    <w:p w14:paraId="2807ADA5" w14:textId="77777777" w:rsidR="00E25AC4" w:rsidRDefault="00AA4D44">
      <w:pPr>
        <w:pStyle w:val="3"/>
      </w:pPr>
      <w:bookmarkStart w:id="18" w:name="仪器与样本空间定位"/>
      <w:bookmarkEnd w:id="17"/>
      <w:r>
        <w:t xml:space="preserve">E. </w:t>
      </w:r>
      <w:r>
        <w:t>仪器与样本空间定位</w:t>
      </w:r>
    </w:p>
    <w:p w14:paraId="499D50E8" w14:textId="77777777" w:rsidR="00E25AC4" w:rsidRDefault="00AA4D44">
      <w:pPr>
        <w:pStyle w:val="FirstParagraph"/>
        <w:jc w:val="both"/>
      </w:pPr>
      <w:r>
        <w:rPr>
          <w:rFonts w:hint="eastAsia"/>
        </w:rPr>
        <w:t>在可用的自由观察状态下，部件、</w:t>
      </w:r>
      <w:r>
        <w:rPr>
          <w:rFonts w:hint="eastAsia"/>
        </w:rPr>
        <w:t>NA</w:t>
      </w:r>
      <w:r>
        <w:t xml:space="preserve"> </w:t>
      </w:r>
      <w:r>
        <w:rPr>
          <w:rFonts w:hint="eastAsia"/>
        </w:rPr>
        <w:t>和空间频率指向同一显微镜站，</w:t>
      </w:r>
      <w:r>
        <w:rPr>
          <w:rFonts w:hint="eastAsia"/>
        </w:rPr>
        <w:t>SNOM</w:t>
      </w:r>
      <w:r>
        <w:t xml:space="preserve"> </w:t>
      </w:r>
      <w:r>
        <w:rPr>
          <w:rFonts w:hint="eastAsia"/>
        </w:rPr>
        <w:t>指向另一套装置。最新目录还提供红、绿、蓝、黄四种样本目标；只有本次快照实际包含的对象可以被标记。具体样本与样本柜是不同目标，当前能力是对象定位，不是任意家具或路线搜索。</w:t>
      </w:r>
    </w:p>
    <w:p w14:paraId="3335B670" w14:textId="77777777" w:rsidR="00E25AC4" w:rsidRDefault="00AA4D44">
      <w:pPr>
        <w:pStyle w:val="a0"/>
        <w:jc w:val="both"/>
      </w:pPr>
      <w:r>
        <w:rPr>
          <w:rFonts w:hint="eastAsia"/>
        </w:rPr>
        <w:t>设目标相对玩家的水平位移为</w:t>
      </w:r>
      <w:r>
        <w:t xml:space="preserve"> </w:t>
      </w:r>
      <m:oMath>
        <m:sSub>
          <m:sSubPr>
            <m:ctrlPr>
              <w:rPr>
                <w:rFonts w:ascii="Cambria Math" w:hAnsi="Cambria Math"/>
              </w:rPr>
            </m:ctrlPr>
          </m:sSubPr>
          <m:e>
            <m:r>
              <m:rPr>
                <m:sty m:val="p"/>
              </m:rPr>
              <w:rPr>
                <w:rFonts w:ascii="Cambria Math" w:hAnsi="Cambria Math"/>
              </w:rPr>
              <m:t>Δ</m:t>
            </m:r>
          </m:e>
          <m:sub>
            <m:r>
              <w:rPr>
                <w:rFonts w:ascii="Cambria Math" w:hAnsi="Cambria Math"/>
              </w:rPr>
              <m:t>h</m:t>
            </m:r>
          </m:sub>
        </m:sSub>
      </m:oMath>
      <w:r>
        <w:rPr>
          <w:rFonts w:hint="eastAsia"/>
        </w:rPr>
        <w:t>，每米场景单位为</w:t>
      </w:r>
      <w:r>
        <w:t xml:space="preserve"> </w:t>
      </w:r>
      <m:oMath>
        <m:r>
          <w:rPr>
            <w:rFonts w:ascii="Cambria Math" w:hAnsi="Cambria Math"/>
          </w:rPr>
          <m:t>u</m:t>
        </m:r>
      </m:oMath>
      <w:r>
        <w:rPr>
          <w:rFonts w:hint="eastAsia"/>
        </w:rPr>
        <w:t>，显示距离为：</w:t>
      </w:r>
    </w:p>
    <w:p w14:paraId="2EA4BE94" w14:textId="77777777" w:rsidR="00E25AC4" w:rsidRDefault="00AA4D44">
      <w:pPr>
        <w:pStyle w:val="a0"/>
        <w:spacing w:before="80" w:after="80"/>
      </w:pPr>
      <m:oMathPara>
        <m:oMathParaPr>
          <m:jc m:val="center"/>
        </m:oMathParaPr>
        <m:oMath>
          <m:r>
            <w:rPr>
              <w:rFonts w:ascii="Cambria Math" w:hAnsi="Cambria Math"/>
            </w:rPr>
            <m:t>d</m:t>
          </m:r>
          <m:r>
            <m:rPr>
              <m:sty m:val="p"/>
            </m:rP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h</m:t>
              </m:r>
            </m:sub>
          </m:sSub>
          <m:r>
            <m:rPr>
              <m:sty m:val="p"/>
            </m:rPr>
            <w:rPr>
              <w:rFonts w:ascii="Cambria Math" w:hAnsi="Cambria Math"/>
            </w:rPr>
            <m:t>∥/</m:t>
          </m:r>
          <m:r>
            <w:rPr>
              <w:rFonts w:ascii="Cambria Math" w:hAnsi="Cambria Math"/>
            </w:rPr>
            <m:t>u</m:t>
          </m:r>
          <m:r>
            <m:rPr>
              <m:sty m:val="p"/>
            </m:rPr>
            <w:rPr>
              <w:rFonts w:ascii="Cambria Math" w:hAnsi="Cambria Math"/>
            </w:rPr>
            <m:t>.</m:t>
          </m:r>
        </m:oMath>
      </m:oMathPara>
    </w:p>
    <w:p w14:paraId="01301015" w14:textId="77777777" w:rsidR="00E25AC4" w:rsidRDefault="00AA4D44">
      <w:pPr>
        <w:pStyle w:val="FirstParagraph"/>
        <w:jc w:val="both"/>
      </w:pPr>
      <w:r>
        <w:rPr>
          <w:rFonts w:hint="eastAsia"/>
        </w:rPr>
        <w:t>相对水平视线的有符号角</w:t>
      </w:r>
      <w:r>
        <w:t xml:space="preserve"> </w:t>
      </w:r>
      <m:oMath>
        <m:r>
          <w:rPr>
            <w:rFonts w:ascii="Cambria Math" w:hAnsi="Cambria Math"/>
          </w:rPr>
          <m:t>β</m:t>
        </m:r>
      </m:oMath>
      <w:r>
        <w:t xml:space="preserve"> </w:t>
      </w:r>
      <w:r>
        <w:rPr>
          <w:rFonts w:hint="eastAsia"/>
        </w:rPr>
        <w:t>按前方（</w:t>
      </w:r>
      <m:oMath>
        <m:r>
          <m:rPr>
            <m:sty m:val="p"/>
          </m:rPr>
          <w:rPr>
            <w:rFonts w:ascii="Cambria Math" w:hAnsi="Cambria Math"/>
          </w:rPr>
          <m:t>|</m:t>
        </m:r>
        <m:r>
          <w:rPr>
            <w:rFonts w:ascii="Cambria Math" w:hAnsi="Cambria Math"/>
          </w:rPr>
          <m:t>β</m:t>
        </m:r>
        <m:r>
          <m:rPr>
            <m:sty m:val="p"/>
          </m:rPr>
          <w:rPr>
            <w:rFonts w:ascii="Cambria Math" w:hAnsi="Cambria Math"/>
          </w:rPr>
          <m:t>|≤</m:t>
        </m:r>
        <m:sSup>
          <m:sSupPr>
            <m:ctrlPr>
              <w:rPr>
                <w:rFonts w:ascii="Cambria Math" w:hAnsi="Cambria Math"/>
              </w:rPr>
            </m:ctrlPr>
          </m:sSupPr>
          <m:e>
            <m:r>
              <w:rPr>
                <w:rFonts w:ascii="Cambria Math" w:hAnsi="Cambria Math"/>
              </w:rPr>
              <m:t>45</m:t>
            </m:r>
          </m:e>
          <m:sup>
            <m:r>
              <m:rPr>
                <m:sty m:val="p"/>
              </m:rPr>
              <w:rPr>
                <w:rFonts w:ascii="Cambria Math" w:hAnsi="Cambria Math"/>
              </w:rPr>
              <m:t>∘</m:t>
            </m:r>
          </m:sup>
        </m:sSup>
      </m:oMath>
      <w:r>
        <w:rPr>
          <w:rFonts w:hint="eastAsia"/>
        </w:rPr>
        <w:t>）、后方（</w:t>
      </w:r>
      <m:oMath>
        <m:r>
          <m:rPr>
            <m:sty m:val="p"/>
          </m:rPr>
          <w:rPr>
            <w:rFonts w:ascii="Cambria Math" w:hAnsi="Cambria Math"/>
          </w:rPr>
          <m:t>|</m:t>
        </m:r>
        <m:r>
          <w:rPr>
            <w:rFonts w:ascii="Cambria Math" w:hAnsi="Cambria Math"/>
          </w:rPr>
          <m:t>β</m:t>
        </m:r>
        <m:r>
          <m:rPr>
            <m:sty m:val="p"/>
          </m:rPr>
          <w:rPr>
            <w:rFonts w:ascii="Cambria Math" w:hAnsi="Cambria Math"/>
          </w:rPr>
          <m:t>|≥</m:t>
        </m:r>
        <m:sSup>
          <m:sSupPr>
            <m:ctrlPr>
              <w:rPr>
                <w:rFonts w:ascii="Cambria Math" w:hAnsi="Cambria Math"/>
              </w:rPr>
            </m:ctrlPr>
          </m:sSupPr>
          <m:e>
            <m:r>
              <w:rPr>
                <w:rFonts w:ascii="Cambria Math" w:hAnsi="Cambria Math"/>
              </w:rPr>
              <m:t>135</m:t>
            </m:r>
          </m:e>
          <m:sup>
            <m:r>
              <m:rPr>
                <m:sty m:val="p"/>
              </m:rPr>
              <w:rPr>
                <w:rFonts w:ascii="Cambria Math" w:hAnsi="Cambria Math"/>
              </w:rPr>
              <m:t>∘</m:t>
            </m:r>
          </m:sup>
        </m:sSup>
      </m:oMath>
      <w:r>
        <w:rPr>
          <w:rFonts w:hint="eastAsia"/>
        </w:rPr>
        <w:t>）及其余左</w:t>
      </w:r>
      <w:r>
        <w:rPr>
          <w:rFonts w:hint="eastAsia"/>
        </w:rPr>
        <w:t>/</w:t>
      </w:r>
      <w:r>
        <w:rPr>
          <w:rFonts w:hint="eastAsia"/>
        </w:rPr>
        <w:t>右区间离散。后端提供几何关系，客户端应用响应时再次按当前场景计算。</w:t>
      </w:r>
    </w:p>
    <w:p w14:paraId="2BE5A0B7" w14:textId="77777777" w:rsidR="00E25AC4" w:rsidRDefault="00AA4D44">
      <w:pPr>
        <w:pStyle w:val="a0"/>
        <w:jc w:val="both"/>
      </w:pPr>
      <w:r>
        <w:rPr>
          <w:rFonts w:hint="eastAsia"/>
        </w:rPr>
        <w:t>成功创建轮廓和光柱后，助手才确认目标已标记。显示距离以包围盒中心计算，到达判断则使用玩家到包围盒最近点的水平距离，默认阈值为</w:t>
      </w:r>
      <w:r>
        <w:t xml:space="preserve"> 1.2 </w:t>
      </w:r>
      <w:r>
        <w:rPr>
          <w:rFonts w:hint="eastAsia"/>
        </w:rPr>
        <w:t>m</w:t>
      </w:r>
      <w:r>
        <w:rPr>
          <w:rFonts w:hint="eastAsia"/>
        </w:rPr>
        <w:t>。靠近、取消、超时或状态切换会清除效果。提示给出直线方位，玩家仍需自行沿可通行区域前往。</w:t>
      </w:r>
    </w:p>
    <w:p w14:paraId="235350F8" w14:textId="77777777" w:rsidR="00E25AC4" w:rsidRDefault="00AA4D44">
      <w:pPr>
        <w:pStyle w:val="3"/>
      </w:pPr>
      <w:bookmarkStart w:id="19" w:name="确认式中英文语音输入"/>
      <w:bookmarkEnd w:id="18"/>
      <w:r>
        <w:t xml:space="preserve">F. </w:t>
      </w:r>
      <w:r>
        <w:t>确认式中英文语音输入</w:t>
      </w:r>
    </w:p>
    <w:p w14:paraId="4E55F9D2" w14:textId="77777777" w:rsidR="00E25AC4" w:rsidRDefault="00AA4D44">
      <w:pPr>
        <w:pStyle w:val="FirstParagraph"/>
        <w:jc w:val="both"/>
      </w:pPr>
      <w:r>
        <w:rPr>
          <w:rFonts w:hint="eastAsia"/>
        </w:rPr>
        <w:t>点击语音选项开始使用系统默认麦克风录音，再次点击结束，最长</w:t>
      </w:r>
      <w:r>
        <w:t xml:space="preserve"> 30 </w:t>
      </w:r>
      <w:r>
        <w:rPr>
          <w:rFonts w:hint="eastAsia"/>
        </w:rPr>
        <w:t>秒。客户端将实际音频转为单声道</w:t>
      </w:r>
      <w:r>
        <w:t xml:space="preserve"> PCM16 </w:t>
      </w:r>
      <w:r>
        <w:rPr>
          <w:rFonts w:hint="eastAsia"/>
        </w:rPr>
        <w:t>WAV</w:t>
      </w:r>
      <w:r>
        <w:rPr>
          <w:rFonts w:hint="eastAsia"/>
        </w:rPr>
        <w:t>，优先使用</w:t>
      </w:r>
      <w:r>
        <w:t xml:space="preserve"> 16 kHz </w:t>
      </w:r>
      <w:r>
        <w:rPr>
          <w:rFonts w:hint="eastAsia"/>
        </w:rPr>
        <w:t>设备采样率，完整上传到后端并由</w:t>
      </w:r>
      <w:r>
        <w:t xml:space="preserve"> Groq </w:t>
      </w:r>
      <w:r>
        <w:rPr>
          <w:rStyle w:val="VerbatimChar"/>
        </w:rPr>
        <w:t>whisper-large-v3-turbo</w:t>
      </w:r>
      <w:r>
        <w:t xml:space="preserve"> </w:t>
      </w:r>
      <w:r>
        <w:rPr>
          <w:rFonts w:hint="eastAsia"/>
        </w:rPr>
        <w:t>转写</w:t>
      </w:r>
      <w:r>
        <w:t xml:space="preserve"> [18]</w:t>
      </w:r>
      <w:r>
        <w:t>。</w:t>
      </w:r>
    </w:p>
    <w:p w14:paraId="535DC691" w14:textId="77777777" w:rsidR="00E25AC4" w:rsidRDefault="00AA4D44">
      <w:pPr>
        <w:pStyle w:val="a0"/>
        <w:jc w:val="both"/>
      </w:pPr>
      <w:r>
        <w:rPr>
          <w:rFonts w:hint="eastAsia"/>
        </w:rPr>
        <w:t>转写不请求翻译，结果进入可编辑草稿，由玩家确认后提交。这样允许用户纠正显微术语，也使语音入口复用同一状态与校验链路。当前输出为文字；麦克风部署、中英混说准确率和端到端等待时间须分别测量。论文的设备描述应注明受试版本使用</w:t>
      </w:r>
      <w:r>
        <w:t xml:space="preserve"> PC-VR </w:t>
      </w:r>
      <w:r>
        <w:rPr>
          <w:rFonts w:hint="eastAsia"/>
        </w:rPr>
        <w:t>还是一体机及实际后端连接方式。</w:t>
      </w:r>
    </w:p>
    <w:p w14:paraId="4F977F98" w14:textId="77777777" w:rsidR="00E25AC4" w:rsidRDefault="00AA4D44">
      <w:pPr>
        <w:pStyle w:val="2"/>
        <w:jc w:val="center"/>
      </w:pPr>
      <w:bookmarkStart w:id="20" w:name="综合学习情境"/>
      <w:bookmarkEnd w:id="19"/>
      <w:bookmarkEnd w:id="13"/>
      <w:r>
        <w:t xml:space="preserve">V. </w:t>
      </w:r>
      <w:r>
        <w:t>综合学习情境</w:t>
      </w:r>
    </w:p>
    <w:p w14:paraId="0206B8AC" w14:textId="77777777" w:rsidR="00E25AC4" w:rsidRDefault="00AA4D44">
      <w:pPr>
        <w:pStyle w:val="3"/>
      </w:pPr>
      <w:bookmarkStart w:id="21" w:name="样本观察与有限状态下的调焦建议"/>
      <w:r>
        <w:t xml:space="preserve">A. </w:t>
      </w:r>
      <w:r>
        <w:t>样本观察与有限状态下的调焦建议</w:t>
      </w:r>
    </w:p>
    <w:p w14:paraId="56E758C7" w14:textId="77777777" w:rsidR="00E25AC4" w:rsidRDefault="00AA4D44">
      <w:pPr>
        <w:pStyle w:val="FirstParagraph"/>
        <w:jc w:val="both"/>
      </w:pPr>
      <w:r>
        <w:rPr>
          <w:rFonts w:hint="eastAsia"/>
        </w:rPr>
        <w:t>用户拾取样本，走近显微镜，放置并进入观察。随后切换物镜、比较视野，再用粗细调寻找合适的观察区间。请求帮助时，助手可以选择当前允许的调焦动作，并说明操作后应观察哪些变化。</w:t>
      </w:r>
    </w:p>
    <w:p w14:paraId="0445B047" w14:textId="77777777" w:rsidR="00E25AC4" w:rsidRDefault="00AA4D44">
      <w:pPr>
        <w:pStyle w:val="a0"/>
        <w:jc w:val="both"/>
      </w:pPr>
      <w:r>
        <w:rPr>
          <w:rFonts w:hint="eastAsia"/>
        </w:rPr>
        <w:t>这里连接的是项目真实存在的控制与教学提示，不意味着</w:t>
      </w:r>
      <w:r>
        <w:t xml:space="preserve"> AI </w:t>
      </w:r>
      <w:r>
        <w:rPr>
          <w:rFonts w:hint="eastAsia"/>
        </w:rPr>
        <w:t>已读取焦点误差、识别黑屏原因或计算出正确调节方向。学习者对变化的观察补充了快照中没有的图像信息。</w:t>
      </w:r>
    </w:p>
    <w:p w14:paraId="00884014" w14:textId="77777777" w:rsidR="00E25AC4" w:rsidRDefault="00AA4D44">
      <w:pPr>
        <w:pStyle w:val="3"/>
      </w:pPr>
      <w:bookmarkStart w:id="22" w:name="从部件提问进入实验"/>
      <w:bookmarkEnd w:id="21"/>
      <w:r>
        <w:t xml:space="preserve">B. </w:t>
      </w:r>
      <w:r>
        <w:t>从部件提问进入实验</w:t>
      </w:r>
    </w:p>
    <w:p w14:paraId="060F0028" w14:textId="77777777" w:rsidR="00E25AC4" w:rsidRDefault="00AA4D44">
      <w:pPr>
        <w:pStyle w:val="FirstParagraph"/>
        <w:jc w:val="both"/>
      </w:pPr>
      <w:r>
        <w:rPr>
          <w:rFonts w:hint="eastAsia"/>
        </w:rPr>
        <w:t>在</w:t>
      </w:r>
      <w:r>
        <w:t xml:space="preserve"> SuperAssembly </w:t>
      </w:r>
      <w:r>
        <w:rPr>
          <w:rFonts w:hint="eastAsia"/>
        </w:rPr>
        <w:t>中，用户选中上部光学组件并询问其用途。助手结合面板说明解释其与</w:t>
      </w:r>
      <w:r>
        <w:t xml:space="preserve"> NA </w:t>
      </w:r>
      <w:r>
        <w:rPr>
          <w:rFonts w:hint="eastAsia"/>
        </w:rPr>
        <w:t>的关系；随后用户要求体验实验，助手选择当前可用的</w:t>
      </w:r>
      <w:r>
        <w:t xml:space="preserve"> NA </w:t>
      </w:r>
      <w:r>
        <w:rPr>
          <w:rFonts w:hint="eastAsia"/>
        </w:rPr>
        <w:t>启动动作。用户关闭对话框、点击按钮，再调整滑块比较光锥变化。</w:t>
      </w:r>
    </w:p>
    <w:p w14:paraId="0885BD8D" w14:textId="77777777" w:rsidR="00E25AC4" w:rsidRDefault="00AA4D44">
      <w:pPr>
        <w:pStyle w:val="a0"/>
        <w:jc w:val="both"/>
      </w:pPr>
      <w:r>
        <w:rPr>
          <w:rFonts w:hint="eastAsia"/>
        </w:rPr>
        <w:t>选择物镜时，对应的是空间频率入口。如果用户还在房间其他位置，则首先得到同一显微镜学习区域的标记，而不是被引导到一个不存在的独立傅里叶实验台。</w:t>
      </w:r>
    </w:p>
    <w:p w14:paraId="0DC57FFB" w14:textId="77777777" w:rsidR="00E25AC4" w:rsidRDefault="00AA4D44">
      <w:pPr>
        <w:pStyle w:val="a0"/>
        <w:keepNext/>
        <w:spacing w:before="200" w:after="200"/>
        <w:jc w:val="center"/>
      </w:pPr>
      <w:r>
        <w:rPr>
          <w:i/>
          <w:sz w:val="18"/>
        </w:rPr>
        <w:lastRenderedPageBreak/>
        <w:t>[</w:t>
      </w:r>
      <w:r>
        <w:rPr>
          <w:i/>
          <w:sz w:val="18"/>
        </w:rPr>
        <w:t>图</w:t>
      </w:r>
      <w:r>
        <w:rPr>
          <w:i/>
          <w:sz w:val="18"/>
        </w:rPr>
        <w:t xml:space="preserve"> 4</w:t>
      </w:r>
      <w:r>
        <w:rPr>
          <w:i/>
          <w:sz w:val="18"/>
        </w:rPr>
        <w:t>：待插入图片</w:t>
      </w:r>
      <w:r>
        <w:rPr>
          <w:i/>
          <w:sz w:val="18"/>
        </w:rPr>
        <w:t>]</w:t>
      </w:r>
    </w:p>
    <w:p w14:paraId="6CCB8BC4" w14:textId="77777777" w:rsidR="00E25AC4" w:rsidRDefault="00AA4D44">
      <w:pPr>
        <w:pStyle w:val="a0"/>
        <w:spacing w:after="120"/>
      </w:pPr>
      <w:r>
        <w:rPr>
          <w:rFonts w:hint="eastAsia"/>
          <w:sz w:val="16"/>
        </w:rPr>
        <w:t>图</w:t>
      </w:r>
      <w:r>
        <w:rPr>
          <w:sz w:val="16"/>
        </w:rPr>
        <w:t xml:space="preserve"> 4. </w:t>
      </w:r>
      <w:r>
        <w:rPr>
          <w:rFonts w:hint="eastAsia"/>
          <w:sz w:val="16"/>
        </w:rPr>
        <w:t>从部件解释到实验操作的连续学习情境。助手依据当前面板提供解释和可用入口，玩家执行启动操作并观察反馈；该序列展示交互机制，不单独证明学习增益。</w:t>
      </w:r>
    </w:p>
    <w:p w14:paraId="57BDCA74" w14:textId="77777777" w:rsidR="00E25AC4" w:rsidRDefault="00AA4D44">
      <w:pPr>
        <w:pStyle w:val="3"/>
      </w:pPr>
      <w:bookmarkStart w:id="23" w:name="snom-前置条件与响应变化"/>
      <w:bookmarkEnd w:id="22"/>
      <w:r>
        <w:t xml:space="preserve">C. SNOM </w:t>
      </w:r>
      <w:r>
        <w:t>前置条件与响应变化</w:t>
      </w:r>
    </w:p>
    <w:p w14:paraId="270CB7E8" w14:textId="77777777" w:rsidR="00E25AC4" w:rsidRDefault="00AA4D44">
      <w:pPr>
        <w:pStyle w:val="FirstParagraph"/>
        <w:jc w:val="both"/>
      </w:pPr>
      <w:r>
        <w:rPr>
          <w:rFonts w:hint="eastAsia"/>
        </w:rPr>
        <w:t>选择探针时，助手可以建议允许的选择或安装</w:t>
      </w:r>
      <w:r>
        <w:rPr>
          <w:rFonts w:hint="eastAsia"/>
        </w:rPr>
        <w:t>动作；安装期间则解释等待或提供当前允许的退出操作，不编造立即扫描的快捷方式。安装完成后，系统启动步骤才成为可用动作。</w:t>
      </w:r>
    </w:p>
    <w:p w14:paraId="2DF80B1C" w14:textId="77777777" w:rsidR="00E25AC4" w:rsidRDefault="00AA4D44">
      <w:pPr>
        <w:pStyle w:val="a0"/>
        <w:jc w:val="both"/>
      </w:pPr>
      <w:r>
        <w:rPr>
          <w:rFonts w:hint="eastAsia"/>
        </w:rPr>
        <w:t>随后用户通过演示控制探索敲击、耦合和扫描。若返回的操作建议与请求时采集的状态不再匹配，客户端拒绝应用。该情境说明流程条件如何与</w:t>
      </w:r>
      <w:r>
        <w:t xml:space="preserve"> AI </w:t>
      </w:r>
      <w:r>
        <w:rPr>
          <w:rFonts w:hint="eastAsia"/>
        </w:rPr>
        <w:t>指引连接，本身不构成对抗鲁棒性的实验结论。</w:t>
      </w:r>
    </w:p>
    <w:p w14:paraId="1FCF041F" w14:textId="77777777" w:rsidR="00E25AC4" w:rsidRDefault="00AA4D44">
      <w:pPr>
        <w:pStyle w:val="2"/>
        <w:jc w:val="center"/>
      </w:pPr>
      <w:bookmarkStart w:id="24" w:name="评价方法与结果"/>
      <w:bookmarkEnd w:id="23"/>
      <w:bookmarkEnd w:id="20"/>
      <w:r>
        <w:t xml:space="preserve">VI. </w:t>
      </w:r>
      <w:r>
        <w:t>评价方法与结果</w:t>
      </w:r>
    </w:p>
    <w:p w14:paraId="63DDCFA8" w14:textId="77777777" w:rsidR="00E25AC4" w:rsidRDefault="00AA4D44">
      <w:pPr>
        <w:pStyle w:val="FirstParagraph"/>
        <w:jc w:val="both"/>
      </w:pPr>
      <w:r>
        <w:rPr>
          <w:rFonts w:hint="eastAsia"/>
        </w:rPr>
        <w:t>为使评价指标与论文贡献保持一致，本文将系统评价分为实现级一致性检查与探索性用户研究两部分。前者回答“系统是否按照所描述的状态约束工作”，后者回答“学习者能否完成核心流程，以及如何评价系统的可用</w:t>
      </w:r>
      <w:r>
        <w:rPr>
          <w:rFonts w:hint="eastAsia"/>
        </w:rPr>
        <w:t>性和主观工作负荷”。这种分离与已有</w:t>
      </w:r>
      <w:r>
        <w:t xml:space="preserve"> AIxVR </w:t>
      </w:r>
      <w:r>
        <w:rPr>
          <w:rFonts w:hint="eastAsia"/>
        </w:rPr>
        <w:t>教育型</w:t>
      </w:r>
      <w:r>
        <w:t xml:space="preserve"> XR </w:t>
      </w:r>
      <w:r>
        <w:rPr>
          <w:rFonts w:hint="eastAsia"/>
        </w:rPr>
        <w:t>工作中将客观任务表现和主观量表分别报告的做法一致</w:t>
      </w:r>
      <w:r>
        <w:t xml:space="preserve"> </w:t>
      </w:r>
      <w:r>
        <w:rPr>
          <w:rFonts w:hint="eastAsia"/>
        </w:rPr>
        <w:t>[1]</w:t>
      </w:r>
      <w:r>
        <w:rPr>
          <w:rFonts w:hint="eastAsia"/>
        </w:rPr>
        <w:t>，也避免将代码行为、交互性能和学习成效混为同一种证据。</w:t>
      </w:r>
    </w:p>
    <w:p w14:paraId="4F745B4A" w14:textId="77777777" w:rsidR="00E25AC4" w:rsidRDefault="00AA4D44">
      <w:pPr>
        <w:pStyle w:val="3"/>
      </w:pPr>
      <w:bookmarkStart w:id="25" w:name="评价问题与实现级一致性检查"/>
      <w:r>
        <w:t xml:space="preserve">A. </w:t>
      </w:r>
      <w:r>
        <w:t>评价问题与实现级一致性检查</w:t>
      </w:r>
    </w:p>
    <w:p w14:paraId="3DDEF801" w14:textId="77777777" w:rsidR="00E25AC4" w:rsidRDefault="00AA4D44">
      <w:pPr>
        <w:pStyle w:val="FirstParagraph"/>
        <w:jc w:val="both"/>
      </w:pPr>
      <w:r>
        <w:rPr>
          <w:rFonts w:hint="eastAsia"/>
        </w:rPr>
        <w:t>为便于报告，本文将用户研究组织为两个评价问题：</w:t>
      </w:r>
    </w:p>
    <w:p w14:paraId="2DDD1B33" w14:textId="77777777" w:rsidR="00E25AC4" w:rsidRDefault="00AA4D44">
      <w:pPr>
        <w:pStyle w:val="Compact"/>
        <w:numPr>
          <w:ilvl w:val="0"/>
          <w:numId w:val="3"/>
        </w:numPr>
        <w:jc w:val="both"/>
      </w:pPr>
      <w:r>
        <w:rPr>
          <w:rFonts w:hint="eastAsia"/>
          <w:b/>
          <w:bCs/>
        </w:rPr>
        <w:t>RQ1</w:t>
      </w:r>
      <w:r>
        <w:rPr>
          <w:rFonts w:hint="eastAsia"/>
          <w:b/>
          <w:bCs/>
        </w:rPr>
        <w:t>（流程可行性）：</w:t>
      </w:r>
      <w:r>
        <w:rPr>
          <w:rFonts w:hint="eastAsia"/>
        </w:rPr>
        <w:t>参与者能否在</w:t>
      </w:r>
      <w:r>
        <w:t xml:space="preserve"> VR </w:t>
      </w:r>
      <w:r>
        <w:rPr>
          <w:rFonts w:hint="eastAsia"/>
        </w:rPr>
        <w:t>环境中完成样本操作、显微观察、调焦</w:t>
      </w:r>
      <w:r>
        <w:rPr>
          <w:rFonts w:hint="eastAsia"/>
        </w:rPr>
        <w:t>/</w:t>
      </w:r>
      <w:r>
        <w:rPr>
          <w:rFonts w:hint="eastAsia"/>
        </w:rPr>
        <w:t>照明调整和结构探索等核心任务？</w:t>
      </w:r>
    </w:p>
    <w:p w14:paraId="16694F64" w14:textId="77777777" w:rsidR="00E25AC4" w:rsidRDefault="00AA4D44">
      <w:pPr>
        <w:pStyle w:val="Compact"/>
        <w:numPr>
          <w:ilvl w:val="0"/>
          <w:numId w:val="3"/>
        </w:numPr>
        <w:jc w:val="both"/>
      </w:pPr>
      <w:r>
        <w:rPr>
          <w:rFonts w:hint="eastAsia"/>
          <w:b/>
          <w:bCs/>
        </w:rPr>
        <w:t>RQ2</w:t>
      </w:r>
      <w:r>
        <w:rPr>
          <w:rFonts w:hint="eastAsia"/>
          <w:b/>
          <w:bCs/>
        </w:rPr>
        <w:t>（感知体验）：</w:t>
      </w:r>
      <w:r>
        <w:rPr>
          <w:rFonts w:hint="eastAsia"/>
        </w:rPr>
        <w:t>参与者如何评价系统的整体可用性与任务工作负荷？</w:t>
      </w:r>
    </w:p>
    <w:p w14:paraId="61177D54" w14:textId="77777777" w:rsidR="00E25AC4" w:rsidRDefault="00AA4D44">
      <w:pPr>
        <w:pStyle w:val="FirstParagraph"/>
        <w:jc w:val="both"/>
      </w:pPr>
      <w:r>
        <w:rPr>
          <w:rFonts w:hint="eastAsia"/>
        </w:rPr>
        <w:t>实现级检查不作为第三个用户研究问题，而用于确认论文前文描述的约束机制是否与当前</w:t>
      </w:r>
      <w:r>
        <w:rPr>
          <w:rFonts w:hint="eastAsia"/>
        </w:rPr>
        <w:t>实现一致。检查范围包括：根据当前界面生成可用动作集合；拒绝目录外或当前状态下不可用的操作标识；在请求后的实验状态发生变化时拒绝过期指引；以及根据玩家和目标的实时位置计算空间方位与距离。它们属于确定性的程序一致性属性，因此本文不将其包装为“</w:t>
      </w:r>
      <w:r>
        <w:rPr>
          <w:rFonts w:hint="eastAsia"/>
        </w:rPr>
        <w:t>AI</w:t>
      </w:r>
      <w:r>
        <w:t xml:space="preserve"> </w:t>
      </w:r>
      <w:r>
        <w:rPr>
          <w:rFonts w:hint="eastAsia"/>
        </w:rPr>
        <w:t>准确率”或“安全成功率”。帧率、语音延迟和模型响应时间等性能指标也不属于本次用户研究的结果变量。</w:t>
      </w:r>
    </w:p>
    <w:p w14:paraId="5D2FDCBA" w14:textId="77777777" w:rsidR="00E25AC4" w:rsidRDefault="00AA4D44">
      <w:pPr>
        <w:pStyle w:val="3"/>
      </w:pPr>
      <w:bookmarkStart w:id="26" w:name="参与者与实验流程"/>
      <w:bookmarkEnd w:id="25"/>
      <w:r>
        <w:t xml:space="preserve">B. </w:t>
      </w:r>
      <w:r>
        <w:t>参与者与实验流程</w:t>
      </w:r>
    </w:p>
    <w:p w14:paraId="1033A3EA" w14:textId="77777777" w:rsidR="00E25AC4" w:rsidRDefault="00AA4D44">
      <w:pPr>
        <w:pStyle w:val="FirstParagraph"/>
        <w:jc w:val="both"/>
      </w:pPr>
      <w:r>
        <w:rPr>
          <w:rFonts w:hint="eastAsia"/>
        </w:rPr>
        <w:t>研究共包含</w:t>
      </w:r>
      <w:r>
        <w:t xml:space="preserve"> 19 </w:t>
      </w:r>
      <w:r>
        <w:rPr>
          <w:rFonts w:hint="eastAsia"/>
        </w:rPr>
        <w:t>名参与者。由于专业背景不是实验操纵变量，本文仅将其作为样本构成描述，而不据此划分性能优劣或推断光学知识水平。</w:t>
      </w:r>
    </w:p>
    <w:p w14:paraId="28240168" w14:textId="77777777" w:rsidR="00E25AC4" w:rsidRDefault="00AA4D44">
      <w:pPr>
        <w:pStyle w:val="a0"/>
        <w:keepNext/>
        <w:spacing w:after="120"/>
      </w:pPr>
      <w:r>
        <w:rPr>
          <w:rFonts w:hint="eastAsia"/>
          <w:b/>
          <w:bCs/>
          <w:sz w:val="16"/>
        </w:rPr>
        <w:t>表</w:t>
      </w:r>
      <w:r>
        <w:rPr>
          <w:b/>
          <w:bCs/>
          <w:sz w:val="16"/>
        </w:rPr>
        <w:t xml:space="preserve"> </w:t>
      </w:r>
      <w:r>
        <w:rPr>
          <w:rFonts w:hint="eastAsia"/>
          <w:b/>
          <w:bCs/>
          <w:sz w:val="16"/>
        </w:rPr>
        <w:t>3</w:t>
      </w:r>
      <w:r>
        <w:rPr>
          <w:rFonts w:hint="eastAsia"/>
          <w:b/>
          <w:bCs/>
          <w:sz w:val="16"/>
        </w:rPr>
        <w:t>：参与者专业背景构成（</w:t>
      </w:r>
      <m:oMath>
        <m:r>
          <w:rPr>
            <w:rFonts w:ascii="Cambria Math" w:hAnsi="Cambria Math"/>
          </w:rPr>
          <m:t>N</m:t>
        </m:r>
        <m:r>
          <m:rPr>
            <m:sty m:val="p"/>
          </m:rPr>
          <w:rPr>
            <w:rFonts w:ascii="Cambria Math" w:hAnsi="Cambria Math"/>
          </w:rPr>
          <m:t>=</m:t>
        </m:r>
        <m:r>
          <w:rPr>
            <w:rFonts w:ascii="Cambria Math" w:hAnsi="Cambria Math"/>
          </w:rPr>
          <m:t>19</m:t>
        </m:r>
      </m:oMath>
      <w:r>
        <w:rPr>
          <w:rFonts w:hint="eastAsia"/>
          <w:b/>
          <w:bCs/>
          <w:sz w:val="16"/>
        </w:rPr>
        <w:t>）。</w:t>
      </w:r>
    </w:p>
    <w:tbl>
      <w:tblPr>
        <w:tblStyle w:val="Table"/>
        <w:tblW w:w="0" w:type="auto"/>
        <w:tblLayout w:type="fixed"/>
        <w:tblLook w:val="0020" w:firstRow="1" w:lastRow="0" w:firstColumn="0" w:lastColumn="0" w:noHBand="0" w:noVBand="0"/>
      </w:tblPr>
      <w:tblGrid>
        <w:gridCol w:w="2520"/>
        <w:gridCol w:w="2520"/>
      </w:tblGrid>
      <w:tr w:rsidR="00E25AC4" w14:paraId="571AC50A" w14:textId="77777777" w:rsidTr="00E25AC4">
        <w:trPr>
          <w:cnfStyle w:val="100000000000" w:firstRow="1" w:lastRow="0" w:firstColumn="0" w:lastColumn="0" w:oddVBand="0" w:evenVBand="0" w:oddHBand="0" w:evenHBand="0" w:firstRowFirstColumn="0" w:firstRowLastColumn="0" w:lastRowFirstColumn="0" w:lastRowLastColumn="0"/>
          <w:tblHeader/>
        </w:trPr>
        <w:tc>
          <w:tcPr>
            <w:tcW w:w="2520" w:type="dxa"/>
          </w:tcPr>
          <w:p w14:paraId="0856AB81" w14:textId="77777777" w:rsidR="00E25AC4" w:rsidRDefault="00AA4D44">
            <w:pPr>
              <w:pStyle w:val="Compact"/>
            </w:pPr>
            <w:r>
              <w:rPr>
                <w:rFonts w:hint="eastAsia"/>
                <w:b/>
                <w:sz w:val="16"/>
              </w:rPr>
              <w:t>专业背景</w:t>
            </w:r>
          </w:p>
        </w:tc>
        <w:tc>
          <w:tcPr>
            <w:tcW w:w="2520" w:type="dxa"/>
          </w:tcPr>
          <w:p w14:paraId="7FFE3A98" w14:textId="77777777" w:rsidR="00E25AC4" w:rsidRDefault="00AA4D44">
            <w:pPr>
              <w:pStyle w:val="Compact"/>
              <w:jc w:val="right"/>
            </w:pPr>
            <w:r>
              <w:rPr>
                <w:rFonts w:hint="eastAsia"/>
                <w:b/>
                <w:sz w:val="16"/>
              </w:rPr>
              <w:t>人数</w:t>
            </w:r>
          </w:p>
        </w:tc>
      </w:tr>
      <w:tr w:rsidR="00E25AC4" w14:paraId="34C50D73" w14:textId="77777777" w:rsidTr="00E25AC4">
        <w:tc>
          <w:tcPr>
            <w:tcW w:w="2520" w:type="dxa"/>
          </w:tcPr>
          <w:p w14:paraId="3905F929" w14:textId="77777777" w:rsidR="00E25AC4" w:rsidRDefault="00AA4D44">
            <w:pPr>
              <w:pStyle w:val="Compact"/>
            </w:pPr>
            <w:r>
              <w:rPr>
                <w:rFonts w:hint="eastAsia"/>
                <w:sz w:val="16"/>
              </w:rPr>
              <w:t>物理学</w:t>
            </w:r>
          </w:p>
        </w:tc>
        <w:tc>
          <w:tcPr>
            <w:tcW w:w="2520" w:type="dxa"/>
          </w:tcPr>
          <w:p w14:paraId="35345C48" w14:textId="77777777" w:rsidR="00E25AC4" w:rsidRDefault="00AA4D44">
            <w:pPr>
              <w:pStyle w:val="Compact"/>
              <w:jc w:val="right"/>
            </w:pPr>
            <w:r>
              <w:rPr>
                <w:sz w:val="16"/>
              </w:rPr>
              <w:t>6</w:t>
            </w:r>
          </w:p>
        </w:tc>
      </w:tr>
      <w:tr w:rsidR="00E25AC4" w14:paraId="05901CB1" w14:textId="77777777" w:rsidTr="00E25AC4">
        <w:tc>
          <w:tcPr>
            <w:tcW w:w="2520" w:type="dxa"/>
          </w:tcPr>
          <w:p w14:paraId="06A1BFB6" w14:textId="77777777" w:rsidR="00E25AC4" w:rsidRDefault="00AA4D44">
            <w:pPr>
              <w:pStyle w:val="Compact"/>
            </w:pPr>
            <w:r>
              <w:rPr>
                <w:rFonts w:hint="eastAsia"/>
                <w:sz w:val="16"/>
              </w:rPr>
              <w:t>软件工程</w:t>
            </w:r>
          </w:p>
        </w:tc>
        <w:tc>
          <w:tcPr>
            <w:tcW w:w="2520" w:type="dxa"/>
          </w:tcPr>
          <w:p w14:paraId="06444ECF" w14:textId="77777777" w:rsidR="00E25AC4" w:rsidRDefault="00AA4D44">
            <w:pPr>
              <w:pStyle w:val="Compact"/>
              <w:jc w:val="right"/>
            </w:pPr>
            <w:r>
              <w:rPr>
                <w:sz w:val="16"/>
              </w:rPr>
              <w:t>10</w:t>
            </w:r>
          </w:p>
        </w:tc>
      </w:tr>
      <w:tr w:rsidR="00E25AC4" w14:paraId="1ACA42E6" w14:textId="77777777" w:rsidTr="00E25AC4">
        <w:tc>
          <w:tcPr>
            <w:tcW w:w="2520" w:type="dxa"/>
          </w:tcPr>
          <w:p w14:paraId="04A95C57" w14:textId="77777777" w:rsidR="00E25AC4" w:rsidRDefault="00AA4D44">
            <w:pPr>
              <w:pStyle w:val="Compact"/>
            </w:pPr>
            <w:r>
              <w:rPr>
                <w:rFonts w:hint="eastAsia"/>
                <w:sz w:val="16"/>
              </w:rPr>
              <w:t>商学</w:t>
            </w:r>
          </w:p>
        </w:tc>
        <w:tc>
          <w:tcPr>
            <w:tcW w:w="2520" w:type="dxa"/>
          </w:tcPr>
          <w:p w14:paraId="70482542" w14:textId="77777777" w:rsidR="00E25AC4" w:rsidRDefault="00AA4D44">
            <w:pPr>
              <w:pStyle w:val="Compact"/>
              <w:jc w:val="right"/>
            </w:pPr>
            <w:r>
              <w:rPr>
                <w:sz w:val="16"/>
              </w:rPr>
              <w:t>2</w:t>
            </w:r>
          </w:p>
        </w:tc>
      </w:tr>
      <w:tr w:rsidR="00E25AC4" w14:paraId="1520CDEB" w14:textId="77777777" w:rsidTr="00E25AC4">
        <w:tc>
          <w:tcPr>
            <w:tcW w:w="2520" w:type="dxa"/>
          </w:tcPr>
          <w:p w14:paraId="5C753703" w14:textId="77777777" w:rsidR="00E25AC4" w:rsidRDefault="00AA4D44">
            <w:pPr>
              <w:pStyle w:val="Compact"/>
            </w:pPr>
            <w:r>
              <w:rPr>
                <w:rFonts w:hint="eastAsia"/>
                <w:sz w:val="16"/>
              </w:rPr>
              <w:t>哲学</w:t>
            </w:r>
          </w:p>
        </w:tc>
        <w:tc>
          <w:tcPr>
            <w:tcW w:w="2520" w:type="dxa"/>
          </w:tcPr>
          <w:p w14:paraId="17CC568B" w14:textId="77777777" w:rsidR="00E25AC4" w:rsidRDefault="00AA4D44">
            <w:pPr>
              <w:pStyle w:val="Compact"/>
              <w:jc w:val="right"/>
            </w:pPr>
            <w:r>
              <w:rPr>
                <w:sz w:val="16"/>
              </w:rPr>
              <w:t>1</w:t>
            </w:r>
          </w:p>
        </w:tc>
      </w:tr>
    </w:tbl>
    <w:p w14:paraId="2688656C" w14:textId="77777777" w:rsidR="00E25AC4" w:rsidRDefault="00AA4D44">
      <w:pPr>
        <w:pStyle w:val="a0"/>
        <w:jc w:val="both"/>
      </w:pPr>
      <w:r>
        <w:rPr>
          <w:rFonts w:hint="eastAsia"/>
        </w:rPr>
        <w:t>实验在安静的室内环境中使用</w:t>
      </w:r>
      <w:r>
        <w:t xml:space="preserve"> Meta Quest 3 </w:t>
      </w:r>
      <w:r>
        <w:rPr>
          <w:rFonts w:hint="eastAsia"/>
        </w:rPr>
        <w:t>进行。参与者先进行约</w:t>
      </w:r>
      <w:r>
        <w:t xml:space="preserve"> 3 </w:t>
      </w:r>
      <w:r>
        <w:rPr>
          <w:rFonts w:hint="eastAsia"/>
        </w:rPr>
        <w:t>分钟的控制器熟悉，随后依次完成六类活动：拾取样本；将样本放置到显微镜并进入观察；使用粗调和细调改变焦点；切换物镜并重新调焦</w:t>
      </w:r>
      <w:r>
        <w:rPr>
          <w:rFonts w:hint="eastAsia"/>
        </w:rPr>
        <w:t>/</w:t>
      </w:r>
      <w:r>
        <w:rPr>
          <w:rFonts w:hint="eastAsia"/>
        </w:rPr>
        <w:t>调整照明；退出观察并探索</w:t>
      </w:r>
      <w:r>
        <w:t xml:space="preserve"> </w:t>
      </w:r>
      <w:r>
        <w:rPr>
          <w:rFonts w:hint="eastAsia"/>
        </w:rPr>
        <w:t>SuperAssembly</w:t>
      </w:r>
      <w:r>
        <w:rPr>
          <w:rFonts w:hint="eastAsia"/>
        </w:rPr>
        <w:t>；在需要解释或操作帮助时使用</w:t>
      </w:r>
      <w:r>
        <w:t xml:space="preserve"> AI </w:t>
      </w:r>
      <w:r>
        <w:rPr>
          <w:rFonts w:hint="eastAsia"/>
        </w:rPr>
        <w:t>问答。</w:t>
      </w:r>
      <w:r>
        <w:rPr>
          <w:rFonts w:hint="eastAsia"/>
        </w:rPr>
        <w:t>AI</w:t>
      </w:r>
      <w:r>
        <w:t xml:space="preserve"> </w:t>
      </w:r>
      <w:r>
        <w:rPr>
          <w:rFonts w:hint="eastAsia"/>
        </w:rPr>
        <w:t>提问是可选辅助通道，而不是一个单独的实验条件，因此该流程不能用于比较“有</w:t>
      </w:r>
      <w:r>
        <w:t xml:space="preserve"> </w:t>
      </w:r>
      <w:r>
        <w:rPr>
          <w:rFonts w:hint="eastAsia"/>
        </w:rPr>
        <w:t>AI</w:t>
      </w:r>
      <w:r>
        <w:rPr>
          <w:rFonts w:hint="eastAsia"/>
        </w:rPr>
        <w:t>”和“无</w:t>
      </w:r>
      <w:r>
        <w:t xml:space="preserve"> </w:t>
      </w:r>
      <w:r>
        <w:rPr>
          <w:rFonts w:hint="eastAsia"/>
        </w:rPr>
        <w:t>AI</w:t>
      </w:r>
      <w:r>
        <w:rPr>
          <w:rFonts w:hint="eastAsia"/>
        </w:rPr>
        <w:t>”的因果差异。</w:t>
      </w:r>
    </w:p>
    <w:p w14:paraId="59A7AAC9" w14:textId="77777777" w:rsidR="00E25AC4" w:rsidRDefault="00AA4D44">
      <w:pPr>
        <w:pStyle w:val="a0"/>
        <w:jc w:val="both"/>
      </w:pPr>
      <w:r>
        <w:rPr>
          <w:rFonts w:hint="eastAsia"/>
        </w:rPr>
        <w:t>任务结束后，参与者填写</w:t>
      </w:r>
      <w:r>
        <w:t xml:space="preserve"> System Usability </w:t>
      </w:r>
      <w:r>
        <w:rPr>
          <w:rFonts w:hint="eastAsia"/>
        </w:rPr>
        <w:t>Scale</w:t>
      </w:r>
      <w:r>
        <w:rPr>
          <w:rFonts w:hint="eastAsia"/>
        </w:rPr>
        <w:t>（</w:t>
      </w:r>
      <w:r>
        <w:rPr>
          <w:rFonts w:hint="eastAsia"/>
        </w:rPr>
        <w:t>SUS</w:t>
      </w:r>
      <w:r>
        <w:rPr>
          <w:rFonts w:hint="eastAsia"/>
        </w:rPr>
        <w:t>）</w:t>
      </w:r>
      <w:r>
        <w:rPr>
          <w:rFonts w:hint="eastAsia"/>
        </w:rPr>
        <w:t>[19]</w:t>
      </w:r>
      <w:r>
        <w:t xml:space="preserve"> </w:t>
      </w:r>
      <w:r>
        <w:rPr>
          <w:rFonts w:hint="eastAsia"/>
        </w:rPr>
        <w:t>与</w:t>
      </w:r>
      <w:r>
        <w:t xml:space="preserve"> NASA Task Load </w:t>
      </w:r>
      <w:r>
        <w:rPr>
          <w:rFonts w:hint="eastAsia"/>
        </w:rPr>
        <w:t>Index</w:t>
      </w:r>
      <w:r>
        <w:rPr>
          <w:rFonts w:hint="eastAsia"/>
        </w:rPr>
        <w:t>（</w:t>
      </w:r>
      <w:r>
        <w:rPr>
          <w:rFonts w:hint="eastAsia"/>
        </w:rPr>
        <w:t>NASA-TLX</w:t>
      </w:r>
      <w:r>
        <w:rPr>
          <w:rFonts w:hint="eastAsia"/>
        </w:rPr>
        <w:t>）</w:t>
      </w:r>
      <w:r>
        <w:rPr>
          <w:rFonts w:hint="eastAsia"/>
        </w:rPr>
        <w:t>[20]</w:t>
      </w:r>
      <w:r>
        <w:rPr>
          <w:rFonts w:hint="eastAsia"/>
        </w:rPr>
        <w:t>，并参加约</w:t>
      </w:r>
      <w:r>
        <w:t xml:space="preserve"> 10 </w:t>
      </w:r>
      <w:r>
        <w:rPr>
          <w:rFonts w:hint="eastAsia"/>
        </w:rPr>
        <w:t>分钟的半结构化访谈。本文的定量结果使用任务完成情况与标准量表；访谈仅作为形成性反馈来源，不进行频次统计或主题比例推断。</w:t>
      </w:r>
    </w:p>
    <w:p w14:paraId="104FD6F6" w14:textId="77777777" w:rsidR="00E25AC4" w:rsidRDefault="00AA4D44">
      <w:pPr>
        <w:pStyle w:val="3"/>
      </w:pPr>
      <w:bookmarkStart w:id="27" w:name="指标与分析方法"/>
      <w:bookmarkEnd w:id="26"/>
      <w:r>
        <w:t xml:space="preserve">C. </w:t>
      </w:r>
      <w:r>
        <w:t>指标与分析方法</w:t>
      </w:r>
    </w:p>
    <w:p w14:paraId="61F64B18" w14:textId="77777777" w:rsidR="00E25AC4" w:rsidRDefault="00AA4D44">
      <w:pPr>
        <w:pStyle w:val="FirstParagraph"/>
        <w:jc w:val="both"/>
      </w:pPr>
      <w:r>
        <w:rPr>
          <w:rFonts w:hint="eastAsia"/>
        </w:rPr>
        <w:t>核心任务完成率为完成规定流程的参与者比例。</w:t>
      </w:r>
      <w:r>
        <w:rPr>
          <w:rFonts w:hint="eastAsia"/>
        </w:rPr>
        <w:t>SUS</w:t>
      </w:r>
      <w:r>
        <w:t xml:space="preserve"> </w:t>
      </w:r>
      <w:r>
        <w:rPr>
          <w:rFonts w:hint="eastAsia"/>
        </w:rPr>
        <w:t>用于评价感知可用性</w:t>
      </w:r>
      <w:r>
        <w:t xml:space="preserve"> </w:t>
      </w:r>
      <w:r>
        <w:rPr>
          <w:rFonts w:hint="eastAsia"/>
        </w:rPr>
        <w:t>[19]</w:t>
      </w:r>
      <w:r>
        <w:rPr>
          <w:rFonts w:hint="eastAsia"/>
        </w:rPr>
        <w:t>，</w:t>
      </w:r>
      <w:r>
        <w:rPr>
          <w:rFonts w:hint="eastAsia"/>
        </w:rPr>
        <w:t>NASA-TLX</w:t>
      </w:r>
      <w:r>
        <w:t xml:space="preserve"> </w:t>
      </w:r>
      <w:r>
        <w:rPr>
          <w:rFonts w:hint="eastAsia"/>
        </w:rPr>
        <w:t>用于描述任务主观负荷</w:t>
      </w:r>
      <w:r>
        <w:t xml:space="preserve"> </w:t>
      </w:r>
      <w:r>
        <w:rPr>
          <w:rFonts w:hint="eastAsia"/>
        </w:rPr>
        <w:t>[20]</w:t>
      </w:r>
      <w:r>
        <w:rPr>
          <w:rFonts w:hint="eastAsia"/>
        </w:rPr>
        <w:t>。本稿保留任务完成计数和问卷均值作为描述性结果；专业背景仅描述样本，不进行小样本组间推断。</w:t>
      </w:r>
    </w:p>
    <w:p w14:paraId="40ABCC9B" w14:textId="77777777" w:rsidR="00E25AC4" w:rsidRDefault="00AA4D44">
      <w:pPr>
        <w:pStyle w:val="a0"/>
        <w:jc w:val="both"/>
      </w:pPr>
      <w:r>
        <w:rPr>
          <w:rFonts w:hint="eastAsia"/>
        </w:rPr>
        <w:t>可用性与学习相关结果分别报告，与已有教育</w:t>
      </w:r>
      <w:r>
        <w:t xml:space="preserve"> XR </w:t>
      </w:r>
      <w:r>
        <w:rPr>
          <w:rFonts w:hint="eastAsia"/>
        </w:rPr>
        <w:t>研究的评价区分一致</w:t>
      </w:r>
      <w:r>
        <w:t xml:space="preserve"> [21]</w:t>
      </w:r>
      <w:r>
        <w:t>。</w:t>
      </w:r>
      <w:r>
        <w:t xml:space="preserve">SUS </w:t>
      </w:r>
      <w:r>
        <w:rPr>
          <w:rFonts w:hint="eastAsia"/>
        </w:rPr>
        <w:t>解释参考经验研究</w:t>
      </w:r>
      <w:r>
        <w:t xml:space="preserve"> </w:t>
      </w:r>
      <w:r>
        <w:rPr>
          <w:rFonts w:hint="eastAsia"/>
        </w:rPr>
        <w:t>[22]</w:t>
      </w:r>
      <w:r>
        <w:rPr>
          <w:rFonts w:hint="eastAsia"/>
        </w:rPr>
        <w:t>，不作为知识掌握分数。</w:t>
      </w:r>
    </w:p>
    <w:p w14:paraId="19D53DF0" w14:textId="77777777" w:rsidR="00E25AC4" w:rsidRDefault="00AA4D44">
      <w:pPr>
        <w:pStyle w:val="3"/>
      </w:pPr>
      <w:bookmarkStart w:id="28" w:name="用户研究结果"/>
      <w:bookmarkEnd w:id="27"/>
      <w:r>
        <w:t xml:space="preserve">D. </w:t>
      </w:r>
      <w:r>
        <w:t>用户研究结果</w:t>
      </w:r>
    </w:p>
    <w:p w14:paraId="24B5DBAF" w14:textId="77777777" w:rsidR="00E25AC4" w:rsidRDefault="00AA4D44">
      <w:pPr>
        <w:pStyle w:val="FirstParagraph"/>
        <w:keepNext/>
        <w:spacing w:after="120"/>
      </w:pPr>
      <w:r>
        <w:rPr>
          <w:rFonts w:hint="eastAsia"/>
          <w:b/>
          <w:bCs/>
          <w:sz w:val="16"/>
        </w:rPr>
        <w:t>表</w:t>
      </w:r>
      <w:r>
        <w:rPr>
          <w:b/>
          <w:bCs/>
          <w:sz w:val="16"/>
        </w:rPr>
        <w:t xml:space="preserve"> </w:t>
      </w:r>
      <w:r>
        <w:rPr>
          <w:rFonts w:hint="eastAsia"/>
          <w:b/>
          <w:bCs/>
          <w:sz w:val="16"/>
        </w:rPr>
        <w:t>4</w:t>
      </w:r>
      <w:r>
        <w:rPr>
          <w:rFonts w:hint="eastAsia"/>
          <w:b/>
          <w:bCs/>
          <w:sz w:val="16"/>
        </w:rPr>
        <w:t>：全体参与者的描述性结果。</w:t>
      </w:r>
    </w:p>
    <w:tbl>
      <w:tblPr>
        <w:tblStyle w:val="Table"/>
        <w:tblW w:w="0" w:type="auto"/>
        <w:tblLayout w:type="fixed"/>
        <w:tblLook w:val="0020" w:firstRow="1" w:lastRow="0" w:firstColumn="0" w:lastColumn="0" w:noHBand="0" w:noVBand="0"/>
      </w:tblPr>
      <w:tblGrid>
        <w:gridCol w:w="2520"/>
        <w:gridCol w:w="2520"/>
      </w:tblGrid>
      <w:tr w:rsidR="00E25AC4" w14:paraId="691AB39D" w14:textId="77777777" w:rsidTr="00E25AC4">
        <w:trPr>
          <w:cnfStyle w:val="100000000000" w:firstRow="1" w:lastRow="0" w:firstColumn="0" w:lastColumn="0" w:oddVBand="0" w:evenVBand="0" w:oddHBand="0" w:evenHBand="0" w:firstRowFirstColumn="0" w:firstRowLastColumn="0" w:lastRowFirstColumn="0" w:lastRowLastColumn="0"/>
          <w:tblHeader/>
        </w:trPr>
        <w:tc>
          <w:tcPr>
            <w:tcW w:w="2520" w:type="dxa"/>
          </w:tcPr>
          <w:p w14:paraId="6FB98497" w14:textId="77777777" w:rsidR="00E25AC4" w:rsidRDefault="00AA4D44">
            <w:pPr>
              <w:pStyle w:val="Compact"/>
            </w:pPr>
            <w:r>
              <w:rPr>
                <w:rFonts w:hint="eastAsia"/>
                <w:b/>
                <w:sz w:val="16"/>
              </w:rPr>
              <w:t>指标</w:t>
            </w:r>
          </w:p>
        </w:tc>
        <w:tc>
          <w:tcPr>
            <w:tcW w:w="2520" w:type="dxa"/>
          </w:tcPr>
          <w:p w14:paraId="3B2081A7" w14:textId="77777777" w:rsidR="00E25AC4" w:rsidRDefault="00AA4D44">
            <w:pPr>
              <w:pStyle w:val="Compact"/>
              <w:jc w:val="right"/>
            </w:pPr>
            <w:r>
              <w:rPr>
                <w:rFonts w:hint="eastAsia"/>
                <w:b/>
                <w:sz w:val="16"/>
              </w:rPr>
              <w:t>结果</w:t>
            </w:r>
          </w:p>
        </w:tc>
      </w:tr>
      <w:tr w:rsidR="00E25AC4" w14:paraId="5E8D245F" w14:textId="77777777" w:rsidTr="00E25AC4">
        <w:tc>
          <w:tcPr>
            <w:tcW w:w="2520" w:type="dxa"/>
          </w:tcPr>
          <w:p w14:paraId="406986F8" w14:textId="77777777" w:rsidR="00E25AC4" w:rsidRDefault="00AA4D44">
            <w:pPr>
              <w:pStyle w:val="Compact"/>
            </w:pPr>
            <w:r>
              <w:rPr>
                <w:rFonts w:hint="eastAsia"/>
                <w:sz w:val="16"/>
              </w:rPr>
              <w:t>核心任务完成率</w:t>
            </w:r>
          </w:p>
        </w:tc>
        <w:tc>
          <w:tcPr>
            <w:tcW w:w="2520" w:type="dxa"/>
          </w:tcPr>
          <w:p w14:paraId="2B6BB861" w14:textId="77777777" w:rsidR="00E25AC4" w:rsidRDefault="00AA4D44">
            <w:pPr>
              <w:pStyle w:val="Compact"/>
              <w:jc w:val="right"/>
            </w:pPr>
            <w:r>
              <w:rPr>
                <w:rFonts w:hint="eastAsia"/>
                <w:sz w:val="16"/>
              </w:rPr>
              <w:t>18/19</w:t>
            </w:r>
            <w:r>
              <w:rPr>
                <w:rFonts w:hint="eastAsia"/>
                <w:sz w:val="16"/>
              </w:rPr>
              <w:t>（</w:t>
            </w:r>
            <w:r>
              <w:rPr>
                <w:rFonts w:hint="eastAsia"/>
                <w:sz w:val="16"/>
              </w:rPr>
              <w:t>94.7%</w:t>
            </w:r>
            <w:r>
              <w:rPr>
                <w:rFonts w:hint="eastAsia"/>
                <w:sz w:val="16"/>
              </w:rPr>
              <w:t>）</w:t>
            </w:r>
          </w:p>
        </w:tc>
      </w:tr>
      <w:tr w:rsidR="00E25AC4" w14:paraId="3F40158E" w14:textId="77777777" w:rsidTr="00E25AC4">
        <w:tc>
          <w:tcPr>
            <w:tcW w:w="2520" w:type="dxa"/>
          </w:tcPr>
          <w:p w14:paraId="67B9471F" w14:textId="77777777" w:rsidR="00E25AC4" w:rsidRDefault="00AA4D44">
            <w:pPr>
              <w:pStyle w:val="Compact"/>
            </w:pPr>
            <w:r>
              <w:rPr>
                <w:rFonts w:hint="eastAsia"/>
                <w:sz w:val="16"/>
              </w:rPr>
              <w:t>SUS</w:t>
            </w:r>
            <w:r>
              <w:rPr>
                <w:rFonts w:hint="eastAsia"/>
                <w:sz w:val="16"/>
              </w:rPr>
              <w:t>（</w:t>
            </w:r>
            <w:r>
              <w:rPr>
                <w:rFonts w:hint="eastAsia"/>
                <w:sz w:val="16"/>
              </w:rPr>
              <w:t>0</w:t>
            </w:r>
            <w:r>
              <w:rPr>
                <w:rFonts w:hint="eastAsia"/>
                <w:sz w:val="16"/>
              </w:rPr>
              <w:t>–</w:t>
            </w:r>
            <w:r>
              <w:rPr>
                <w:rFonts w:hint="eastAsia"/>
                <w:sz w:val="16"/>
              </w:rPr>
              <w:t>100</w:t>
            </w:r>
            <w:r>
              <w:rPr>
                <w:rFonts w:hint="eastAsia"/>
                <w:sz w:val="16"/>
              </w:rPr>
              <w:t>）</w:t>
            </w:r>
          </w:p>
        </w:tc>
        <w:tc>
          <w:tcPr>
            <w:tcW w:w="2520" w:type="dxa"/>
          </w:tcPr>
          <w:p w14:paraId="49EA5EB5" w14:textId="77777777" w:rsidR="00E25AC4" w:rsidRDefault="00AA4D44">
            <w:pPr>
              <w:pStyle w:val="Compact"/>
              <w:jc w:val="right"/>
            </w:pPr>
            <w:r>
              <w:rPr>
                <w:sz w:val="16"/>
              </w:rPr>
              <w:t>82.4</w:t>
            </w:r>
          </w:p>
        </w:tc>
      </w:tr>
      <w:tr w:rsidR="00E25AC4" w14:paraId="1B729E67" w14:textId="77777777" w:rsidTr="00E25AC4">
        <w:tc>
          <w:tcPr>
            <w:tcW w:w="2520" w:type="dxa"/>
          </w:tcPr>
          <w:p w14:paraId="1887AD39" w14:textId="77777777" w:rsidR="00E25AC4" w:rsidRDefault="00AA4D44">
            <w:pPr>
              <w:pStyle w:val="Compact"/>
            </w:pPr>
            <w:r>
              <w:rPr>
                <w:rFonts w:hint="eastAsia"/>
                <w:sz w:val="16"/>
              </w:rPr>
              <w:t>NASA-TLX</w:t>
            </w:r>
            <w:r>
              <w:rPr>
                <w:rFonts w:hint="eastAsia"/>
                <w:sz w:val="16"/>
              </w:rPr>
              <w:t>：心理需求</w:t>
            </w:r>
          </w:p>
        </w:tc>
        <w:tc>
          <w:tcPr>
            <w:tcW w:w="2520" w:type="dxa"/>
          </w:tcPr>
          <w:p w14:paraId="280D25DF" w14:textId="77777777" w:rsidR="00E25AC4" w:rsidRDefault="00AA4D44">
            <w:pPr>
              <w:pStyle w:val="Compact"/>
              <w:jc w:val="right"/>
            </w:pPr>
            <w:r>
              <w:rPr>
                <w:sz w:val="16"/>
              </w:rPr>
              <w:t>42.9</w:t>
            </w:r>
          </w:p>
        </w:tc>
      </w:tr>
      <w:tr w:rsidR="00E25AC4" w14:paraId="0FDD0965" w14:textId="77777777" w:rsidTr="00E25AC4">
        <w:tc>
          <w:tcPr>
            <w:tcW w:w="2520" w:type="dxa"/>
          </w:tcPr>
          <w:p w14:paraId="17338659" w14:textId="77777777" w:rsidR="00E25AC4" w:rsidRDefault="00AA4D44">
            <w:pPr>
              <w:pStyle w:val="Compact"/>
            </w:pPr>
            <w:r>
              <w:rPr>
                <w:rFonts w:hint="eastAsia"/>
                <w:sz w:val="16"/>
              </w:rPr>
              <w:t>NASA-TLX</w:t>
            </w:r>
            <w:r>
              <w:rPr>
                <w:rFonts w:hint="eastAsia"/>
                <w:sz w:val="16"/>
              </w:rPr>
              <w:t>：身体需求</w:t>
            </w:r>
          </w:p>
        </w:tc>
        <w:tc>
          <w:tcPr>
            <w:tcW w:w="2520" w:type="dxa"/>
          </w:tcPr>
          <w:p w14:paraId="2EB5CF43" w14:textId="77777777" w:rsidR="00E25AC4" w:rsidRDefault="00AA4D44">
            <w:pPr>
              <w:pStyle w:val="Compact"/>
              <w:jc w:val="right"/>
            </w:pPr>
            <w:r>
              <w:rPr>
                <w:sz w:val="16"/>
              </w:rPr>
              <w:t>27.9</w:t>
            </w:r>
          </w:p>
        </w:tc>
      </w:tr>
      <w:tr w:rsidR="00E25AC4" w14:paraId="43AAFA31" w14:textId="77777777" w:rsidTr="00E25AC4">
        <w:tc>
          <w:tcPr>
            <w:tcW w:w="2520" w:type="dxa"/>
          </w:tcPr>
          <w:p w14:paraId="2DBE292E" w14:textId="77777777" w:rsidR="00E25AC4" w:rsidRDefault="00AA4D44">
            <w:pPr>
              <w:pStyle w:val="Compact"/>
            </w:pPr>
            <w:r>
              <w:rPr>
                <w:rFonts w:hint="eastAsia"/>
                <w:sz w:val="16"/>
              </w:rPr>
              <w:t>NASA-TLX</w:t>
            </w:r>
            <w:r>
              <w:rPr>
                <w:rFonts w:hint="eastAsia"/>
                <w:sz w:val="16"/>
              </w:rPr>
              <w:t>：时间压力</w:t>
            </w:r>
          </w:p>
        </w:tc>
        <w:tc>
          <w:tcPr>
            <w:tcW w:w="2520" w:type="dxa"/>
          </w:tcPr>
          <w:p w14:paraId="733E9A1B" w14:textId="77777777" w:rsidR="00E25AC4" w:rsidRDefault="00AA4D44">
            <w:pPr>
              <w:pStyle w:val="Compact"/>
              <w:jc w:val="right"/>
            </w:pPr>
            <w:r>
              <w:rPr>
                <w:sz w:val="16"/>
              </w:rPr>
              <w:t>30.8</w:t>
            </w:r>
          </w:p>
        </w:tc>
      </w:tr>
      <w:tr w:rsidR="00E25AC4" w14:paraId="173B8F52" w14:textId="77777777" w:rsidTr="00E25AC4">
        <w:tc>
          <w:tcPr>
            <w:tcW w:w="2520" w:type="dxa"/>
          </w:tcPr>
          <w:p w14:paraId="114CF15C" w14:textId="77777777" w:rsidR="00E25AC4" w:rsidRDefault="00AA4D44">
            <w:pPr>
              <w:pStyle w:val="Compact"/>
            </w:pPr>
            <w:r>
              <w:rPr>
                <w:rFonts w:hint="eastAsia"/>
                <w:sz w:val="16"/>
              </w:rPr>
              <w:t>NASA-TLX</w:t>
            </w:r>
            <w:r>
              <w:rPr>
                <w:rFonts w:hint="eastAsia"/>
                <w:sz w:val="16"/>
              </w:rPr>
              <w:t>：付出努力</w:t>
            </w:r>
          </w:p>
        </w:tc>
        <w:tc>
          <w:tcPr>
            <w:tcW w:w="2520" w:type="dxa"/>
          </w:tcPr>
          <w:p w14:paraId="4FD41BCE" w14:textId="77777777" w:rsidR="00E25AC4" w:rsidRDefault="00AA4D44">
            <w:pPr>
              <w:pStyle w:val="Compact"/>
              <w:jc w:val="right"/>
            </w:pPr>
            <w:r>
              <w:rPr>
                <w:sz w:val="16"/>
              </w:rPr>
              <w:t>44.7</w:t>
            </w:r>
          </w:p>
        </w:tc>
      </w:tr>
      <w:tr w:rsidR="00E25AC4" w14:paraId="0C54FEAA" w14:textId="77777777" w:rsidTr="00E25AC4">
        <w:tc>
          <w:tcPr>
            <w:tcW w:w="2520" w:type="dxa"/>
          </w:tcPr>
          <w:p w14:paraId="62F5FC54" w14:textId="77777777" w:rsidR="00E25AC4" w:rsidRDefault="00AA4D44">
            <w:pPr>
              <w:pStyle w:val="Compact"/>
            </w:pPr>
            <w:r>
              <w:rPr>
                <w:rFonts w:hint="eastAsia"/>
                <w:sz w:val="16"/>
              </w:rPr>
              <w:t>NASA-TLX</w:t>
            </w:r>
            <w:r>
              <w:rPr>
                <w:rFonts w:hint="eastAsia"/>
                <w:sz w:val="16"/>
              </w:rPr>
              <w:t>：挫败感</w:t>
            </w:r>
          </w:p>
        </w:tc>
        <w:tc>
          <w:tcPr>
            <w:tcW w:w="2520" w:type="dxa"/>
          </w:tcPr>
          <w:p w14:paraId="11DDFD8F" w14:textId="77777777" w:rsidR="00E25AC4" w:rsidRDefault="00AA4D44">
            <w:pPr>
              <w:pStyle w:val="Compact"/>
              <w:jc w:val="right"/>
            </w:pPr>
            <w:r>
              <w:rPr>
                <w:sz w:val="16"/>
              </w:rPr>
              <w:t>24.2</w:t>
            </w:r>
          </w:p>
        </w:tc>
      </w:tr>
    </w:tbl>
    <w:p w14:paraId="33BA7D93" w14:textId="77777777" w:rsidR="00E25AC4" w:rsidRDefault="00AA4D44">
      <w:pPr>
        <w:pStyle w:val="a0"/>
        <w:jc w:val="both"/>
      </w:pPr>
      <w:r>
        <w:t xml:space="preserve">18 </w:t>
      </w:r>
      <w:r>
        <w:rPr>
          <w:rFonts w:hint="eastAsia"/>
        </w:rPr>
        <w:t>名参与者完成了核心任务流程，表明在本次研究条件下，绝大多数参与者能够完成从样本操作到显微观察和结构探索的主要交互序列。该指标反映流程可行性，不代表参与者已经掌握相关光学知识。</w:t>
      </w:r>
    </w:p>
    <w:p w14:paraId="147044A0" w14:textId="77777777" w:rsidR="00E25AC4" w:rsidRDefault="00AA4D44">
      <w:pPr>
        <w:pStyle w:val="a0"/>
        <w:jc w:val="both"/>
      </w:pPr>
      <w:r>
        <w:rPr>
          <w:rFonts w:hint="eastAsia"/>
        </w:rPr>
        <w:lastRenderedPageBreak/>
        <w:t>整体</w:t>
      </w:r>
      <w:r>
        <w:t xml:space="preserve"> SUS </w:t>
      </w:r>
      <w:r>
        <w:rPr>
          <w:rFonts w:hint="eastAsia"/>
        </w:rPr>
        <w:t>均值为</w:t>
      </w:r>
      <w:r>
        <w:t xml:space="preserve"> </w:t>
      </w:r>
      <w:r>
        <w:rPr>
          <w:rFonts w:hint="eastAsia"/>
        </w:rPr>
        <w:t>82.4</w:t>
      </w:r>
      <w:r>
        <w:rPr>
          <w:rFonts w:hint="eastAsia"/>
        </w:rPr>
        <w:t>。按照既有</w:t>
      </w:r>
      <w:r>
        <w:t xml:space="preserve"> SUS </w:t>
      </w:r>
      <w:r>
        <w:rPr>
          <w:rFonts w:hint="eastAsia"/>
        </w:rPr>
        <w:t>经验数据的解释框架，这一结果支持较高的感知可用性</w:t>
      </w:r>
      <w:r>
        <w:t xml:space="preserve"> [22]</w:t>
      </w:r>
      <w:r>
        <w:t>。</w:t>
      </w:r>
    </w:p>
    <w:p w14:paraId="320567E5" w14:textId="77777777" w:rsidR="00E25AC4" w:rsidRDefault="00AA4D44">
      <w:pPr>
        <w:pStyle w:val="a0"/>
        <w:jc w:val="both"/>
      </w:pPr>
      <w:r>
        <w:t xml:space="preserve">NASA-TLX </w:t>
      </w:r>
      <w:r>
        <w:rPr>
          <w:rFonts w:hint="eastAsia"/>
        </w:rPr>
        <w:t>的描述性结果中，付出努力（</w:t>
      </w:r>
      <w:r>
        <w:rPr>
          <w:rFonts w:hint="eastAsia"/>
        </w:rPr>
        <w:t>44.7</w:t>
      </w:r>
      <w:r>
        <w:rPr>
          <w:rFonts w:hint="eastAsia"/>
        </w:rPr>
        <w:t>）和心理需求（</w:t>
      </w:r>
      <w:r>
        <w:rPr>
          <w:rFonts w:hint="eastAsia"/>
        </w:rPr>
        <w:t>42.9</w:t>
      </w:r>
      <w:r>
        <w:rPr>
          <w:rFonts w:hint="eastAsia"/>
        </w:rPr>
        <w:t>）是数值最高的两个已报告维度；身体需求（</w:t>
      </w:r>
      <w:r>
        <w:rPr>
          <w:rFonts w:hint="eastAsia"/>
        </w:rPr>
        <w:t>27.9</w:t>
      </w:r>
      <w:r>
        <w:rPr>
          <w:rFonts w:hint="eastAsia"/>
        </w:rPr>
        <w:t>）、时间压力（</w:t>
      </w:r>
      <w:r>
        <w:rPr>
          <w:rFonts w:hint="eastAsia"/>
        </w:rPr>
        <w:t>30.8</w:t>
      </w:r>
      <w:r>
        <w:rPr>
          <w:rFonts w:hint="eastAsia"/>
        </w:rPr>
        <w:t>）和挫败感（</w:t>
      </w:r>
      <w:r>
        <w:rPr>
          <w:rFonts w:hint="eastAsia"/>
        </w:rPr>
        <w:t>24.2</w:t>
      </w:r>
      <w:r>
        <w:rPr>
          <w:rFonts w:hint="eastAsia"/>
        </w:rPr>
        <w:t>）较低。由于本研究没有对照条件，也没有针对各维度提出预先假设</w:t>
      </w:r>
      <w:r>
        <w:rPr>
          <w:rFonts w:hint="eastAsia"/>
        </w:rPr>
        <w:t>，本文仅报告这一描述性分布，不对维度差异进行显著性检验或因果解释。</w:t>
      </w:r>
    </w:p>
    <w:p w14:paraId="146F97C2" w14:textId="77777777" w:rsidR="00E25AC4" w:rsidRDefault="00AA4D44">
      <w:pPr>
        <w:pStyle w:val="3"/>
      </w:pPr>
      <w:bookmarkStart w:id="29" w:name="结果解释与效度边界"/>
      <w:bookmarkEnd w:id="28"/>
      <w:r>
        <w:t xml:space="preserve">E. </w:t>
      </w:r>
      <w:r>
        <w:t>结果解释与效度边界</w:t>
      </w:r>
    </w:p>
    <w:p w14:paraId="181D9F9B" w14:textId="77777777" w:rsidR="00E25AC4" w:rsidRDefault="00AA4D44">
      <w:pPr>
        <w:pStyle w:val="FirstParagraph"/>
        <w:jc w:val="both"/>
      </w:pPr>
      <w:r>
        <w:rPr>
          <w:rFonts w:hint="eastAsia"/>
        </w:rPr>
        <w:t>本研究是一项单组探索性评价。它支持的结论是：参与者总体能够完成核心</w:t>
      </w:r>
      <w:r>
        <w:t xml:space="preserve"> VR </w:t>
      </w:r>
      <w:r>
        <w:rPr>
          <w:rFonts w:hint="eastAsia"/>
        </w:rPr>
        <w:t>显微操作流程，并对系统给出较高的可用性评价；它不支持“</w:t>
      </w:r>
      <w:r>
        <w:rPr>
          <w:rFonts w:hint="eastAsia"/>
        </w:rPr>
        <w:t>AI</w:t>
      </w:r>
      <w:r>
        <w:t xml:space="preserve"> </w:t>
      </w:r>
      <w:r>
        <w:rPr>
          <w:rFonts w:hint="eastAsia"/>
        </w:rPr>
        <w:t>提高了学习成绩”“</w:t>
      </w:r>
      <w:r>
        <w:rPr>
          <w:rFonts w:hint="eastAsia"/>
        </w:rPr>
        <w:t>AI</w:t>
      </w:r>
      <w:r>
        <w:t xml:space="preserve"> </w:t>
      </w:r>
      <w:r>
        <w:rPr>
          <w:rFonts w:hint="eastAsia"/>
        </w:rPr>
        <w:t>降低了工作负荷”或“系统可以替代真实仪器训练”等因果结论。</w:t>
      </w:r>
      <w:r>
        <w:rPr>
          <w:rFonts w:hint="eastAsia"/>
        </w:rPr>
        <w:t>SUS</w:t>
      </w:r>
      <w:r>
        <w:t xml:space="preserve"> </w:t>
      </w:r>
      <w:r>
        <w:rPr>
          <w:rFonts w:hint="eastAsia"/>
        </w:rPr>
        <w:t>和</w:t>
      </w:r>
      <w:r>
        <w:t xml:space="preserve"> NASA-TLX </w:t>
      </w:r>
      <w:r>
        <w:rPr>
          <w:rFonts w:hint="eastAsia"/>
        </w:rPr>
        <w:t>都是主观体验量表，也不能替代光学知识前后测、真实仪器迁移测试或专家操作评分。</w:t>
      </w:r>
    </w:p>
    <w:p w14:paraId="4380C4A4" w14:textId="77777777" w:rsidR="00E25AC4" w:rsidRDefault="00AA4D44">
      <w:pPr>
        <w:pStyle w:val="a0"/>
        <w:jc w:val="both"/>
      </w:pPr>
      <w:r>
        <w:rPr>
          <w:rFonts w:hint="eastAsia"/>
        </w:rPr>
        <w:t>参与者的专业背景仅用于描述样本构成。由于各专业人数不平衡，尤其是商学和哲学参与者数量很少，本文</w:t>
      </w:r>
      <w:r>
        <w:rPr>
          <w:rFonts w:hint="eastAsia"/>
        </w:rPr>
        <w:t>不把专业类别作为统计比较组。当前实现中的语音识别准确率、端到端延迟、帧率以及对异常提示的系统鲁棒性，需要通过单独设计的仪器化基准或压力测试评价，不能从本次</w:t>
      </w:r>
      <w:r>
        <w:t xml:space="preserve"> SUS/NASA-TLX </w:t>
      </w:r>
      <w:r>
        <w:rPr>
          <w:rFonts w:hint="eastAsia"/>
        </w:rPr>
        <w:t>结果中推断。</w:t>
      </w:r>
    </w:p>
    <w:p w14:paraId="3E049E6C" w14:textId="77777777" w:rsidR="00E25AC4" w:rsidRDefault="00AA4D44">
      <w:pPr>
        <w:pStyle w:val="2"/>
        <w:jc w:val="center"/>
      </w:pPr>
      <w:bookmarkStart w:id="30" w:name="讨论与局限性"/>
      <w:bookmarkEnd w:id="29"/>
      <w:bookmarkEnd w:id="24"/>
      <w:r>
        <w:t xml:space="preserve">VII. </w:t>
      </w:r>
      <w:r>
        <w:t>讨论与局限性</w:t>
      </w:r>
    </w:p>
    <w:p w14:paraId="523E5CB7" w14:textId="77777777" w:rsidR="00E25AC4" w:rsidRDefault="00AA4D44">
      <w:pPr>
        <w:pStyle w:val="FirstParagraph"/>
        <w:jc w:val="both"/>
      </w:pPr>
      <w:r>
        <w:t xml:space="preserve">VRMicroscope </w:t>
      </w:r>
      <w:r>
        <w:rPr>
          <w:rFonts w:hint="eastAsia"/>
        </w:rPr>
        <w:t>的主要系统贡献不是让大语言模型“控制显微镜”，而是把当前部件、当前可用控制和可观察结果建立显式联系。实验环境提供可操作对象和反馈，</w:t>
      </w:r>
      <w:r>
        <w:rPr>
          <w:rFonts w:hint="eastAsia"/>
        </w:rPr>
        <w:t>AI</w:t>
      </w:r>
      <w:r>
        <w:t xml:space="preserve"> </w:t>
      </w:r>
      <w:r>
        <w:rPr>
          <w:rFonts w:hint="eastAsia"/>
        </w:rPr>
        <w:t>层则在这些既有状态之上提供解释、操作说明和空间定位。状态快照、动作目录和客户端复核降低了生成不存在操作或使用过期步骤的风险，但它们</w:t>
      </w:r>
      <w:r>
        <w:rPr>
          <w:rFonts w:hint="eastAsia"/>
        </w:rPr>
        <w:t>并不保证所有自然语言解释在科学上都正确。</w:t>
      </w:r>
    </w:p>
    <w:p w14:paraId="3D77BD42" w14:textId="77777777" w:rsidR="00E25AC4" w:rsidRDefault="00AA4D44">
      <w:pPr>
        <w:pStyle w:val="a0"/>
        <w:jc w:val="both"/>
      </w:pPr>
      <w:r>
        <w:rPr>
          <w:rFonts w:hint="eastAsia"/>
        </w:rPr>
        <w:t>第二个设计重点是区分教学抽象与物理真实性。调焦可见区间和亮度映射属于人为设计的教学反馈；</w:t>
      </w:r>
      <w:r>
        <w:rPr>
          <w:rFonts w:hint="eastAsia"/>
        </w:rPr>
        <w:t>NA</w:t>
      </w:r>
      <w:r>
        <w:rPr>
          <w:rFonts w:hint="eastAsia"/>
        </w:rPr>
        <w:t>、光栅衍射、傅里叶频谱和</w:t>
      </w:r>
      <w:r>
        <w:t xml:space="preserve"> s-SNOM </w:t>
      </w:r>
      <w:r>
        <w:rPr>
          <w:rFonts w:hint="eastAsia"/>
        </w:rPr>
        <w:t>阶段则建立在标准理论关系上，但仍采用了简化参数、合成图像或支持范围可视化。因此，本系统更适合被描述为“具有显式建模边界的教学仿真”，而不是数字孪生或定量显微模拟器。后续若要评价科学真实性，应由显微领域专家依据真实仪器行为对关键模块进行内容效度审查，并将可比较变量与实测数据进行标定。</w:t>
      </w:r>
    </w:p>
    <w:p w14:paraId="35A47295" w14:textId="77777777" w:rsidR="00E25AC4" w:rsidRDefault="00AA4D44">
      <w:pPr>
        <w:pStyle w:val="a0"/>
        <w:jc w:val="both"/>
      </w:pPr>
      <w:r>
        <w:rPr>
          <w:rFonts w:hint="eastAsia"/>
        </w:rPr>
        <w:t>用户研究提供的是可行性和可用性证据。与</w:t>
      </w:r>
      <w:r>
        <w:t xml:space="preserve"> Chheang </w:t>
      </w:r>
      <w:r>
        <w:rPr>
          <w:rFonts w:hint="eastAsia"/>
        </w:rPr>
        <w:t>等采用明确实验条件的</w:t>
      </w:r>
      <w:r>
        <w:t xml:space="preserve"> within-subject </w:t>
      </w:r>
      <w:r>
        <w:rPr>
          <w:rFonts w:hint="eastAsia"/>
        </w:rPr>
        <w:t>设计</w:t>
      </w:r>
      <w:r>
        <w:t xml:space="preserve"> </w:t>
      </w:r>
      <w:r>
        <w:rPr>
          <w:rFonts w:hint="eastAsia"/>
        </w:rPr>
        <w:t>[1]</w:t>
      </w:r>
      <w:r>
        <w:rPr>
          <w:rFonts w:hint="eastAsia"/>
        </w:rPr>
        <w:t>，以及</w:t>
      </w:r>
      <w:r>
        <w:t xml:space="preserve"> Duan </w:t>
      </w:r>
      <w:r>
        <w:rPr>
          <w:rFonts w:hint="eastAsia"/>
        </w:rPr>
        <w:t>等同时设置学习相关结果和比较组的</w:t>
      </w:r>
      <w:r>
        <w:t xml:space="preserve"> AIxVR </w:t>
      </w:r>
      <w:r>
        <w:rPr>
          <w:rFonts w:hint="eastAsia"/>
        </w:rPr>
        <w:t>研究</w:t>
      </w:r>
      <w:r>
        <w:t xml:space="preserve"> [21] </w:t>
      </w:r>
      <w:r>
        <w:rPr>
          <w:rFonts w:hint="eastAsia"/>
        </w:rPr>
        <w:t>相比，本文的单组探索性研究更适合回答“系统是否可用、流程是否能完成”，而不能回答“</w:t>
      </w:r>
      <w:r>
        <w:rPr>
          <w:rFonts w:hint="eastAsia"/>
        </w:rPr>
        <w:t>AI</w:t>
      </w:r>
      <w:r>
        <w:t xml:space="preserve"> </w:t>
      </w:r>
      <w:r>
        <w:rPr>
          <w:rFonts w:hint="eastAsia"/>
        </w:rPr>
        <w:t>是否使学习更好”。下一阶段评价应加入</w:t>
      </w:r>
      <w:r>
        <w:t xml:space="preserve"> AI-on/AI-off </w:t>
      </w:r>
      <w:r>
        <w:rPr>
          <w:rFonts w:hint="eastAsia"/>
        </w:rPr>
        <w:t>或不同辅导策略的对照条件、显微概念前后测、真实或专家评分的操作迁移任务，以及自动记录的</w:t>
      </w:r>
      <w:r>
        <w:t xml:space="preserve"> AI </w:t>
      </w:r>
      <w:r>
        <w:rPr>
          <w:rFonts w:hint="eastAsia"/>
        </w:rPr>
        <w:t>交互次数、语音错误率和端到端延迟。</w:t>
      </w:r>
      <w:r>
        <w:rPr>
          <w:rFonts w:hint="eastAsia"/>
        </w:rPr>
        <w:t>这样才能把“系统可用”进一步推进到“学习有效”和“工程性能可重复验证”。</w:t>
      </w:r>
    </w:p>
    <w:p w14:paraId="00CC7D4C" w14:textId="77777777" w:rsidR="00E25AC4" w:rsidRDefault="00AA4D44">
      <w:pPr>
        <w:pStyle w:val="2"/>
        <w:jc w:val="center"/>
      </w:pPr>
      <w:bookmarkStart w:id="31" w:name="结论与后续工作"/>
      <w:bookmarkEnd w:id="30"/>
      <w:r>
        <w:t xml:space="preserve">VIII. </w:t>
      </w:r>
      <w:r>
        <w:t>结论与后续工作</w:t>
      </w:r>
    </w:p>
    <w:p w14:paraId="3FEF84CE" w14:textId="77777777" w:rsidR="00E25AC4" w:rsidRDefault="00AA4D44">
      <w:pPr>
        <w:pStyle w:val="FirstParagraph"/>
        <w:jc w:val="both"/>
      </w:pPr>
      <w:r>
        <w:rPr>
          <w:rFonts w:hint="eastAsia"/>
        </w:rPr>
        <w:t>本文提出</w:t>
      </w:r>
      <w:r>
        <w:t xml:space="preserve"> </w:t>
      </w:r>
      <w:r>
        <w:rPr>
          <w:rFonts w:hint="eastAsia"/>
        </w:rPr>
        <w:t>VRMicroscope</w:t>
      </w:r>
      <w:r>
        <w:rPr>
          <w:rFonts w:hint="eastAsia"/>
        </w:rPr>
        <w:t>，将可交互的虚拟显微实验、具有明确科学边界的光学教学模块和任务状态感知</w:t>
      </w:r>
      <w:r>
        <w:t xml:space="preserve"> AI </w:t>
      </w:r>
      <w:r>
        <w:rPr>
          <w:rFonts w:hint="eastAsia"/>
        </w:rPr>
        <w:t>指引整合到同一学习</w:t>
      </w:r>
      <w:r>
        <w:rPr>
          <w:rFonts w:hint="eastAsia"/>
        </w:rPr>
        <w:t>环境中。系统通过实际界面状态生成可用动作集合，对模型返回的操作标识进行程序复核，并在状态变化后拒绝过期建议；与此同时，</w:t>
      </w:r>
      <w:r>
        <w:rPr>
          <w:rFonts w:hint="eastAsia"/>
        </w:rPr>
        <w:t>VR</w:t>
      </w:r>
      <w:r>
        <w:t xml:space="preserve"> </w:t>
      </w:r>
      <w:r>
        <w:rPr>
          <w:rFonts w:hint="eastAsia"/>
        </w:rPr>
        <w:t>层保留样本操作、调焦、照明、物镜切换、部件探索以及</w:t>
      </w:r>
      <w:r>
        <w:t xml:space="preserve"> </w:t>
      </w:r>
      <w:r>
        <w:rPr>
          <w:rFonts w:hint="eastAsia"/>
        </w:rPr>
        <w:t>NA</w:t>
      </w:r>
      <w:r>
        <w:rPr>
          <w:rFonts w:hint="eastAsia"/>
        </w:rPr>
        <w:t>、空间频率和</w:t>
      </w:r>
      <w:r>
        <w:t xml:space="preserve"> THz s-SNOM </w:t>
      </w:r>
      <w:r>
        <w:rPr>
          <w:rFonts w:hint="eastAsia"/>
        </w:rPr>
        <w:t>等具体学习活动。</w:t>
      </w:r>
    </w:p>
    <w:p w14:paraId="62C6B584" w14:textId="77777777" w:rsidR="00E25AC4" w:rsidRDefault="00AA4D44">
      <w:pPr>
        <w:pStyle w:val="a0"/>
        <w:jc w:val="both"/>
      </w:pPr>
      <w:r>
        <w:rPr>
          <w:rFonts w:hint="eastAsia"/>
        </w:rPr>
        <w:t>一项包含</w:t>
      </w:r>
      <w:r>
        <w:t xml:space="preserve"> 19 </w:t>
      </w:r>
      <w:r>
        <w:rPr>
          <w:rFonts w:hint="eastAsia"/>
        </w:rPr>
        <w:t>名参与者的探索性研究表明，</w:t>
      </w:r>
      <w:r>
        <w:rPr>
          <w:rFonts w:hint="eastAsia"/>
        </w:rPr>
        <w:t>18</w:t>
      </w:r>
      <w:r>
        <w:t xml:space="preserve"> </w:t>
      </w:r>
      <w:r>
        <w:rPr>
          <w:rFonts w:hint="eastAsia"/>
        </w:rPr>
        <w:t>名参与者完成了核心任务流程，整体</w:t>
      </w:r>
      <w:r>
        <w:t xml:space="preserve"> SUS </w:t>
      </w:r>
      <w:r>
        <w:rPr>
          <w:rFonts w:hint="eastAsia"/>
        </w:rPr>
        <w:t>均值为</w:t>
      </w:r>
      <w:r>
        <w:t xml:space="preserve"> </w:t>
      </w:r>
      <w:r>
        <w:rPr>
          <w:rFonts w:hint="eastAsia"/>
        </w:rPr>
        <w:t>82.4/100</w:t>
      </w:r>
      <w:r>
        <w:rPr>
          <w:rFonts w:hint="eastAsia"/>
        </w:rPr>
        <w:t>，支持系统的流程可行性和较高感知可用性。本文不把这些结果解释为</w:t>
      </w:r>
      <w:r>
        <w:t xml:space="preserve"> AI </w:t>
      </w:r>
      <w:r>
        <w:rPr>
          <w:rFonts w:hint="eastAsia"/>
        </w:rPr>
        <w:t>的因果学习增益。后续工作将围绕三个方向展开：使用受控实验设计评价</w:t>
      </w:r>
      <w:r>
        <w:t xml:space="preserve"> AI </w:t>
      </w:r>
      <w:r>
        <w:rPr>
          <w:rFonts w:hint="eastAsia"/>
        </w:rPr>
        <w:t>辅导的增量价值；通过知</w:t>
      </w:r>
      <w:r>
        <w:rPr>
          <w:rFonts w:hint="eastAsia"/>
        </w:rPr>
        <w:t>识前后测、专家评分和真实仪器迁移任务评价学习效果；以及使用自动日志系统化测量语音识别、</w:t>
      </w:r>
      <w:r>
        <w:rPr>
          <w:rFonts w:hint="eastAsia"/>
        </w:rPr>
        <w:t>AI</w:t>
      </w:r>
      <w:r>
        <w:t xml:space="preserve"> </w:t>
      </w:r>
      <w:r>
        <w:rPr>
          <w:rFonts w:hint="eastAsia"/>
        </w:rPr>
        <w:t>延迟和</w:t>
      </w:r>
      <w:r>
        <w:t xml:space="preserve"> XR </w:t>
      </w:r>
      <w:r>
        <w:rPr>
          <w:rFonts w:hint="eastAsia"/>
        </w:rPr>
        <w:t>渲染性能。</w:t>
      </w:r>
    </w:p>
    <w:p w14:paraId="7C2E76B8" w14:textId="77777777" w:rsidR="00E25AC4" w:rsidRDefault="00AA4D44">
      <w:pPr>
        <w:pStyle w:val="a0"/>
        <w:jc w:val="both"/>
      </w:pPr>
      <w:r>
        <w:rPr>
          <w:rFonts w:hint="eastAsia"/>
        </w:rPr>
        <w:t>后续将以固定状态情境开展真实模型指引评价，区分动作可用性与学习目标匹配性，报告包含修复和审核的最终结果及端到端延迟，并单独分析范围外问题。该评价尚未实施。</w:t>
      </w:r>
    </w:p>
    <w:p w14:paraId="1D8D7505" w14:textId="77777777" w:rsidR="00E25AC4" w:rsidRDefault="00AA4D44">
      <w:pPr>
        <w:pStyle w:val="2"/>
        <w:jc w:val="center"/>
      </w:pPr>
      <w:bookmarkStart w:id="32" w:name="研究伦理与生成式-ai-使用说明"/>
      <w:bookmarkEnd w:id="31"/>
      <w:r>
        <w:rPr>
          <w:rFonts w:hint="eastAsia"/>
        </w:rPr>
        <w:t>研究伦理与生成式</w:t>
      </w:r>
      <w:r>
        <w:t xml:space="preserve"> AI </w:t>
      </w:r>
      <w:r>
        <w:rPr>
          <w:rFonts w:hint="eastAsia"/>
        </w:rPr>
        <w:t>使用说明</w:t>
      </w:r>
    </w:p>
    <w:p w14:paraId="56CF042D" w14:textId="77777777" w:rsidR="00E25AC4" w:rsidRDefault="00AA4D44">
      <w:pPr>
        <w:pStyle w:val="FirstParagraph"/>
        <w:jc w:val="both"/>
      </w:pPr>
      <w:r>
        <w:rPr>
          <w:rFonts w:hint="eastAsia"/>
        </w:rPr>
        <w:t>[</w:t>
      </w:r>
      <w:r>
        <w:rPr>
          <w:rFonts w:hint="eastAsia"/>
        </w:rPr>
        <w:t>伦理审查与参与者知情同意说明：待依据原始研究记录补齐。</w:t>
      </w:r>
      <w:r>
        <w:rPr>
          <w:rFonts w:hint="eastAsia"/>
        </w:rPr>
        <w:t>]</w:t>
      </w:r>
    </w:p>
    <w:p w14:paraId="5EE01780" w14:textId="77777777" w:rsidR="00E25AC4" w:rsidRDefault="00AA4D44">
      <w:pPr>
        <w:pStyle w:val="a0"/>
        <w:jc w:val="both"/>
      </w:pPr>
      <w:r>
        <w:t xml:space="preserve">Codex </w:t>
      </w:r>
      <w:r>
        <w:rPr>
          <w:rFonts w:hint="eastAsia"/>
        </w:rPr>
        <w:t>用于辅助代码实现及论文内容生成、修订和一致性检查，</w:t>
      </w:r>
      <w:r>
        <w:rPr>
          <w:rFonts w:hint="eastAsia"/>
        </w:rPr>
        <w:t>DeepSeek</w:t>
      </w:r>
      <w:r>
        <w:t xml:space="preserve"> </w:t>
      </w:r>
      <w:r>
        <w:rPr>
          <w:rFonts w:hint="eastAsia"/>
        </w:rPr>
        <w:t>用于系统运行时问答。人类作者负责核实实现描述、研究记录、分析及引</w:t>
      </w:r>
      <w:r>
        <w:rPr>
          <w:rFonts w:hint="eastAsia"/>
        </w:rPr>
        <w:t>用。</w:t>
      </w:r>
    </w:p>
    <w:p w14:paraId="55F26B95" w14:textId="77777777" w:rsidR="00E25AC4" w:rsidRDefault="00AA4D44">
      <w:pPr>
        <w:pStyle w:val="2"/>
        <w:jc w:val="center"/>
      </w:pPr>
      <w:bookmarkStart w:id="33" w:name="参考文献"/>
      <w:bookmarkEnd w:id="32"/>
      <w:r>
        <w:rPr>
          <w:rFonts w:hint="eastAsia"/>
        </w:rPr>
        <w:t>参考文献</w:t>
      </w:r>
    </w:p>
    <w:p w14:paraId="5016040D" w14:textId="77777777" w:rsidR="00E25AC4" w:rsidRDefault="00AA4D44">
      <w:pPr>
        <w:pStyle w:val="FirstParagraph"/>
        <w:ind w:left="288" w:hanging="288"/>
      </w:pPr>
      <w:r>
        <w:rPr>
          <w:sz w:val="16"/>
        </w:rPr>
        <w:t xml:space="preserve">[1] V. Chheang et al., “Towards Anatomy Education with Generative AI-based Virtual Assistants in Immersive Virtual Reality Environments,” in </w:t>
      </w:r>
      <w:r>
        <w:rPr>
          <w:i/>
          <w:iCs/>
          <w:sz w:val="16"/>
        </w:rPr>
        <w:t>Proc. 2024 IEEE Int. Conf. on Artificial Intelligence and eXtended and Virtual Reality (AIxVR)</w:t>
      </w:r>
      <w:r>
        <w:rPr>
          <w:sz w:val="16"/>
        </w:rPr>
        <w:t xml:space="preserve">, pp. 21–30, </w:t>
      </w:r>
      <w:r>
        <w:rPr>
          <w:sz w:val="16"/>
        </w:rPr>
        <w:t xml:space="preserve">2024. </w:t>
      </w:r>
      <w:hyperlink r:id="rId7">
        <w:r>
          <w:rPr>
            <w:rStyle w:val="af"/>
          </w:rPr>
          <w:t>doi:10.1109/AIxVR59861.2024.00011</w:t>
        </w:r>
      </w:hyperlink>
      <w:r>
        <w:rPr>
          <w:sz w:val="16"/>
        </w:rPr>
        <w:t>.</w:t>
      </w:r>
    </w:p>
    <w:p w14:paraId="77A64727" w14:textId="77777777" w:rsidR="00E25AC4" w:rsidRDefault="00AA4D44">
      <w:pPr>
        <w:pStyle w:val="a0"/>
        <w:ind w:left="288" w:hanging="288"/>
      </w:pPr>
      <w:r>
        <w:rPr>
          <w:sz w:val="16"/>
        </w:rPr>
        <w:t xml:space="preserve">[2] A. Geris and G. Alce, “Real-Time Voice-Based LLM Integration for XR Tutoring: A Prototype Implementation,” in </w:t>
      </w:r>
      <w:r>
        <w:rPr>
          <w:i/>
          <w:iCs/>
          <w:sz w:val="16"/>
        </w:rPr>
        <w:t>Proc. 2026 IEEE Int. Conf. on Artifi</w:t>
      </w:r>
      <w:r>
        <w:rPr>
          <w:i/>
          <w:iCs/>
          <w:sz w:val="16"/>
        </w:rPr>
        <w:t>cial Intelligence and eXtended and Virtual Reality (AIxVR)</w:t>
      </w:r>
      <w:r>
        <w:rPr>
          <w:sz w:val="16"/>
        </w:rPr>
        <w:t xml:space="preserve">, pp. 285–289, 2026. </w:t>
      </w:r>
      <w:hyperlink r:id="rId8">
        <w:r>
          <w:rPr>
            <w:rStyle w:val="af"/>
          </w:rPr>
          <w:t>doi:10.1109/AIxVR67263.2026.00050</w:t>
        </w:r>
      </w:hyperlink>
      <w:r>
        <w:rPr>
          <w:sz w:val="16"/>
        </w:rPr>
        <w:t>.</w:t>
      </w:r>
    </w:p>
    <w:p w14:paraId="41049A9B" w14:textId="77777777" w:rsidR="00E25AC4" w:rsidRDefault="00AA4D44">
      <w:pPr>
        <w:pStyle w:val="a0"/>
        <w:ind w:left="288" w:hanging="288"/>
      </w:pPr>
      <w:r>
        <w:rPr>
          <w:sz w:val="16"/>
        </w:rPr>
        <w:t>[3] D. Wang et al., “SpatialTutor: Object-Aware Mixed Reality Training for Pr</w:t>
      </w:r>
      <w:r>
        <w:rPr>
          <w:sz w:val="16"/>
        </w:rPr>
        <w:t xml:space="preserve">ocedural Medical Skills Training with AI-Driven Support,” in </w:t>
      </w:r>
      <w:r>
        <w:rPr>
          <w:i/>
          <w:iCs/>
          <w:sz w:val="16"/>
        </w:rPr>
        <w:t>Proc. 2026 IEEE Int. Conf. on Artificial Intelligence and eXtended and Virtual Reality (AIxVR)</w:t>
      </w:r>
      <w:r>
        <w:rPr>
          <w:sz w:val="16"/>
        </w:rPr>
        <w:t xml:space="preserve">, pp. 57–66, 2026. </w:t>
      </w:r>
      <w:hyperlink r:id="rId9">
        <w:r>
          <w:rPr>
            <w:rStyle w:val="af"/>
          </w:rPr>
          <w:t>doi:10.1109/AIxVR</w:t>
        </w:r>
        <w:r>
          <w:rPr>
            <w:rStyle w:val="af"/>
          </w:rPr>
          <w:t>67263.2026.00016</w:t>
        </w:r>
      </w:hyperlink>
      <w:r>
        <w:rPr>
          <w:sz w:val="16"/>
        </w:rPr>
        <w:t>.</w:t>
      </w:r>
    </w:p>
    <w:p w14:paraId="68ABF476" w14:textId="77777777" w:rsidR="00E25AC4" w:rsidRDefault="00AA4D44">
      <w:pPr>
        <w:pStyle w:val="a0"/>
        <w:ind w:left="288" w:hanging="288"/>
      </w:pPr>
      <w:r>
        <w:rPr>
          <w:sz w:val="16"/>
        </w:rPr>
        <w:t xml:space="preserve">[4] J. Jonkman et al., “Tutorial: guidance for quantitative confocal microscopy,” </w:t>
      </w:r>
      <w:r>
        <w:rPr>
          <w:i/>
          <w:iCs/>
          <w:sz w:val="16"/>
        </w:rPr>
        <w:t>Nature Protocols</w:t>
      </w:r>
      <w:r>
        <w:rPr>
          <w:sz w:val="16"/>
        </w:rPr>
        <w:t xml:space="preserve">, vol. 15, pp. 1585–1611, 2020. </w:t>
      </w:r>
      <w:hyperlink r:id="rId10">
        <w:r>
          <w:rPr>
            <w:rStyle w:val="af"/>
          </w:rPr>
          <w:t>doi:10.1038/s41596-020-0313-9</w:t>
        </w:r>
      </w:hyperlink>
      <w:r>
        <w:rPr>
          <w:sz w:val="16"/>
        </w:rPr>
        <w:t>.</w:t>
      </w:r>
    </w:p>
    <w:p w14:paraId="27CE5000" w14:textId="77777777" w:rsidR="00E25AC4" w:rsidRDefault="00AA4D44">
      <w:pPr>
        <w:pStyle w:val="a0"/>
        <w:ind w:left="288" w:hanging="288"/>
      </w:pPr>
      <w:r>
        <w:rPr>
          <w:sz w:val="16"/>
        </w:rPr>
        <w:lastRenderedPageBreak/>
        <w:t xml:space="preserve">[5] Carl ZEISS Microscopy, “Numerical Aperture and Light Cone Geometry.” </w:t>
      </w:r>
      <w:hyperlink r:id="rId11">
        <w:r>
          <w:rPr>
            <w:rStyle w:val="af"/>
          </w:rPr>
          <w:t>Onl</w:t>
        </w:r>
        <w:r>
          <w:rPr>
            <w:rStyle w:val="af"/>
          </w:rPr>
          <w:t>ine tutorial</w:t>
        </w:r>
      </w:hyperlink>
      <w:r>
        <w:rPr>
          <w:sz w:val="16"/>
        </w:rPr>
        <w:t>. Accessed Sep. 13, 2026.</w:t>
      </w:r>
    </w:p>
    <w:p w14:paraId="30DFD084" w14:textId="77777777" w:rsidR="00E25AC4" w:rsidRDefault="00AA4D44">
      <w:pPr>
        <w:pStyle w:val="a0"/>
        <w:ind w:left="288" w:hanging="288"/>
      </w:pPr>
      <w:r>
        <w:rPr>
          <w:sz w:val="16"/>
        </w:rPr>
        <w:t xml:space="preserve">[6] Carl ZEISS Microscopy, “Spatial Frequency and Image Resolution.” </w:t>
      </w:r>
      <w:hyperlink r:id="rId12">
        <w:r>
          <w:rPr>
            <w:rStyle w:val="af"/>
          </w:rPr>
          <w:t>Onli</w:t>
        </w:r>
        <w:r>
          <w:rPr>
            <w:rStyle w:val="af"/>
          </w:rPr>
          <w:t>ne tutorial</w:t>
        </w:r>
      </w:hyperlink>
      <w:r>
        <w:rPr>
          <w:sz w:val="16"/>
        </w:rPr>
        <w:t>. Accessed Sep. 13, 2026.</w:t>
      </w:r>
    </w:p>
    <w:p w14:paraId="154F1A7E" w14:textId="77777777" w:rsidR="00E25AC4" w:rsidRDefault="00AA4D44">
      <w:pPr>
        <w:pStyle w:val="a0"/>
        <w:ind w:left="288" w:hanging="288"/>
      </w:pPr>
      <w:r>
        <w:rPr>
          <w:sz w:val="16"/>
        </w:rPr>
        <w:t xml:space="preserve">[7] C. Eggeling, K. I. Willig, S. J. Sahl, and S. W. Hell, “Lens-based fluorescence nanoscopy,” </w:t>
      </w:r>
      <w:r>
        <w:rPr>
          <w:i/>
          <w:iCs/>
          <w:sz w:val="16"/>
        </w:rPr>
        <w:t>Quarterly Reviews of Biophysics</w:t>
      </w:r>
      <w:r>
        <w:rPr>
          <w:sz w:val="16"/>
        </w:rPr>
        <w:t xml:space="preserve">, vol. 48, no. 2, pp. 178–243, 2015. </w:t>
      </w:r>
      <w:hyperlink r:id="rId13">
        <w:r>
          <w:rPr>
            <w:rStyle w:val="af"/>
          </w:rPr>
          <w:t>doi:10.1017/S0033583514000146</w:t>
        </w:r>
      </w:hyperlink>
      <w:r>
        <w:rPr>
          <w:sz w:val="16"/>
        </w:rPr>
        <w:t>.</w:t>
      </w:r>
    </w:p>
    <w:p w14:paraId="16B812A4" w14:textId="77777777" w:rsidR="00E25AC4" w:rsidRDefault="00AA4D44">
      <w:pPr>
        <w:pStyle w:val="a0"/>
        <w:ind w:left="288" w:hanging="288"/>
      </w:pPr>
      <w:r>
        <w:rPr>
          <w:sz w:val="16"/>
        </w:rPr>
        <w:t xml:space="preserve">[8] E. Abbe, “Beiträge zur Theorie des Mikroskops und der mikroskopischen Wahrnehmung,” </w:t>
      </w:r>
      <w:r>
        <w:rPr>
          <w:i/>
          <w:iCs/>
          <w:sz w:val="16"/>
        </w:rPr>
        <w:t>Archiv für Mikroskopische Anatomie</w:t>
      </w:r>
      <w:r>
        <w:rPr>
          <w:sz w:val="16"/>
        </w:rPr>
        <w:t xml:space="preserve">, vol. 9, no. 1, pp. 413–468, 1873. </w:t>
      </w:r>
      <w:hyperlink r:id="rId14">
        <w:r>
          <w:rPr>
            <w:rStyle w:val="af"/>
          </w:rPr>
          <w:t>doi:10.</w:t>
        </w:r>
        <w:r>
          <w:rPr>
            <w:rStyle w:val="af"/>
          </w:rPr>
          <w:t>1007/BF02956173</w:t>
        </w:r>
      </w:hyperlink>
      <w:r>
        <w:rPr>
          <w:sz w:val="16"/>
        </w:rPr>
        <w:t>.</w:t>
      </w:r>
    </w:p>
    <w:p w14:paraId="2EAFE044" w14:textId="77777777" w:rsidR="00E25AC4" w:rsidRDefault="00AA4D44">
      <w:pPr>
        <w:pStyle w:val="a0"/>
        <w:ind w:left="288" w:hanging="288"/>
      </w:pPr>
      <w:r>
        <w:rPr>
          <w:sz w:val="16"/>
        </w:rPr>
        <w:t xml:space="preserve">[9] S. B. Mehta and R. Oldenbourg, “Image simulation for biological microscopy: microlith,” </w:t>
      </w:r>
      <w:r>
        <w:rPr>
          <w:i/>
          <w:iCs/>
          <w:sz w:val="16"/>
        </w:rPr>
        <w:t>Biomedical Optics Express</w:t>
      </w:r>
      <w:r>
        <w:rPr>
          <w:sz w:val="16"/>
        </w:rPr>
        <w:t xml:space="preserve">, vol. 5, no. 6, pp. 1822–1838, 2014. </w:t>
      </w:r>
      <w:hyperlink r:id="rId15">
        <w:r>
          <w:rPr>
            <w:rStyle w:val="af"/>
          </w:rPr>
          <w:t>doi:10.1364/BOE.5.001822</w:t>
        </w:r>
      </w:hyperlink>
      <w:r>
        <w:rPr>
          <w:sz w:val="16"/>
        </w:rPr>
        <w:t>.</w:t>
      </w:r>
    </w:p>
    <w:p w14:paraId="2C3B5D82" w14:textId="77777777" w:rsidR="00E25AC4" w:rsidRDefault="00AA4D44">
      <w:pPr>
        <w:pStyle w:val="a0"/>
        <w:ind w:left="288" w:hanging="288"/>
      </w:pPr>
      <w:r>
        <w:rPr>
          <w:sz w:val="16"/>
        </w:rPr>
        <w:t>[1</w:t>
      </w:r>
      <w:r>
        <w:rPr>
          <w:sz w:val="16"/>
        </w:rPr>
        <w:t xml:space="preserve">0] F. J. Harris, “On the Use of Windows for Harmonic Analysis with the Discrete Fourier Transform,” </w:t>
      </w:r>
      <w:r>
        <w:rPr>
          <w:i/>
          <w:iCs/>
          <w:sz w:val="16"/>
        </w:rPr>
        <w:t>Proceedings of the IEEE</w:t>
      </w:r>
      <w:r>
        <w:rPr>
          <w:sz w:val="16"/>
        </w:rPr>
        <w:t xml:space="preserve">, vol. 66, no. 1, pp. 51–83, 1978. </w:t>
      </w:r>
      <w:hyperlink r:id="rId16">
        <w:r>
          <w:rPr>
            <w:rStyle w:val="af"/>
          </w:rPr>
          <w:t>doi:10.1109/PROC.1978.10837</w:t>
        </w:r>
      </w:hyperlink>
      <w:r>
        <w:rPr>
          <w:sz w:val="16"/>
        </w:rPr>
        <w:t>.</w:t>
      </w:r>
    </w:p>
    <w:p w14:paraId="7C7EFEAB" w14:textId="77777777" w:rsidR="00E25AC4" w:rsidRDefault="00AA4D44">
      <w:pPr>
        <w:pStyle w:val="a0"/>
        <w:ind w:left="288" w:hanging="288"/>
      </w:pPr>
      <w:r>
        <w:rPr>
          <w:sz w:val="16"/>
        </w:rPr>
        <w:t>[11] J. W.</w:t>
      </w:r>
      <w:r>
        <w:rPr>
          <w:sz w:val="16"/>
        </w:rPr>
        <w:t xml:space="preserve"> Cooley and J. W. Tukey, “An Algorithm for the Machine Calculation of Complex Fourier Series,” </w:t>
      </w:r>
      <w:r>
        <w:rPr>
          <w:i/>
          <w:iCs/>
          <w:sz w:val="16"/>
        </w:rPr>
        <w:t>Mathematics of Computation</w:t>
      </w:r>
      <w:r>
        <w:rPr>
          <w:sz w:val="16"/>
        </w:rPr>
        <w:t xml:space="preserve">, vol. 19, no. 90, pp. 297–301, 1965. </w:t>
      </w:r>
      <w:hyperlink r:id="rId17">
        <w:r>
          <w:rPr>
            <w:rStyle w:val="af"/>
          </w:rPr>
          <w:t>doi:10.1090/S0025-5718-1965-</w:t>
        </w:r>
        <w:r>
          <w:rPr>
            <w:rStyle w:val="af"/>
          </w:rPr>
          <w:t>0178586-1</w:t>
        </w:r>
      </w:hyperlink>
      <w:r>
        <w:rPr>
          <w:sz w:val="16"/>
        </w:rPr>
        <w:t>.</w:t>
      </w:r>
    </w:p>
    <w:p w14:paraId="2EFCDA09" w14:textId="77777777" w:rsidR="00E25AC4" w:rsidRDefault="00AA4D44">
      <w:pPr>
        <w:pStyle w:val="a0"/>
        <w:ind w:left="288" w:hanging="288"/>
      </w:pPr>
      <w:r>
        <w:rPr>
          <w:sz w:val="16"/>
        </w:rPr>
        <w:t xml:space="preserve">[12] M. G. L. Gustafsson, “Surpassing the lateral resolution limit by a factor of two using structured illumination microscopy,” </w:t>
      </w:r>
      <w:r>
        <w:rPr>
          <w:i/>
          <w:iCs/>
          <w:sz w:val="16"/>
        </w:rPr>
        <w:t>Journal of Microscopy</w:t>
      </w:r>
      <w:r>
        <w:rPr>
          <w:sz w:val="16"/>
        </w:rPr>
        <w:t xml:space="preserve">, vol. 198, no. 2, pp. 82–87, 2000. </w:t>
      </w:r>
      <w:hyperlink r:id="rId18">
        <w:r>
          <w:rPr>
            <w:rStyle w:val="af"/>
          </w:rPr>
          <w:t>doi:10.1046/j.1365-2818.2000.00710.x</w:t>
        </w:r>
      </w:hyperlink>
      <w:r>
        <w:rPr>
          <w:sz w:val="16"/>
        </w:rPr>
        <w:t>.</w:t>
      </w:r>
    </w:p>
    <w:p w14:paraId="3545651C" w14:textId="77777777" w:rsidR="00E25AC4" w:rsidRDefault="00AA4D44">
      <w:pPr>
        <w:pStyle w:val="a0"/>
        <w:ind w:left="288" w:hanging="288"/>
      </w:pPr>
      <w:r>
        <w:rPr>
          <w:sz w:val="16"/>
        </w:rPr>
        <w:t xml:space="preserve">[13] R. Heintzmann and T. Huser, “Super-Resolution Structured Illumination Microscopy,” </w:t>
      </w:r>
      <w:r>
        <w:rPr>
          <w:i/>
          <w:iCs/>
          <w:sz w:val="16"/>
        </w:rPr>
        <w:t>Chemical Reviews</w:t>
      </w:r>
      <w:r>
        <w:rPr>
          <w:sz w:val="16"/>
        </w:rPr>
        <w:t xml:space="preserve">, vol. 117, no. 23, pp. 13890–13908, 2017. </w:t>
      </w:r>
      <w:hyperlink r:id="rId19">
        <w:r>
          <w:rPr>
            <w:rStyle w:val="af"/>
          </w:rPr>
          <w:t>doi:10.1021/acs.chemrev.7b00218</w:t>
        </w:r>
      </w:hyperlink>
      <w:r>
        <w:rPr>
          <w:sz w:val="16"/>
        </w:rPr>
        <w:t>.</w:t>
      </w:r>
    </w:p>
    <w:p w14:paraId="4244B4D8" w14:textId="77777777" w:rsidR="00E25AC4" w:rsidRDefault="00AA4D44">
      <w:pPr>
        <w:pStyle w:val="a0"/>
        <w:ind w:left="288" w:hanging="288"/>
      </w:pPr>
      <w:r>
        <w:rPr>
          <w:sz w:val="16"/>
        </w:rPr>
        <w:t xml:space="preserve">[14] P. U. Jepsen, D. G. Cooke, and M. Koch, “Terahertz spectroscopy and imaging – Modern techniques and applications,” </w:t>
      </w:r>
      <w:r>
        <w:rPr>
          <w:i/>
          <w:iCs/>
          <w:sz w:val="16"/>
        </w:rPr>
        <w:t>Laser &amp; Photonics Reviews</w:t>
      </w:r>
      <w:r>
        <w:rPr>
          <w:sz w:val="16"/>
        </w:rPr>
        <w:t xml:space="preserve">, vol. 5, no. 1, pp. 124–166, 2011. </w:t>
      </w:r>
      <w:hyperlink r:id="rId20">
        <w:r>
          <w:rPr>
            <w:rStyle w:val="af"/>
          </w:rPr>
          <w:t>doi:10.1002/lpor.201000011</w:t>
        </w:r>
      </w:hyperlink>
      <w:r>
        <w:rPr>
          <w:sz w:val="16"/>
        </w:rPr>
        <w:t>.</w:t>
      </w:r>
    </w:p>
    <w:p w14:paraId="60DA9BDB" w14:textId="77777777" w:rsidR="00E25AC4" w:rsidRDefault="00AA4D44">
      <w:pPr>
        <w:pStyle w:val="a0"/>
        <w:ind w:left="288" w:hanging="288"/>
      </w:pPr>
      <w:r>
        <w:rPr>
          <w:sz w:val="16"/>
        </w:rPr>
        <w:t xml:space="preserve">[15] T. L. Cocker </w:t>
      </w:r>
      <w:r>
        <w:rPr>
          <w:i/>
          <w:iCs/>
          <w:sz w:val="16"/>
        </w:rPr>
        <w:t>et al</w:t>
      </w:r>
      <w:r>
        <w:rPr>
          <w:sz w:val="16"/>
        </w:rPr>
        <w:t xml:space="preserve">., “Nanoscale terahertz scanning probe microscopy,” </w:t>
      </w:r>
      <w:r>
        <w:rPr>
          <w:i/>
          <w:iCs/>
          <w:sz w:val="16"/>
        </w:rPr>
        <w:t>Nature Photonics</w:t>
      </w:r>
      <w:r>
        <w:rPr>
          <w:sz w:val="16"/>
        </w:rPr>
        <w:t xml:space="preserve">, vol. 15, pp. 558–569, 2021. </w:t>
      </w:r>
      <w:hyperlink r:id="rId21">
        <w:r>
          <w:rPr>
            <w:rStyle w:val="af"/>
          </w:rPr>
          <w:t>doi:10.1038/s41566-021-00835-6</w:t>
        </w:r>
      </w:hyperlink>
      <w:r>
        <w:rPr>
          <w:sz w:val="16"/>
        </w:rPr>
        <w:t>.</w:t>
      </w:r>
    </w:p>
    <w:p w14:paraId="3D9A1526" w14:textId="77777777" w:rsidR="00E25AC4" w:rsidRDefault="00AA4D44">
      <w:pPr>
        <w:pStyle w:val="a0"/>
        <w:ind w:left="288" w:hanging="288"/>
      </w:pPr>
      <w:r>
        <w:rPr>
          <w:sz w:val="16"/>
        </w:rPr>
        <w:t xml:space="preserve">[16] F. Keilmann and R. Hillenbrand, “Near-field microscopy by elastic light scattering from a tip,” </w:t>
      </w:r>
      <w:r>
        <w:rPr>
          <w:i/>
          <w:iCs/>
          <w:sz w:val="16"/>
        </w:rPr>
        <w:t>Philosophical Transactions of the Royal Society A: Mathematical, Physical and Engineering Sciences</w:t>
      </w:r>
      <w:r>
        <w:rPr>
          <w:sz w:val="16"/>
        </w:rPr>
        <w:t xml:space="preserve">, vol. 362, no. 1817, pp. 787–805, 2004. </w:t>
      </w:r>
      <w:hyperlink r:id="rId22">
        <w:r>
          <w:rPr>
            <w:rStyle w:val="af"/>
          </w:rPr>
          <w:t>doi:10.1098/rsta.2003.1347</w:t>
        </w:r>
      </w:hyperlink>
      <w:r>
        <w:rPr>
          <w:sz w:val="16"/>
        </w:rPr>
        <w:t>.</w:t>
      </w:r>
    </w:p>
    <w:p w14:paraId="5B2A1E8E" w14:textId="77777777" w:rsidR="00E25AC4" w:rsidRDefault="00AA4D44">
      <w:pPr>
        <w:pStyle w:val="a0"/>
        <w:ind w:left="288" w:hanging="288"/>
      </w:pPr>
      <w:r>
        <w:rPr>
          <w:sz w:val="16"/>
        </w:rPr>
        <w:t xml:space="preserve">[17] R. Hillenbrand, B. Knoll, and F. Keilmann, “Pure optical contrast in scattering-type scanning near-field microscopy,” </w:t>
      </w:r>
      <w:r>
        <w:rPr>
          <w:i/>
          <w:iCs/>
          <w:sz w:val="16"/>
        </w:rPr>
        <w:t>Journal of Microscopy</w:t>
      </w:r>
      <w:r>
        <w:rPr>
          <w:sz w:val="16"/>
        </w:rPr>
        <w:t xml:space="preserve">, vol. 202, no. 1, pp. 77–83, 2001. </w:t>
      </w:r>
      <w:hyperlink r:id="rId23">
        <w:r>
          <w:rPr>
            <w:rStyle w:val="af"/>
          </w:rPr>
          <w:t>doi:10.1046/j.1365-2818.2001.00794.x</w:t>
        </w:r>
      </w:hyperlink>
      <w:r>
        <w:rPr>
          <w:sz w:val="16"/>
        </w:rPr>
        <w:t>.</w:t>
      </w:r>
    </w:p>
    <w:p w14:paraId="79E31FEC" w14:textId="77777777" w:rsidR="00E25AC4" w:rsidRDefault="00AA4D44">
      <w:pPr>
        <w:pStyle w:val="a0"/>
        <w:ind w:left="288" w:hanging="288"/>
      </w:pPr>
      <w:r>
        <w:rPr>
          <w:sz w:val="16"/>
        </w:rPr>
        <w:t xml:space="preserve">[18] Groq, “Speech to Text.” </w:t>
      </w:r>
      <w:hyperlink r:id="rId24">
        <w:r>
          <w:rPr>
            <w:rStyle w:val="af"/>
          </w:rPr>
          <w:t>API documentation</w:t>
        </w:r>
      </w:hyperlink>
      <w:r>
        <w:rPr>
          <w:sz w:val="16"/>
        </w:rPr>
        <w:t>. Accessed Sep. 13, 2026.</w:t>
      </w:r>
    </w:p>
    <w:p w14:paraId="194CA7FC" w14:textId="77777777" w:rsidR="00E25AC4" w:rsidRDefault="00AA4D44">
      <w:pPr>
        <w:pStyle w:val="a0"/>
        <w:ind w:left="288" w:hanging="288"/>
      </w:pPr>
      <w:r>
        <w:rPr>
          <w:sz w:val="16"/>
        </w:rPr>
        <w:t>[19] J. Brooke, “SUS</w:t>
      </w:r>
      <w:r>
        <w:rPr>
          <w:sz w:val="16"/>
        </w:rPr>
        <w:t xml:space="preserve">: A ‘Quick and Dirty’ Usability Scale,” in </w:t>
      </w:r>
      <w:r>
        <w:rPr>
          <w:i/>
          <w:iCs/>
          <w:sz w:val="16"/>
        </w:rPr>
        <w:t>Usability Evaluation in Industry</w:t>
      </w:r>
      <w:r>
        <w:rPr>
          <w:sz w:val="16"/>
        </w:rPr>
        <w:t xml:space="preserve">, 1996. </w:t>
      </w:r>
      <w:hyperlink r:id="rId25">
        <w:r>
          <w:rPr>
            <w:rStyle w:val="af"/>
          </w:rPr>
          <w:t>doi:10.1201/9781498710411-35</w:t>
        </w:r>
      </w:hyperlink>
      <w:r>
        <w:rPr>
          <w:sz w:val="16"/>
        </w:rPr>
        <w:t>.</w:t>
      </w:r>
    </w:p>
    <w:p w14:paraId="2CD51CC7" w14:textId="77777777" w:rsidR="00E25AC4" w:rsidRDefault="00AA4D44">
      <w:pPr>
        <w:pStyle w:val="a0"/>
        <w:ind w:left="288" w:hanging="288"/>
      </w:pPr>
      <w:r>
        <w:rPr>
          <w:sz w:val="16"/>
        </w:rPr>
        <w:t>[20] S. G. Hart and L. E. Staveland, “Development of NASA-TLX (Task Load Index): Re</w:t>
      </w:r>
      <w:r>
        <w:rPr>
          <w:sz w:val="16"/>
        </w:rPr>
        <w:t xml:space="preserve">sults of empirical and theoretical research,” </w:t>
      </w:r>
      <w:r>
        <w:rPr>
          <w:i/>
          <w:iCs/>
          <w:sz w:val="16"/>
        </w:rPr>
        <w:t>Advances in Psychology</w:t>
      </w:r>
      <w:r>
        <w:rPr>
          <w:sz w:val="16"/>
        </w:rPr>
        <w:t xml:space="preserve">, vol. 52, pp. 139–183, 1988. </w:t>
      </w:r>
      <w:hyperlink r:id="rId26">
        <w:r>
          <w:rPr>
            <w:rStyle w:val="af"/>
          </w:rPr>
          <w:t>Author text hosted by NASA</w:t>
        </w:r>
      </w:hyperlink>
      <w:r>
        <w:rPr>
          <w:sz w:val="16"/>
        </w:rPr>
        <w:t>.</w:t>
      </w:r>
    </w:p>
    <w:p w14:paraId="06BDDAE8" w14:textId="77777777" w:rsidR="00E25AC4" w:rsidRDefault="00AA4D44">
      <w:pPr>
        <w:pStyle w:val="a0"/>
        <w:ind w:left="288" w:hanging="288"/>
      </w:pPr>
      <w:r>
        <w:rPr>
          <w:sz w:val="16"/>
        </w:rPr>
        <w:t>[21] Y. Duan, X. Xu, H. He, Y. Gu</w:t>
      </w:r>
      <w:r>
        <w:rPr>
          <w:sz w:val="16"/>
        </w:rPr>
        <w:t xml:space="preserve">, S. Li, and J. Bueno Vesga, “Supplementing Patient Encounter Training for Preservice Nurses: Towards an AI×VR Approach,” in </w:t>
      </w:r>
      <w:r>
        <w:rPr>
          <w:i/>
          <w:iCs/>
          <w:sz w:val="16"/>
        </w:rPr>
        <w:t>Proc. 2026 IEEE Int. Conf. on Artificial Intelligence and eXtended and Virtual Reality (AIxVR)</w:t>
      </w:r>
      <w:r>
        <w:rPr>
          <w:sz w:val="16"/>
        </w:rPr>
        <w:t xml:space="preserve">, pp. 98–107, 2026. </w:t>
      </w:r>
      <w:hyperlink r:id="rId27">
        <w:r>
          <w:rPr>
            <w:rStyle w:val="af"/>
          </w:rPr>
          <w:t>doi:10.1109/AIxVR67263.2026.00020</w:t>
        </w:r>
      </w:hyperlink>
      <w:r>
        <w:rPr>
          <w:sz w:val="16"/>
        </w:rPr>
        <w:t>.</w:t>
      </w:r>
    </w:p>
    <w:p w14:paraId="3C83BD3D" w14:textId="77777777" w:rsidR="00E25AC4" w:rsidRDefault="00AA4D44">
      <w:pPr>
        <w:pStyle w:val="a0"/>
        <w:ind w:left="288" w:hanging="288"/>
      </w:pPr>
      <w:r>
        <w:rPr>
          <w:sz w:val="16"/>
        </w:rPr>
        <w:t xml:space="preserve">[22] A. Bangor, P. T. Kortum, and J. T. Miller, “An Empirical Evaluation of the System Usability Scale,” </w:t>
      </w:r>
      <w:r>
        <w:rPr>
          <w:i/>
          <w:iCs/>
          <w:sz w:val="16"/>
        </w:rPr>
        <w:t>International Journal of Human–Computer Interaction</w:t>
      </w:r>
      <w:r>
        <w:rPr>
          <w:sz w:val="16"/>
        </w:rPr>
        <w:t>, vol. 24, no. 6,</w:t>
      </w:r>
      <w:r>
        <w:rPr>
          <w:sz w:val="16"/>
        </w:rPr>
        <w:t xml:space="preserve"> pp. 574–594, 2008. </w:t>
      </w:r>
      <w:hyperlink r:id="rId28">
        <w:r>
          <w:rPr>
            <w:rStyle w:val="af"/>
          </w:rPr>
          <w:t>doi:10.1080/10447310802205776</w:t>
        </w:r>
      </w:hyperlink>
      <w:r>
        <w:rPr>
          <w:sz w:val="16"/>
        </w:rPr>
        <w:t>.</w:t>
      </w:r>
    </w:p>
    <w:bookmarkEnd w:id="33"/>
    <w:bookmarkEnd w:id="0"/>
    <w:sectPr w:rsidR="00E25AC4">
      <w:footnotePr>
        <w:numRestart w:val="eachSect"/>
      </w:footnotePr>
      <w:pgSz w:w="12240" w:h="15840"/>
      <w:pgMar w:top="1080" w:right="900" w:bottom="1440" w:left="900" w:header="720" w:footer="720" w:gutter="0"/>
      <w:cols w:num="2"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A28948" w14:textId="77777777" w:rsidR="00AA4D44" w:rsidRDefault="00AA4D44" w:rsidP="00AA4D44">
      <w:pPr>
        <w:spacing w:after="0"/>
      </w:pPr>
      <w:r>
        <w:separator/>
      </w:r>
    </w:p>
  </w:endnote>
  <w:endnote w:type="continuationSeparator" w:id="0">
    <w:p w14:paraId="210B9854" w14:textId="77777777" w:rsidR="00AA4D44" w:rsidRDefault="00AA4D44" w:rsidP="00AA4D4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ptos Display">
    <w:altName w:val="Calibri"/>
    <w:charset w:val="00"/>
    <w:family w:val="swiss"/>
    <w:pitch w:val="variable"/>
    <w:sig w:usb0="20000287" w:usb1="00000003" w:usb2="00000000" w:usb3="00000000" w:csb0="0000019F" w:csb1="00000000"/>
  </w:font>
  <w:font w:name="等线 Light">
    <w:altName w:val="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FFA787" w14:textId="77777777" w:rsidR="00AA4D44" w:rsidRDefault="00AA4D44" w:rsidP="00AA4D44">
      <w:pPr>
        <w:spacing w:after="0"/>
      </w:pPr>
      <w:r>
        <w:separator/>
      </w:r>
    </w:p>
  </w:footnote>
  <w:footnote w:type="continuationSeparator" w:id="0">
    <w:p w14:paraId="3DC6911C" w14:textId="77777777" w:rsidR="00AA4D44" w:rsidRDefault="00AA4D44" w:rsidP="00AA4D4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B3BCE69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9E4145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6A2618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25AC4"/>
    <w:rsid w:val="00AA4D44"/>
    <w:rsid w:val="00E25A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6B38E1"/>
  <w15:docId w15:val="{391BC735-53F6-45CB-8AA4-8EC238798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60"/>
    </w:pPr>
    <w:rPr>
      <w:rFonts w:ascii="Times New Roman" w:eastAsia="SimSun" w:hAnsi="Times New Roman"/>
      <w:sz w:val="20"/>
    </w:rPr>
  </w:style>
  <w:style w:type="paragraph" w:styleId="1">
    <w:name w:val="heading 1"/>
    <w:basedOn w:val="a"/>
    <w:next w:val="a0"/>
    <w:link w:val="10"/>
    <w:uiPriority w:val="9"/>
    <w:qFormat/>
    <w:rsid w:val="00A10FD9"/>
    <w:pPr>
      <w:keepNext/>
      <w:keepLines/>
      <w:spacing w:before="160" w:after="80"/>
      <w:outlineLvl w:val="0"/>
    </w:pPr>
    <w:rPr>
      <w:rFonts w:asciiTheme="majorHAnsi" w:eastAsiaTheme="majorEastAsia" w:hAnsiTheme="majorHAnsi" w:cstheme="majorBidi"/>
      <w:color w:val="00000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00000"/>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00000"/>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pPr>
  </w:style>
  <w:style w:type="paragraph" w:customStyle="1" w:styleId="FirstParagraph">
    <w:name w:val="First Paragraph"/>
    <w:basedOn w:val="a0"/>
    <w:next w:val="a0"/>
    <w:qFormat/>
  </w:style>
  <w:style w:type="paragraph" w:customStyle="1" w:styleId="Compact">
    <w:name w:val="Compact"/>
    <w:basedOn w:val="a0"/>
    <w:qFormat/>
    <w:pPr>
      <w:spacing w:before="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rPr>
      <w:color w:val="0F476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unhideWhenUsed/>
    <w:rsid w:val="00AA4D44"/>
    <w:pPr>
      <w:pBdr>
        <w:bottom w:val="single" w:sz="6" w:space="1" w:color="auto"/>
      </w:pBdr>
      <w:tabs>
        <w:tab w:val="center" w:pos="4153"/>
        <w:tab w:val="right" w:pos="8306"/>
      </w:tabs>
      <w:snapToGrid w:val="0"/>
      <w:jc w:val="center"/>
    </w:pPr>
    <w:rPr>
      <w:sz w:val="18"/>
      <w:szCs w:val="18"/>
    </w:rPr>
  </w:style>
  <w:style w:type="character" w:customStyle="1" w:styleId="af1">
    <w:name w:val="页眉 字符"/>
    <w:basedOn w:val="a1"/>
    <w:link w:val="af0"/>
    <w:rsid w:val="00AA4D44"/>
    <w:rPr>
      <w:rFonts w:ascii="Times New Roman" w:eastAsia="SimSun" w:hAnsi="Times New Roman"/>
      <w:sz w:val="18"/>
      <w:szCs w:val="18"/>
    </w:rPr>
  </w:style>
  <w:style w:type="paragraph" w:styleId="af2">
    <w:name w:val="footer"/>
    <w:basedOn w:val="a"/>
    <w:link w:val="af3"/>
    <w:unhideWhenUsed/>
    <w:rsid w:val="00AA4D44"/>
    <w:pPr>
      <w:tabs>
        <w:tab w:val="center" w:pos="4153"/>
        <w:tab w:val="right" w:pos="8306"/>
      </w:tabs>
      <w:snapToGrid w:val="0"/>
    </w:pPr>
    <w:rPr>
      <w:sz w:val="18"/>
      <w:szCs w:val="18"/>
    </w:rPr>
  </w:style>
  <w:style w:type="character" w:customStyle="1" w:styleId="af3">
    <w:name w:val="页脚 字符"/>
    <w:basedOn w:val="a1"/>
    <w:link w:val="af2"/>
    <w:rsid w:val="00AA4D44"/>
    <w:rPr>
      <w:rFonts w:ascii="Times New Roman" w:eastAsia="SimSun"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09/AIxVR67263.2026.00050" TargetMode="External"/><Relationship Id="rId13" Type="http://schemas.openxmlformats.org/officeDocument/2006/relationships/hyperlink" Target="https://doi.org/10.1017/S0033583514000146" TargetMode="External"/><Relationship Id="rId18" Type="http://schemas.openxmlformats.org/officeDocument/2006/relationships/hyperlink" Target="https://doi.org/10.1046/j.1365-2818.2000.00710.x" TargetMode="External"/><Relationship Id="rId26" Type="http://schemas.openxmlformats.org/officeDocument/2006/relationships/hyperlink" Target="https://human-factors.arc.nasa.gov/publications/Hart_Staveland_ORIGINAL_1.pdf" TargetMode="External"/><Relationship Id="rId3" Type="http://schemas.openxmlformats.org/officeDocument/2006/relationships/settings" Target="settings.xml"/><Relationship Id="rId21" Type="http://schemas.openxmlformats.org/officeDocument/2006/relationships/hyperlink" Target="https://doi.org/10.1038/s41566-021-00835-6" TargetMode="External"/><Relationship Id="rId7" Type="http://schemas.openxmlformats.org/officeDocument/2006/relationships/hyperlink" Target="https://doi.org/10.1109/AIxVR59861.2024.00011" TargetMode="External"/><Relationship Id="rId12" Type="http://schemas.openxmlformats.org/officeDocument/2006/relationships/hyperlink" Target="https://www.zeiss.com/microscopy/en/resources/insights-hub/foundational-knowledge/spatial-frequency-and-image-resolution.html" TargetMode="External"/><Relationship Id="rId17" Type="http://schemas.openxmlformats.org/officeDocument/2006/relationships/hyperlink" Target="https://doi.org/10.1090/S0025-5718-1965-0178586-1" TargetMode="External"/><Relationship Id="rId25" Type="http://schemas.openxmlformats.org/officeDocument/2006/relationships/hyperlink" Target="https://doi.org/10.1201/9781498710411-35" TargetMode="External"/><Relationship Id="rId2" Type="http://schemas.openxmlformats.org/officeDocument/2006/relationships/styles" Target="styles.xml"/><Relationship Id="rId16" Type="http://schemas.openxmlformats.org/officeDocument/2006/relationships/hyperlink" Target="https://doi.org/10.1109/PROC.1978.10837" TargetMode="External"/><Relationship Id="rId20" Type="http://schemas.openxmlformats.org/officeDocument/2006/relationships/hyperlink" Target="https://doi.org/10.1002/lpor.201000011"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zeiss.com/microscopy/en/resources/insights-hub/foundational-knowledge/numerical-aperture-and-light-cone-geometry.html" TargetMode="External"/><Relationship Id="rId24" Type="http://schemas.openxmlformats.org/officeDocument/2006/relationships/hyperlink" Target="https://console.groq.com/docs/speech-to-text" TargetMode="External"/><Relationship Id="rId5" Type="http://schemas.openxmlformats.org/officeDocument/2006/relationships/footnotes" Target="footnotes.xml"/><Relationship Id="rId15" Type="http://schemas.openxmlformats.org/officeDocument/2006/relationships/hyperlink" Target="https://doi.org/10.1364/BOE.5.001822" TargetMode="External"/><Relationship Id="rId23" Type="http://schemas.openxmlformats.org/officeDocument/2006/relationships/hyperlink" Target="https://doi.org/10.1046/j.1365-2818.2001.00794.x" TargetMode="External"/><Relationship Id="rId28" Type="http://schemas.openxmlformats.org/officeDocument/2006/relationships/hyperlink" Target="https://doi.org/10.1080/10447310802205776" TargetMode="External"/><Relationship Id="rId10" Type="http://schemas.openxmlformats.org/officeDocument/2006/relationships/hyperlink" Target="https://doi.org/10.1038/s41596-020-0313-9" TargetMode="External"/><Relationship Id="rId19" Type="http://schemas.openxmlformats.org/officeDocument/2006/relationships/hyperlink" Target="https://doi.org/10.1021/acs.chemrev.7b00218" TargetMode="External"/><Relationship Id="rId4" Type="http://schemas.openxmlformats.org/officeDocument/2006/relationships/webSettings" Target="webSettings.xml"/><Relationship Id="rId9" Type="http://schemas.openxmlformats.org/officeDocument/2006/relationships/hyperlink" Target="https://doi.org/10.1109/AIxVR67263.2026.00016" TargetMode="External"/><Relationship Id="rId14" Type="http://schemas.openxmlformats.org/officeDocument/2006/relationships/hyperlink" Target="https://doi.org/10.1007/BF02956173" TargetMode="External"/><Relationship Id="rId22" Type="http://schemas.openxmlformats.org/officeDocument/2006/relationships/hyperlink" Target="https://doi.org/10.1098/rsta.2003.1347" TargetMode="External"/><Relationship Id="rId27" Type="http://schemas.openxmlformats.org/officeDocument/2006/relationships/hyperlink" Target="https://doi.org/10.1109/AIxVR67263.2026.00020"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10476</Words>
  <Characters>16446</Characters>
  <Application>Microsoft Office Word</Application>
  <DocSecurity>0</DocSecurity>
  <Lines>655</Lines>
  <Paragraphs>236</Paragraphs>
  <ScaleCrop>false</ScaleCrop>
  <Company/>
  <LinksUpToDate>false</LinksUpToDate>
  <CharactersWithSpaces>17646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VRMicroscope：融合交互式显微仿真与任务状态感知 AI 指引的虚拟现实教学系统</dc:title>
  <dc:creator>Anonymous</dc:creator>
  <cp:keywords/>
  <dc:description>Formatted working manuscript; figures and author study declarations remain pending.</dc:description>
  <cp:lastModifiedBy>秦时 微雨</cp:lastModifiedBy>
  <cp:revision>2</cp:revision>
  <dcterms:created xsi:type="dcterms:W3CDTF">2026-09-16T15:16:00Z</dcterms:created>
  <dcterms:modified xsi:type="dcterms:W3CDTF">2026-09-16T15:17:00Z</dcterms:modified>
</cp:coreProperties>
</file>