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fig03_architecture.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3ea578b120ea4116defb7979e3010ee28d9487c"/>
    <w:p>
      <w:pPr>
        <w:pStyle w:val="Heading1"/>
        <w:keepNext/>
        <w:widowControl/>
        <w:spacing w:before="0" w:after="240" w:line="240" w:lineRule="auto"/>
        <w:ind w:firstLine="0" w:left="0" w:right="0"/>
        <w:jc w:val="center"/>
      </w:pPr>
      <w:r>
        <w:rPr>
          <w:rFonts w:hint="eastAsia" w:ascii="Times New Roman" w:hAnsi="Times New Roman" w:eastAsia="宋体"/>
          <w:b w:val="0"/>
          <w:color w:val="000000"/>
          <w:sz w:val="44"/>
        </w:rPr>
        <w:t xml:space="preserve">VRMicroscope：融合交互式显微仿真与任务状态感知</w:t>
      </w:r>
      <w:r>
        <w:rPr>
          <w:rFonts w:ascii="Times New Roman" w:hAnsi="Times New Roman" w:eastAsia="宋体"/>
          <w:b w:val="0"/>
          <w:color w:val="000000"/>
          <w:sz w:val="44"/>
        </w:rPr>
        <w:t xml:space="preserve"> AI </w:t>
      </w:r>
      <w:r>
        <w:rPr>
          <w:rFonts w:hint="eastAsia" w:ascii="Times New Roman" w:hAnsi="Times New Roman" w:eastAsia="宋体"/>
          <w:b w:val="0"/>
          <w:color w:val="000000"/>
          <w:sz w:val="44"/>
        </w:rPr>
        <w:t xml:space="preserve">指引的虚拟现实教学系统</w:t>
      </w:r>
    </w:p>
    <w:p>
      <w:pPr>
        <w:pStyle w:val="FirstParagraph"/>
        <w:keepNext/>
        <w:widowControl/>
        <w:spacing w:before="0" w:after="100" w:line="240" w:lineRule="auto"/>
        <w:ind w:firstLine="0" w:left="0" w:right="0"/>
        <w:jc w:val="center"/>
      </w:pPr>
      <w:r>
        <w:rPr>
          <w:rFonts w:ascii="Times New Roman" w:hAnsi="Times New Roman" w:eastAsia="宋体"/>
          <w:color w:val="000000"/>
          <w:sz w:val="22"/>
        </w:rPr>
        <w:t>匿名作者</w:t>
      </w:r>
    </w:p>
    <w:p>
      <w:pPr>
        <w:spacing w:before="0" w:after="0" w:line="20" w:lineRule="exact"/>
        <w:sectPr>
          <w:type w:val="continuous"/>
          <w:footnotePr>
            <w:numRestart w:val="eachSect"/>
          </w:footnotePr>
          <w:pgSz w:w="12240" w:h="15840"/>
          <w:pgMar w:top="1080" w:bottom="1440" w:left="900" w:right="900" w:header="432" w:footer="432"/>
          <w:cols w:num="1" w:space="360"/>
        </w:sectPr>
      </w:pPr>
    </w:p>
    <w:p>
      <w:pPr>
        <w:pStyle w:val="BodyText"/>
        <w:keepNext w:val="0"/>
        <w:widowControl/>
        <w:spacing w:before="0" w:after="100" w:line="240" w:lineRule="auto"/>
        <w:ind w:firstLine="0" w:left="0" w:right="0"/>
        <w:jc w:val="both"/>
      </w:pPr>
      <w:r>
        <w:rPr>
          <w:rFonts w:hint="eastAsia" w:ascii="Times New Roman" w:hAnsi="Times New Roman" w:eastAsia="宋体"/>
          <w:b/>
          <w:bCs/>
          <w:color w:val="000000"/>
          <w:sz w:val="18"/>
        </w:rPr>
        <w:t xml:space="preserve">摘要—</w:t>
      </w:r>
      <w:r>
        <w:rPr>
          <w:rFonts w:hint="eastAsia" w:ascii="Times New Roman" w:hAnsi="Times New Roman" w:eastAsia="宋体"/>
          <w:b/>
          <w:color w:val="000000"/>
          <w:sz w:val="18"/>
        </w:rPr>
        <w:t xml:space="preserve">显微镜教学要求学习者将仪器结构、操作过程与观察结果联系起来，但真实高端仪器的使用时间、操作风险与教学资源通常受到限制。本文提出</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VRMicroscope，一个将交互式虚拟显微实验与任务状态感知</w:t>
      </w:r>
      <w:r>
        <w:rPr>
          <w:rFonts w:ascii="Times New Roman" w:hAnsi="Times New Roman" w:eastAsia="宋体"/>
          <w:b/>
          <w:color w:val="000000"/>
          <w:sz w:val="18"/>
        </w:rPr>
        <w:t xml:space="preserve"> AI </w:t>
      </w:r>
      <w:r>
        <w:rPr>
          <w:rFonts w:hint="eastAsia" w:ascii="Times New Roman" w:hAnsi="Times New Roman" w:eastAsia="宋体"/>
          <w:b/>
          <w:color w:val="000000"/>
          <w:sz w:val="18"/>
        </w:rPr>
        <w:t xml:space="preserve">指引结合的虚拟现实教学系统。VR</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环境支持样本拾取与放置、观察视点切换、粗细调焦、照明与物镜调整、部件展开查看，并通过关联模块展示数值孔径、空间频率与结构光以及太赫兹散射型近场光学显微镜（THz</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s-SNOM）的核心概念。系统明确区分教学视觉映射、简化数值计算与经过标定的光学测量。AI</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助手结合项目知识、当前界面状态和可用动作目录，由大语言模型生成解释或候选指引，再由程序校验动作标识并检查响应是否仍适用于当前状态；空间导航基于实时场景几何生成目标标记，中英文语音输入则先形成可编辑文本后再提交。评价采用实现级一致性检查与探索性用户研究两部分。19</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名参与者中有</w:t>
      </w:r>
      <w:r>
        <w:rPr>
          <w:rFonts w:ascii="Times New Roman" w:hAnsi="Times New Roman" w:eastAsia="宋体"/>
          <w:b/>
          <w:color w:val="000000"/>
          <w:sz w:val="18"/>
        </w:rPr>
        <w:t xml:space="preserve"> 18 </w:t>
      </w:r>
      <w:r>
        <w:rPr>
          <w:rFonts w:hint="eastAsia" w:ascii="Times New Roman" w:hAnsi="Times New Roman" w:eastAsia="宋体"/>
          <w:b/>
          <w:color w:val="000000"/>
          <w:sz w:val="18"/>
        </w:rPr>
        <w:t xml:space="preserve">名完成核心任务流程（94.7%），整体系统可用性量表（SUS）均值为</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82.4/100；NASA-TLX</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未加权总体工作负荷（R-TLX）均值为</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32.4/100，其中付出努力（44.7）和心理需求（42.9）是相对较高的工作负荷维度，而挫败感（24.2）与负荷导向的表现评分（23.7，表明较高自我认可度）均较低。由于研究采用单组探索性设计，本文将这些结果解释为工作流可行性与感知可用性的证据，而不据此推断</w:t>
      </w:r>
      <w:r>
        <w:rPr>
          <w:rFonts w:ascii="Times New Roman" w:hAnsi="Times New Roman" w:eastAsia="宋体"/>
          <w:b/>
          <w:color w:val="000000"/>
          <w:sz w:val="18"/>
        </w:rPr>
        <w:t xml:space="preserve"> AI </w:t>
      </w:r>
      <w:r>
        <w:rPr>
          <w:rFonts w:hint="eastAsia" w:ascii="Times New Roman" w:hAnsi="Times New Roman" w:eastAsia="宋体"/>
          <w:b/>
          <w:color w:val="000000"/>
          <w:sz w:val="18"/>
        </w:rPr>
        <w:t xml:space="preserve">带来的因果学习增益。本文的主要贡献是将显微实验操作、具有明确科学边界的教学仿真与受当前任务状态约束的对话指引连接到同一套可操作学习活动中。</w:t>
      </w:r>
    </w:p>
    <w:p>
      <w:pPr>
        <w:pStyle w:val="BodyText"/>
        <w:keepNext w:val="0"/>
        <w:widowControl/>
        <w:spacing w:before="0" w:after="100" w:line="240" w:lineRule="auto"/>
        <w:ind w:firstLine="0" w:left="0" w:right="0"/>
        <w:jc w:val="both"/>
      </w:pPr>
      <w:r>
        <w:rPr>
          <w:rFonts w:hint="eastAsia" w:ascii="Times New Roman" w:hAnsi="Times New Roman" w:eastAsia="宋体"/>
          <w:b/>
          <w:bCs/>
          <w:i/>
          <w:color w:val="000000"/>
          <w:sz w:val="18"/>
        </w:rPr>
        <w:t xml:space="preserve">关键词—</w:t>
      </w:r>
      <w:r>
        <w:rPr>
          <w:rFonts w:hint="eastAsia" w:ascii="Times New Roman" w:hAnsi="Times New Roman" w:eastAsia="宋体"/>
          <w:b/>
          <w:color w:val="000000"/>
          <w:sz w:val="18"/>
        </w:rPr>
        <w:t xml:space="preserve">虚拟现实；显微镜教学；交互式仿真；任务状态感知；大语言模型；语音输入。</w:t>
      </w:r>
    </w:p>
    <w:p>
      <w:pPr>
        <w:pStyle w:val="BodyText"/>
        <w:keepNext w:val="0"/>
        <w:widowControl/>
        <w:spacing w:before="0" w:after="100" w:line="240" w:lineRule="auto"/>
        <w:ind w:firstLine="0" w:left="0" w:right="0"/>
        <w:jc w:val="both"/>
      </w:pPr>
      <w:r>
        <w:rPr>
          <w:rFonts w:ascii="Times New Roman" w:hAnsi="Times New Roman" w:eastAsia="宋体"/>
          <w:b/>
          <w:bCs/>
          <w:color w:val="000000"/>
          <w:sz w:val="18"/>
        </w:rPr>
        <w:t xml:space="preserve">Abstract—</w:t>
      </w:r>
      <w:r>
        <w:rPr>
          <w:rFonts w:ascii="Times New Roman" w:hAnsi="Times New Roman" w:eastAsia="宋体"/>
          <w:b/>
          <w:color w:val="000000"/>
          <w:sz w:val="18"/>
        </w:rPr>
        <w:t xml:space="preserve">Microscopy education requires learners to connect instrument structure and operating procedures with changes in observable results, yet access to advanced instruments is often constrained by limited training time, operational risk, and teaching resources. This paper presents VRMicroscope, a virtual-reality learning system that integrates interactive microscopy simulation with task-state-aware AI guidance. The VR environment supports specimen pickup and placement, observation viewpoints, coarse and fine focusing, illumination and objective adjustment, and exploded component inspection. Linked modules illustrate numerical aperture, spatial frequency and structured illumination, and the basic workflow of terahertz scattering-type scanning near-field optical microscopy (THz s-SNOM). The system explicitly distinguishes instructional visual mappings and simplified numerical models from calibrated optical measurement. The AI assistant combines project knowledge, current interface state, and a catalog of available actions: a large language model generates explanations or candidate guidance, while application code validates action identifiers and rejects recommendations that no longer match the current state. Spatial navigation creates target markers from live scene geometry, and Chinese/English speech input produces editable text before submission. Evaluation combines implementation-level conformance checks with an exploratory user study. Eighteen of 19 participants completed the core task sequence (94.7%), and the whole-sample mean System Usability Scale (SUS) score was 82.4/100. Descriptive NASA-TLX results showed an unweighted composite workload of 32.4/100, where Effort (44.7) and Mental Demand (42.9) were the largest reported dimensions, while Frustration (24.2) and workload-oriented Performance rating (23.7, indicating high perceived success) were low. Because the study used a single-group exploratory design, these outcomes are interpreted as evidence of workflow feasibility and perceived usability rather than as causal evidence of learning gains attributable to AI. The main contribution is an integrated microscopy-learning environment in which physical interaction, scientifically bounded instructional simulation, and conversational guidance share an explicit representation of what the learner can currently do.</w:t>
      </w:r>
    </w:p>
    <w:bookmarkStart w:id="9" w:name="引言"/>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 引言</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显微镜实训不仅要求学习者辨认三维仪器，还需要完成放样、调焦、照明调整和物镜切换，并解释观察视野为什么发生变化。虚拟实验室可以为这些操作提供可重复探索的环境，但必须说明哪些反馈对应真实原理，哪些只是为了便于教学而设计的表达。</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VRMicroscope </w:t>
      </w:r>
      <w:r>
        <w:rPr>
          <w:rFonts w:hint="eastAsia" w:ascii="Times New Roman" w:hAnsi="Times New Roman" w:eastAsia="宋体"/>
          <w:color w:val="000000"/>
          <w:sz w:val="20"/>
        </w:rPr>
        <w:t xml:space="preserve">将物件、控制、视觉反馈和实验界面与</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助手结合，使问题对应项目知识和当前可进入的活动。核心问题是保持界面状态、仿真边界和建议一致：项目未实现的针孔调整或</w:t>
      </w:r>
      <w:r>
        <w:rPr>
          <w:rFonts w:ascii="Times New Roman" w:hAnsi="Times New Roman" w:eastAsia="宋体"/>
          <w:color w:val="000000"/>
          <w:sz w:val="20"/>
        </w:rPr>
        <w:t xml:space="preserve"> Z-stack </w:t>
      </w:r>
      <w:r>
        <w:rPr>
          <w:rFonts w:hint="eastAsia" w:ascii="Times New Roman" w:hAnsi="Times New Roman" w:eastAsia="宋体"/>
          <w:color w:val="000000"/>
          <w:sz w:val="20"/>
        </w:rPr>
        <w:t xml:space="preserve">不能作为操作推荐，当前面板已有的实验入口则应直接使用。</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本文的主要贡献为：</w:t>
      </w:r>
    </w:p>
    <w:p>
      <w:pPr>
        <w:pStyle w:val="Compact"/>
        <w:keepNext w:val="0"/>
        <w:widowControl/>
        <w:numPr>
          <w:ilvl w:val="0"/>
          <w:numId w:val="1001"/>
        </w:numPr>
        <w:spacing w:before="0" w:after="0" w:line="240" w:lineRule="auto"/>
        <w:ind w:left="346" w:right="0" w:hanging="173"/>
        <w:jc w:val="both"/>
      </w:pPr>
      <w:r>
        <w:rPr>
          <w:rFonts w:hint="eastAsia" w:ascii="Times New Roman" w:hAnsi="Times New Roman" w:eastAsia="宋体"/>
          <w:color w:val="000000"/>
          <w:sz w:val="20"/>
        </w:rPr>
        <w:t xml:space="preserve">构建连接样本操作、调焦与照明反馈、结构认知及三类进阶教学模块的显微实验环境，明确各项输入、输出和建模边界。</w:t>
      </w:r>
    </w:p>
    <w:p>
      <w:pPr>
        <w:pStyle w:val="Compact"/>
        <w:keepNext w:val="0"/>
        <w:widowControl/>
        <w:numPr>
          <w:ilvl w:val="0"/>
          <w:numId w:val="1001"/>
        </w:numPr>
        <w:spacing w:before="0" w:after="0" w:line="240" w:lineRule="auto"/>
        <w:ind w:left="346" w:right="0" w:hanging="173"/>
        <w:jc w:val="both"/>
      </w:pPr>
      <w:r>
        <w:rPr>
          <w:rFonts w:hint="eastAsia" w:ascii="Times New Roman" w:hAnsi="Times New Roman" w:eastAsia="宋体"/>
          <w:color w:val="000000"/>
          <w:sz w:val="20"/>
        </w:rPr>
        <w:t xml:space="preserve">设计结合项目知识、当前部件说明、可用动作目录、响应校验、空间标记与确认式语音输入的</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指引架构。</w:t>
      </w:r>
    </w:p>
    <w:p>
      <w:pPr>
        <w:pStyle w:val="Compact"/>
        <w:keepNext w:val="0"/>
        <w:widowControl/>
        <w:numPr>
          <w:ilvl w:val="0"/>
          <w:numId w:val="1001"/>
        </w:numPr>
        <w:spacing w:before="0" w:after="0" w:line="240" w:lineRule="auto"/>
        <w:ind w:left="346" w:right="0" w:hanging="173"/>
        <w:jc w:val="both"/>
      </w:pPr>
      <w:r>
        <w:rPr>
          <w:rFonts w:hint="eastAsia" w:ascii="Times New Roman" w:hAnsi="Times New Roman" w:eastAsia="宋体"/>
          <w:color w:val="000000"/>
          <w:sz w:val="20"/>
        </w:rPr>
        <w:t xml:space="preserve">通过实现级一致性检查与一项包含</w:t>
      </w:r>
      <w:r>
        <w:rPr>
          <w:rFonts w:ascii="Times New Roman" w:hAnsi="Times New Roman" w:eastAsia="宋体"/>
          <w:color w:val="000000"/>
          <w:sz w:val="20"/>
        </w:rPr>
        <w:t xml:space="preserve"> 19 </w:t>
      </w:r>
      <w:r>
        <w:rPr>
          <w:rFonts w:hint="eastAsia" w:ascii="Times New Roman" w:hAnsi="Times New Roman" w:eastAsia="宋体"/>
          <w:color w:val="000000"/>
          <w:sz w:val="20"/>
        </w:rPr>
        <w:t xml:space="preserve">名参与者的探索性用户研究评价系统，分别报告任务完成、感知可用性和主观工作负荷，并避免将这些指标解释为未经对照验证的学习增益。</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系统面向操作熟悉与概念探索；真实仪器迁移、定量成像及</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的额外学习收益不在现有证据范围内。</w:t>
      </w:r>
    </w:p>
    <w:bookmarkEnd w:id="9"/>
    <w:bookmarkStart w:id="10" w:name="相关工作与研究定位"/>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II. 相关工作与研究定位</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沉浸式教学助手正从通用聊天转向具体学习任务。Chheang</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等分别报告</w:t>
      </w:r>
      <w:r>
        <w:rPr>
          <w:rFonts w:ascii="Times New Roman" w:hAnsi="Times New Roman" w:eastAsia="宋体"/>
          <w:color w:val="000000"/>
          <w:sz w:val="20"/>
        </w:rPr>
        <w:t xml:space="preserve"> VR </w:t>
      </w:r>
      <w:r>
        <w:rPr>
          <w:rFonts w:hint="eastAsia" w:ascii="Times New Roman" w:hAnsi="Times New Roman" w:eastAsia="宋体"/>
          <w:color w:val="000000"/>
          <w:sz w:val="20"/>
        </w:rPr>
        <w:t xml:space="preserve">解剖助手的任务表现、SUS、NASA-TLX、存在感和访谈</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[1]；Geris</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和</w:t>
      </w:r>
      <w:r>
        <w:rPr>
          <w:rFonts w:ascii="Times New Roman" w:hAnsi="Times New Roman" w:eastAsia="宋体"/>
          <w:color w:val="000000"/>
          <w:sz w:val="20"/>
        </w:rPr>
        <w:t xml:space="preserve"> Alce </w:t>
      </w:r>
      <w:r>
        <w:rPr>
          <w:rFonts w:hint="eastAsia" w:ascii="Times New Roman" w:hAnsi="Times New Roman" w:eastAsia="宋体"/>
          <w:color w:val="000000"/>
          <w:sz w:val="20"/>
        </w:rPr>
        <w:t xml:space="preserve">记录语音</w:t>
      </w:r>
      <w:r>
        <w:rPr>
          <w:rFonts w:ascii="Times New Roman" w:hAnsi="Times New Roman" w:eastAsia="宋体"/>
          <w:color w:val="000000"/>
          <w:sz w:val="20"/>
        </w:rPr>
        <w:t xml:space="preserve"> XR </w:t>
      </w:r>
      <w:r>
        <w:rPr>
          <w:rFonts w:hint="eastAsia" w:ascii="Times New Roman" w:hAnsi="Times New Roman" w:eastAsia="宋体"/>
          <w:color w:val="000000"/>
          <w:sz w:val="20"/>
        </w:rPr>
        <w:t xml:space="preserve">辅导的延迟、反馈长度与成本</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[2]；SpatialTutor</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则结合物体感知、空间提示和</w:t>
      </w:r>
      <w:r>
        <w:rPr>
          <w:rFonts w:ascii="Times New Roman" w:hAnsi="Times New Roman" w:eastAsia="宋体"/>
          <w:color w:val="000000"/>
          <w:sz w:val="20"/>
        </w:rPr>
        <w:t xml:space="preserve"> LLM </w:t>
      </w:r>
      <w:r>
        <w:rPr>
          <w:rFonts w:hint="eastAsia" w:ascii="Times New Roman" w:hAnsi="Times New Roman" w:eastAsia="宋体"/>
          <w:color w:val="000000"/>
          <w:sz w:val="20"/>
        </w:rPr>
        <w:t xml:space="preserve">流程支持</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[3]。这些工作说明交互性能、任务结果、主观体验和学习效果应分开评价。</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本文关注显微镜学习活动与指引之间的对应关系。一个操作不仅需要在当前界面中真实可用，其反馈也需要在明确的仿真科学边界内解释。因此，本文将</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视为实验环境中的受约束辅导层，而不是能够自主控制仪器的智能体；评价时也将实现级约束行为与用户层面的可用性结果分开报告。</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定量共聚焦显微方法提供科学参照</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[4]，数值孔径与空间频率资料支撑概念呈现</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[5]、[6]；但项目没有标定的共聚焦采集链路，图形映射也不等同于真实仪器测量。</w:t>
      </w:r>
    </w:p>
    <w:bookmarkEnd w:id="10"/>
    <w:bookmarkStart w:id="18" w:name="vr-实验环境与仿真边界"/>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III. VR 实验环境与仿真边界</w:t>
      </w:r>
    </w:p>
    <w:bookmarkStart w:id="11" w:name="实验室组织与交互状态"/>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实验室组织与交互状态</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Unity </w:t>
      </w:r>
      <w:r>
        <w:rPr>
          <w:rFonts w:hint="eastAsia" w:ascii="Times New Roman" w:hAnsi="Times New Roman" w:eastAsia="宋体"/>
          <w:color w:val="000000"/>
          <w:sz w:val="20"/>
        </w:rPr>
        <w:t xml:space="preserve">实验室支持桌面和</w:t>
      </w:r>
      <w:r>
        <w:rPr>
          <w:rFonts w:ascii="Times New Roman" w:hAnsi="Times New Roman" w:eastAsia="宋体"/>
          <w:color w:val="000000"/>
          <w:sz w:val="20"/>
        </w:rPr>
        <w:t xml:space="preserve"> XR </w:t>
      </w:r>
      <w:r>
        <w:rPr>
          <w:rFonts w:hint="eastAsia" w:ascii="Times New Roman" w:hAnsi="Times New Roman" w:eastAsia="宋体"/>
          <w:color w:val="000000"/>
          <w:sz w:val="20"/>
        </w:rPr>
        <w:t xml:space="preserve">交互。</w:t>
      </w:r>
      <w:r>
        <w:rPr>
          <w:rStyle w:val="VerbatimChar"/>
          <w:rFonts w:ascii="Times New Roman" w:hAnsi="Times New Roman" w:eastAsia="宋体"/>
          <w:color w:val="000000"/>
          <w:sz w:val="20"/>
        </w:rPr>
        <w:t xml:space="preserve">Roaming</w:t>
      </w:r>
      <w:r>
        <w:rPr>
          <w:rFonts w:ascii="Times New Roman" w:hAnsi="Times New Roman" w:eastAsia="宋体"/>
          <w:color w:val="000000"/>
          <w:sz w:val="20"/>
        </w:rPr>
        <w:t xml:space="preserve">、</w:t>
      </w:r>
      <w:r>
        <w:rPr>
          <w:rStyle w:val="VerbatimChar"/>
          <w:rFonts w:ascii="Times New Roman" w:hAnsi="Times New Roman" w:eastAsia="宋体"/>
          <w:color w:val="000000"/>
          <w:sz w:val="20"/>
        </w:rPr>
        <w:t xml:space="preserve">Observing</w:t>
      </w:r>
      <w:r>
        <w:rPr>
          <w:rFonts w:ascii="Times New Roman" w:hAnsi="Times New Roman" w:eastAsia="宋体"/>
          <w:color w:val="000000"/>
          <w:sz w:val="20"/>
        </w:rPr>
        <w:t xml:space="preserve">、</w:t>
      </w:r>
      <w:r>
        <w:rPr>
          <w:rStyle w:val="VerbatimChar"/>
          <w:rFonts w:ascii="Times New Roman" w:hAnsi="Times New Roman" w:eastAsia="宋体"/>
          <w:color w:val="000000"/>
          <w:sz w:val="20"/>
        </w:rPr>
        <w:t xml:space="preserve">Tutorial</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与局部实验状态共同决定可用活动；帧边界状态切换和独立教程检查减少输入冲突。AI</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对话框打开时阻止实验输入，玩家需关闭后操作。图</w:t>
      </w:r>
      <w:r>
        <w:rPr>
          <w:rFonts w:ascii="Times New Roman" w:hAnsi="Times New Roman" w:eastAsia="宋体"/>
          <w:color w:val="000000"/>
          <w:sz w:val="20"/>
        </w:rPr>
        <w:t xml:space="preserve"> 1 </w:t>
      </w:r>
      <w:r>
        <w:rPr>
          <w:rFonts w:hint="eastAsia" w:ascii="Times New Roman" w:hAnsi="Times New Roman" w:eastAsia="宋体"/>
          <w:color w:val="000000"/>
          <w:sz w:val="20"/>
        </w:rPr>
        <w:t xml:space="preserve">将样本处理、观察、仪器调整、部件查看和关联实验置于同一环境中。</w:t>
      </w:r>
    </w:p>
    <w:p>
      <w:pPr>
        <w:spacing w:before="0" w:after="0" w:line="20" w:lineRule="exact"/>
        <w:sectPr>
          <w:type w:val="continuous"/>
          <w:footnotePr>
            <w:numRestart w:val="eachSect"/>
          </w:footnotePr>
          <w:pgSz w:w="12240" w:h="15840"/>
          <w:pgMar w:top="1080" w:bottom="1440" w:left="900" w:right="900" w:header="432" w:footer="432"/>
          <w:cols w:num="2" w:space="360"/>
        </w:sectPr>
      </w:pPr>
    </w:p>
    <w:p>
      <w:pPr>
        <w:pStyle w:val="BodyText"/>
        <w:keepNext/>
        <w:widowControl/>
        <w:spacing w:before="160" w:after="80" w:line="240" w:lineRule="auto"/>
        <w:ind w:firstLine="0" w:left="0" w:right="0"/>
        <w:jc w:val="center"/>
      </w:pPr>
      <w:r>
        <w:rPr>
          <w:rFonts w:ascii="Times New Roman" w:hAnsi="Times New Roman" w:eastAsia="宋体"/>
          <w:b w:val="0"/>
          <w:color w:val="000000"/>
          <w:sz w:val="16"/>
        </w:rPr>
        <w:t>表 I</w:t>
        <w:br/>
        <w:t>项目现有活动的输入、输出与教学边界。</w:t>
      </w:r>
    </w:p>
    <w:tbl>
      <w:tblPr>
        <w:tblStyle w:val="Table"/>
        <w:tblW w:type="dxa" w:w="104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2610"/>
        <w:gridCol w:w="2610"/>
        <w:gridCol w:w="2610"/>
        <w:gridCol w:w="2610"/>
      </w:tblGrid>
      <w:tr>
        <w:trPr>
          <w:tblHeader w:val="on"/>
          <w:cantSplit/>
          <w:tblHeader/>
        </w:trPr>
        <w:tc>
          <w:tcPr>
            <w:tcW w:type="dxa" w:w="261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活动与玩家输入</w:t>
            </w:r>
          </w:p>
        </w:tc>
        <w:tc>
          <w:tcPr>
            <w:tcW w:type="dxa" w:w="261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实际输出</w:t>
            </w:r>
          </w:p>
        </w:tc>
        <w:tc>
          <w:tcPr>
            <w:tcW w:type="dxa" w:w="261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预期教学联系</w:t>
            </w:r>
          </w:p>
        </w:tc>
        <w:tc>
          <w:tcPr>
            <w:tcW w:type="dxa" w:w="261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建模边界</w:t>
            </w:r>
          </w:p>
        </w:tc>
      </w:tr>
      <w:tr>
        <w:trPr>
          <w:cantSplit/>
        </w:trPr>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拾取、放置、观察和取出样本</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运行时样本的父对象、姿态、可见性与观察环境变化</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建立样本放置与仪器观察的联系</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脚本化对象操作，未经接触力学验证</w:t>
            </w:r>
          </w:p>
        </w:tc>
      </w:tr>
      <w:tr>
        <w:trPr>
          <w:cantSplit/>
        </w:trPr>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粗细调焦与切换物镜</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随焦点参数变化的显隐、透明度、渲染反馈及视野大小</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先搜索可观察区间，再精细调整</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人工设定焦点区间，没有共聚焦点扩散函数计算</w:t>
            </w:r>
          </w:p>
        </w:tc>
      </w:tr>
      <w:tr>
        <w:trPr>
          <w:cantSplit/>
        </w:trPr>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调整照明</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光锥线宽与样本着色器亮度输入变化</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比较照明设置与观察效果</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无量纲显示增益，非标定照度</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SuperAssembly </w:t>
            </w:r>
            <w:r>
              <w:rPr>
                <w:rFonts w:hint="eastAsia" w:ascii="Times New Roman" w:hAnsi="Times New Roman" w:eastAsia="宋体"/>
                <w:b w:val="0"/>
                <w:color w:val="000000"/>
                <w:sz w:val="16"/>
              </w:rPr>
              <w:t xml:space="preserve">与选择部件</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展开布局、部件说明及关联实验按钮</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连接结构、功能与学习活动</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示意性分离，不评价真实机械装配</w:t>
            </w:r>
          </w:p>
        </w:tc>
      </w:tr>
      <w:tr>
        <w:trPr>
          <w:cantSplit/>
        </w:trPr>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调整数值孔径</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光锥几何与样本外观示意变化</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探索收集角与</w:t>
            </w:r>
            <w:r>
              <w:rPr>
                <w:rFonts w:ascii="Times New Roman" w:hAnsi="Times New Roman" w:eastAsia="宋体"/>
                <w:b w:val="0"/>
                <w:color w:val="000000"/>
                <w:sz w:val="16"/>
              </w:rPr>
              <w:t xml:space="preserve"> NA</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固定介质教学模型，NA</w:t>
            </w:r>
            <w:r>
              <w:rPr>
                <w:rFonts w:ascii="Times New Roman" w:hAnsi="Times New Roman" w:eastAsia="宋体"/>
                <w:b w:val="0"/>
                <w:color w:val="000000"/>
                <w:sz w:val="16"/>
              </w:rPr>
              <w:t xml:space="preserve"> </w:t>
            </w:r>
            <w:r>
              <w:rPr>
                <w:rFonts w:hint="eastAsia" w:ascii="Times New Roman" w:hAnsi="Times New Roman" w:eastAsia="宋体"/>
                <w:b w:val="0"/>
                <w:color w:val="000000"/>
                <w:sz w:val="16"/>
              </w:rPr>
              <w:t xml:space="preserve">不唯一决定倍率</w:t>
            </w:r>
          </w:p>
        </w:tc>
      </w:tr>
      <w:tr>
        <w:trPr>
          <w:cantSplit/>
        </w:trPr>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选择空间频率与照明</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光栅/衍射示意及源于样本纹理的傅里叶显示</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连接周期结构、衍射与频谱支持范围</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简化结构光说明</w:t>
            </w:r>
          </w:p>
        </w:tc>
      </w:tr>
      <w:tr>
        <w:trPr>
          <w:cantSplit/>
        </w:trPr>
        <w:tc>
          <w:tcPr>
            <w:tcW w:type="dxa" w:w="261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选择</w:t>
            </w:r>
            <w:r>
              <w:rPr>
                <w:rFonts w:ascii="Times New Roman" w:hAnsi="Times New Roman" w:eastAsia="宋体"/>
                <w:b w:val="0"/>
                <w:color w:val="000000"/>
                <w:sz w:val="16"/>
              </w:rPr>
              <w:t xml:space="preserve"> SNOM </w:t>
            </w:r>
            <w:r>
              <w:rPr>
                <w:rFonts w:hint="eastAsia" w:ascii="Times New Roman" w:hAnsi="Times New Roman" w:eastAsia="宋体"/>
                <w:b w:val="0"/>
                <w:color w:val="000000"/>
                <w:sz w:val="16"/>
              </w:rPr>
              <w:t xml:space="preserve">探针并控制演示</w:t>
            </w:r>
          </w:p>
        </w:tc>
        <w:tc>
          <w:tcPr>
            <w:tcW w:type="dxa" w:w="261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安装、敲击、扫描动画及示意图像</w:t>
            </w:r>
          </w:p>
        </w:tc>
        <w:tc>
          <w:tcPr>
            <w:tcW w:type="dxa" w:w="261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理解近场显微工作流程</w:t>
            </w:r>
          </w:p>
        </w:tc>
        <w:tc>
          <w:tcPr>
            <w:tcW w:type="dxa" w:w="261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使用合成输出的流程演示</w:t>
            </w:r>
          </w:p>
        </w:tc>
      </w:tr>
    </w:tbl>
    <w:p>
      <w:pPr>
        <w:spacing w:before="0" w:after="0" w:line="20" w:lineRule="exact"/>
        <w:sectPr>
          <w:type w:val="continuous"/>
          <w:footnotePr>
            <w:numRestart w:val="eachSect"/>
          </w:footnotePr>
          <w:pgSz w:w="12240" w:h="15840"/>
          <w:pgMar w:top="1080" w:bottom="1440" w:left="900" w:right="900" w:header="432" w:footer="432"/>
          <w:cols w:num="1" w:space="360"/>
        </w:sectPr>
      </w:pPr>
    </w:p>
    <w:p>
      <w:pPr>
        <w:spacing w:before="0" w:after="0" w:line="20" w:lineRule="exact"/>
        <w:sectPr>
          <w:type w:val="continuous"/>
          <w:footnotePr>
            <w:numRestart w:val="eachSect"/>
          </w:footnotePr>
          <w:pgSz w:w="12240" w:h="15840"/>
          <w:pgMar w:top="1080" w:bottom="1440" w:left="900" w:right="900" w:header="432" w:footer="432"/>
          <w:cols w:num="2" w:space="360"/>
        </w:sectPr>
      </w:pP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5220"/>
        <w:gridCol w:w="5220"/>
      </w:tblGrid>
      <w:tr>
        <w:trPr>
          <w:cantSplit/>
        </w:trPr>
        <w:tc>
          <w:tcPr>
            <w:tcW w:type="dxa" w:w="5220"/>
            <w:vAlign w:val="top"/>
          </w:tcPr>
          <w:p>
            <w:pPr>
              <w:keepNext/>
              <w:widowControl/>
              <w:spacing w:before="0" w:after="0" w:line="240" w:lineRule="auto"/>
              <w:ind w:firstLine="0" w:left="0" w:right="0"/>
              <w:jc w:val="center"/>
            </w:pPr>
            <w:r>
              <w:drawing>
                <wp:inline>
                  <wp:extent cx="3136392" cy="1700193"/>
                  <wp:docPr id="1" name="Picture 1"/>
                  <wp:cNvGraphicFramePr>
                    <a:graphicFrameLocks noChangeAspect="1"/>
                  </wp:cNvGraphicFramePr>
                  <a:graphic>
                    <a:graphicData uri="http://schemas.openxmlformats.org/drawingml/2006/picture">
                      <pic:pic>
                        <pic:nvPicPr>
                          <pic:cNvPr id="0" name="1.1 实验室全景.png"/>
                          <pic:cNvPicPr/>
                        </pic:nvPicPr>
                        <pic:blipFill>
                          <a:blip r:embed="rId9"/>
                          <a:stretch>
                            <a:fillRect/>
                          </a:stretch>
                        </pic:blipFill>
                        <pic:spPr>
                          <a:xfrm>
                            <a:off x="0" y="0"/>
                            <a:ext cx="3136392" cy="1700193"/>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(a) 含显微镜、样本区和助手入口的实验室全景。</w:t>
            </w:r>
          </w:p>
        </w:tc>
        <w:tc>
          <w:tcPr>
            <w:tcW w:type="dxa" w:w="5220"/>
            <w:vAlign w:val="top"/>
          </w:tcPr>
          <w:p>
            <w:pPr>
              <w:keepNext/>
              <w:widowControl/>
              <w:spacing w:before="0" w:after="0" w:line="240" w:lineRule="auto"/>
              <w:ind w:firstLine="0" w:left="0" w:right="0"/>
              <w:jc w:val="center"/>
            </w:pPr>
            <w:r>
              <w:drawing>
                <wp:inline>
                  <wp:extent cx="3136392" cy="1674972"/>
                  <wp:docPr id="2" name="Picture 2"/>
                  <wp:cNvGraphicFramePr>
                    <a:graphicFrameLocks noChangeAspect="1"/>
                  </wp:cNvGraphicFramePr>
                  <a:graphic>
                    <a:graphicData uri="http://schemas.openxmlformats.org/drawingml/2006/picture">
                      <pic:pic>
                        <pic:nvPicPr>
                          <pic:cNvPr id="0" name="1.4 样本区域.png"/>
                          <pic:cNvPicPr/>
                        </pic:nvPicPr>
                        <pic:blipFill>
                          <a:blip r:embed="rId10"/>
                          <a:stretch>
                            <a:fillRect/>
                          </a:stretch>
                        </pic:blipFill>
                        <pic:spPr>
                          <a:xfrm>
                            <a:off x="0" y="0"/>
                            <a:ext cx="3136392" cy="1674972"/>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(b) 样本操作区域。</w:t>
            </w:r>
          </w:p>
        </w:tc>
      </w:tr>
      <w:tr>
        <w:trPr>
          <w:cantSplit/>
        </w:trPr>
        <w:tc>
          <w:tcPr>
            <w:tcW w:type="dxa" w:w="5220"/>
            <w:vAlign w:val="top"/>
          </w:tcPr>
          <w:p>
            <w:pPr>
              <w:keepNext/>
              <w:widowControl/>
              <w:spacing w:before="0" w:after="0" w:line="240" w:lineRule="auto"/>
              <w:ind w:firstLine="0" w:left="0" w:right="0"/>
              <w:jc w:val="center"/>
            </w:pPr>
            <w:r>
              <w:drawing>
                <wp:inline>
                  <wp:extent cx="3136392" cy="1707706"/>
                  <wp:docPr id="3" name="Picture 3"/>
                  <wp:cNvGraphicFramePr>
                    <a:graphicFrameLocks noChangeAspect="1"/>
                  </wp:cNvGraphicFramePr>
                  <a:graphic>
                    <a:graphicData uri="http://schemas.openxmlformats.org/drawingml/2006/picture">
                      <pic:pic>
                        <pic:nvPicPr>
                          <pic:cNvPr id="0" name="4.1 部件拆解.png"/>
                          <pic:cNvPicPr/>
                        </pic:nvPicPr>
                        <pic:blipFill>
                          <a:blip r:embed="rId11"/>
                          <a:stretch>
                            <a:fillRect/>
                          </a:stretch>
                        </pic:blipFill>
                        <pic:spPr>
                          <a:xfrm>
                            <a:off x="0" y="0"/>
                            <a:ext cx="3136392" cy="1707706"/>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(c) 显微镜部件展开查看。</w:t>
            </w:r>
          </w:p>
        </w:tc>
        <w:tc>
          <w:tcPr>
            <w:tcW w:type="dxa" w:w="5220"/>
            <w:vAlign w:val="top"/>
          </w:tcPr>
          <w:p>
            <w:pPr>
              <w:keepNext/>
              <w:widowControl/>
              <w:spacing w:before="0" w:after="0" w:line="240" w:lineRule="auto"/>
              <w:ind w:firstLine="0" w:left="0" w:right="0"/>
              <w:jc w:val="center"/>
            </w:pPr>
            <w:r>
              <w:drawing>
                <wp:inline>
                  <wp:extent cx="3136392" cy="1751694"/>
                  <wp:docPr id="4" name="Picture 4"/>
                  <wp:cNvGraphicFramePr>
                    <a:graphicFrameLocks noChangeAspect="1"/>
                  </wp:cNvGraphicFramePr>
                  <a:graphic>
                    <a:graphicData uri="http://schemas.openxmlformats.org/drawingml/2006/picture">
                      <pic:pic>
                        <pic:nvPicPr>
                          <pic:cNvPr id="0" name="5.1 SNOM.png"/>
                          <pic:cNvPicPr/>
                        </pic:nvPicPr>
                        <pic:blipFill>
                          <a:blip r:embed="rId12"/>
                          <a:stretch>
                            <a:fillRect/>
                          </a:stretch>
                        </pic:blipFill>
                        <pic:spPr>
                          <a:xfrm>
                            <a:off x="0" y="0"/>
                            <a:ext cx="3136392" cy="1751694"/>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(d) SNOM 探针选择区域。</w:t>
            </w:r>
          </w:p>
        </w:tc>
      </w:tr>
    </w:tbl>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图 1. VRMicroscope 学习环境与核心活动。学习者在同一实验室中进行样本操作、显微观察、部件探索和 SNOM 流程演示，并通过助手获取相关解释与指引。各分图为项目运行时的代表性画面。</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11"/>
    <w:bookmarkStart w:id="12" w:name="样本操作与观察"/>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样本操作与观察</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拾取样本会创建附着于手部的带标签运行时副本；距离和手持对象检查通过后，程序统一姿态与比例并移入观察环境。样本归属、调焦可见性和观察状态独立维护。显微图像相机通过渲染纹理输出到仪器屏幕，切换物镜则改变其正交尺寸。</w:t>
      </w:r>
    </w:p>
    <w:bookmarkEnd w:id="12"/>
    <w:bookmarkStart w:id="13" w:name="调焦物镜与照明反馈"/>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调焦、物镜与照明反馈</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调焦练习通过较大的粗调步长寻找样本可观察区间，再以细调改善显示。设</w:t>
      </w:r>
      <w:r>
        <w:rPr>
          <w:rFonts w:ascii="Times New Roman" w:hAnsi="Times New Roman" w:eastAsia="宋体"/>
          <w:color w:val="000000"/>
          <w:sz w:val="20"/>
        </w:rPr>
        <w:t xml:space="preserve"> </w:t>
      </w:r>
      <m:oMath>
        <m:r>
          <m:t>v</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为无量纲滑块值，</w:t>
      </w:r>
      <m:oMath>
        <m:r>
          <m:t>j</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为物镜索引，</w:t>
      </w:r>
      <m:oMath>
        <m:sSub>
          <m:e>
            <m:r>
              <m:t>f</m:t>
            </m:r>
          </m:e>
          <m:sub>
            <m:r>
              <m:t>j</m:t>
            </m:r>
          </m:sub>
        </m:sSub>
      </m:oMath>
      <w:r>
        <w:rPr>
          <w:rFonts w:ascii="Times New Roman" w:hAnsi="Times New Roman" w:eastAsia="宋体"/>
          <w:color w:val="000000"/>
          <w:sz w:val="20"/>
        </w:rPr>
        <w:t xml:space="preserve">、</w:t>
      </w:r>
      <m:oMath>
        <m:sSub>
          <m:e>
            <m:r>
              <m:t>r</m:t>
            </m:r>
          </m:e>
          <m:sub>
            <m:r>
              <m:t>j</m:t>
            </m:r>
          </m:sub>
        </m:sSub>
      </m:oMath>
      <w:r>
        <w:rPr>
          <w:rFonts w:ascii="Times New Roman" w:hAnsi="Times New Roman" w:eastAsia="宋体"/>
          <w:color w:val="000000"/>
          <w:sz w:val="20"/>
        </w:rPr>
        <w:t xml:space="preserve">、</w:t>
      </w:r>
      <m:oMath>
        <m:sSub>
          <m:e>
            <m:r>
              <m:t>c</m:t>
            </m:r>
          </m:e>
          <m:sub>
            <m:r>
              <m:t>j</m:t>
            </m:r>
          </m:sub>
        </m:sSub>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分别为该物镜的焦点中心、可见区间半宽和完全不透明区间半宽。定义</w:t>
      </w:r>
      <w:r>
        <w:rPr>
          <w:rFonts w:ascii="Times New Roman" w:hAnsi="Times New Roman" w:eastAsia="宋体"/>
          <w:color w:val="000000"/>
          <w:sz w:val="20"/>
        </w:rPr>
        <w:t xml:space="preserve"> </w:t>
      </w:r>
      <m:oMath>
        <m:sSub>
          <m:e>
            <m:r>
              <m:t>e</m:t>
            </m:r>
          </m:e>
          <m:sub>
            <m:r>
              <m:t>j</m:t>
            </m:r>
          </m:sub>
        </m:sSub>
        <m:r>
          <m:rPr>
            <m:sty m:val="p"/>
          </m:rPr>
          <m:t>=</m:t>
        </m:r>
        <m:r>
          <m:rPr>
            <m:sty m:val="p"/>
          </m:rPr>
          <m:t>|</m:t>
        </m:r>
        <m:r>
          <m:t>v</m:t>
        </m:r>
        <m:r>
          <m:rPr>
            <m:sty m:val="p"/>
          </m:rPr>
          <m:t>−</m:t>
        </m:r>
        <m:sSub>
          <m:e>
            <m:r>
              <m:t>f</m:t>
            </m:r>
          </m:e>
          <m:sub>
            <m:r>
              <m:t>j</m:t>
            </m:r>
          </m:sub>
        </m:sSub>
        <m:r>
          <m:rPr>
            <m:sty m:val="p"/>
          </m:rPr>
          <m:t>|</m:t>
        </m:r>
      </m:oMath>
      <w:r>
        <w:rPr>
          <w:rFonts w:hint="eastAsia" w:ascii="Times New Roman" w:hAnsi="Times New Roman" w:eastAsia="宋体"/>
          <w:color w:val="000000"/>
          <w:sz w:val="20"/>
        </w:rPr>
        <w:t xml:space="preserve">，样本在</w:t>
      </w:r>
      <w:r>
        <w:rPr>
          <w:rFonts w:ascii="Times New Roman" w:hAnsi="Times New Roman" w:eastAsia="宋体"/>
          <w:color w:val="000000"/>
          <w:sz w:val="20"/>
        </w:rPr>
        <w:t xml:space="preserve"> </w:t>
      </w:r>
      <m:oMath>
        <m:sSub>
          <m:e>
            <m:r>
              <m:t>e</m:t>
            </m:r>
          </m:e>
          <m:sub>
            <m:r>
              <m:t>j</m:t>
            </m:r>
          </m:sub>
        </m:sSub>
        <m:r>
          <m:rPr>
            <m:sty m:val="p"/>
          </m:rPr>
          <m:t>≤</m:t>
        </m:r>
        <m:sSub>
          <m:e>
            <m:r>
              <m:t>r</m:t>
            </m:r>
          </m:e>
          <m:sub>
            <m:r>
              <m:t>j</m:t>
            </m:r>
          </m:sub>
        </m:sSub>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时激活，其透明度为：</w:t>
      </w:r>
    </w:p>
    <w:p>
      <w:pPr>
        <w:pStyle w:val="BodyText"/>
        <w:keepNext w:val="0"/>
        <w:widowControl/>
        <w:spacing w:before="120" w:after="120" w:line="240" w:lineRule="auto"/>
        <w:ind w:firstLine="0" w:left="0" w:right="0"/>
        <w:jc w:val="center"/>
      </w:pPr>
      <m:oMathPara>
        <m:oMathParaPr>
          <m:jc m:val="center"/>
        </m:oMathParaPr>
        <m:oMath>
          <m:sSub>
            <m:e>
              <m:r>
                <m:t>α</m:t>
                <w:rPr>
                  <w:sz w:val="18"/>
                </w:rPr>
              </m:r>
            </m:e>
            <m:sub>
              <m:r>
                <m:t>j</m:t>
                <w:rPr>
                  <w:sz w:val="18"/>
                </w:rPr>
              </m:r>
            </m:sub>
          </m:sSub>
          <m:r>
            <m:rPr>
              <m:sty m:val="p"/>
            </m:rPr>
            <m:t>(</m:t>
            <w:rPr>
              <w:sz w:val="18"/>
            </w:rPr>
          </m:r>
          <m:r>
            <m:t>v</m:t>
            <w:rPr>
              <w:sz w:val="18"/>
            </w:rPr>
          </m:r>
          <m:r>
            <m:rPr>
              <m:sty m:val="p"/>
            </m:rPr>
            <m:t>)</m:t>
            <w:rPr>
              <w:sz w:val="18"/>
            </w:rPr>
          </m:r>
          <m:r>
            <m:rPr>
              <m:sty m:val="p"/>
            </m:rPr>
            <m:t>=</m:t>
            <w:rPr>
              <w:sz w:val="18"/>
            </w:rPr>
          </m:r>
          <m:d>
            <m:dPr>
              <m:begChr m:val="{"/>
              <m:sepChr m:val=""/>
              <m:endChr m:val=""/>
              <m:grow/>
            </m:dPr>
            <m:e>
              <m:m>
                <m:mPr>
                  <m:baseJc m:val="center"/>
                  <m:plcHide m:val="on"/>
                  <m:mcs>
                    <m:mc>
                      <m:mcPr>
                        <m:mcJc m:val="left"/>
                        <m:count m:val="1"/>
                      </m:mcPr>
                    </m:mc>
                    <m:mc>
                      <m:mcPr>
                        <m:mcJc m:val="left"/>
                        <m:count m:val="1"/>
                      </m:mcPr>
                    </m:mc>
                  </m:mcs>
                </m:mPr>
                <m:mr>
                  <m:e>
                    <m:r>
                      <m:t>1</m:t>
                      <w:rPr>
                        <w:sz w:val="18"/>
                      </w:rPr>
                    </m:r>
                    <m:r>
                      <m:rPr>
                        <m:sty m:val="p"/>
                      </m:rPr>
                      <m:t>,</m:t>
                      <w:rPr>
                        <w:sz w:val="18"/>
                      </w:rPr>
                    </m:r>
                  </m:e>
                  <m:e>
                    <m:sSub>
                      <m:e>
                        <m:r>
                          <m:t>e</m:t>
                          <w:rPr>
                            <w:sz w:val="18"/>
                          </w:rPr>
                        </m:r>
                      </m:e>
                      <m:sub>
                        <m:r>
                          <m:t>j</m:t>
                          <w:rPr>
                            <w:sz w:val="18"/>
                          </w:rPr>
                        </m:r>
                      </m:sub>
                    </m:sSub>
                    <m:r>
                      <m:rPr>
                        <m:sty m:val="p"/>
                      </m:rPr>
                      <m:t>&lt;</m:t>
                      <w:rPr>
                        <w:sz w:val="18"/>
                      </w:rPr>
                    </m:r>
                    <m:sSub>
                      <m:e>
                        <m:r>
                          <m:t>c</m:t>
                          <w:rPr>
                            <w:sz w:val="18"/>
                          </w:rPr>
                        </m:r>
                      </m:e>
                      <m:sub>
                        <m:r>
                          <m:t>j</m:t>
                          <w:rPr>
                            <w:sz w:val="18"/>
                          </w:rPr>
                        </m:r>
                      </m:sub>
                    </m:sSub>
                    <m:r>
                      <m:rPr>
                        <m:sty m:val="p"/>
                      </m:rPr>
                      <m:t>,</m:t>
                      <w:rPr>
                        <w:sz w:val="18"/>
                      </w:rPr>
                    </m:r>
                  </m:e>
                </m:mr>
                <m:mr>
                  <m:e>
                    <m:r>
                      <m:t>1</m:t>
                      <w:rPr>
                        <w:sz w:val="18"/>
                      </w:rPr>
                    </m:r>
                    <m:r>
                      <m:rPr>
                        <m:sty m:val="p"/>
                      </m:rPr>
                      <m:t>−</m:t>
                      <w:rPr>
                        <w:sz w:val="18"/>
                      </w:rPr>
                    </m:r>
                    <m:f>
                      <m:fPr>
                        <m:type m:val="bar"/>
                      </m:fPr>
                      <m:num>
                        <m:sSub>
                          <m:e>
                            <m:r>
                              <m:t>e</m:t>
                              <w:rPr>
                                <w:sz w:val="18"/>
                              </w:rPr>
                            </m:r>
                          </m:e>
                          <m:sub>
                            <m:r>
                              <m:t>j</m:t>
                              <w:rPr>
                                <w:sz w:val="18"/>
                              </w:rPr>
                            </m:r>
                          </m:sub>
                        </m:sSub>
                        <m:r>
                          <m:rPr>
                            <m:sty m:val="p"/>
                          </m:rPr>
                          <m:t>−</m:t>
                          <w:rPr>
                            <w:sz w:val="18"/>
                          </w:rPr>
                        </m:r>
                        <m:sSub>
                          <m:e>
                            <m:r>
                              <m:t>c</m:t>
                              <w:rPr>
                                <w:sz w:val="18"/>
                              </w:rPr>
                            </m:r>
                          </m:e>
                          <m:sub>
                            <m:r>
                              <m:t>j</m:t>
                              <w:rPr>
                                <w:sz w:val="18"/>
                              </w:rPr>
                            </m:r>
                          </m:sub>
                        </m:sSub>
                      </m:num>
                      <m:den>
                        <m:sSub>
                          <m:e>
                            <m:r>
                              <m:t>r</m:t>
                              <w:rPr>
                                <w:sz w:val="18"/>
                              </w:rPr>
                            </m:r>
                          </m:e>
                          <m:sub>
                            <m:r>
                              <m:t>j</m:t>
                              <w:rPr>
                                <w:sz w:val="18"/>
                              </w:rPr>
                            </m:r>
                          </m:sub>
                        </m:sSub>
                        <m:r>
                          <m:rPr>
                            <m:sty m:val="p"/>
                          </m:rPr>
                          <m:t>−</m:t>
                          <w:rPr>
                            <w:sz w:val="18"/>
                          </w:rPr>
                        </m:r>
                        <m:sSub>
                          <m:e>
                            <m:r>
                              <m:t>c</m:t>
                              <w:rPr>
                                <w:sz w:val="18"/>
                              </w:rPr>
                            </m:r>
                          </m:e>
                          <m:sub>
                            <m:r>
                              <m:t>j</m:t>
                              <w:rPr>
                                <w:sz w:val="18"/>
                              </w:rPr>
                            </m:r>
                          </m:sub>
                        </m:sSub>
                      </m:den>
                    </m:f>
                    <m:r>
                      <m:rPr>
                        <m:sty m:val="p"/>
                      </m:rPr>
                      <m:t>,</m:t>
                      <w:rPr>
                        <w:sz w:val="18"/>
                      </w:rPr>
                    </m:r>
                  </m:e>
                  <m:e>
                    <m:sSub>
                      <m:e>
                        <m:r>
                          <m:t>c</m:t>
                          <w:rPr>
                            <w:sz w:val="18"/>
                          </w:rPr>
                        </m:r>
                      </m:e>
                      <m:sub>
                        <m:r>
                          <m:t>j</m:t>
                          <w:rPr>
                            <w:sz w:val="18"/>
                          </w:rPr>
                        </m:r>
                      </m:sub>
                    </m:sSub>
                    <m:r>
                      <m:rPr>
                        <m:sty m:val="p"/>
                      </m:rPr>
                      <m:t>≤</m:t>
                      <w:rPr>
                        <w:sz w:val="18"/>
                      </w:rPr>
                    </m:r>
                    <m:sSub>
                      <m:e>
                        <m:r>
                          <m:t>e</m:t>
                          <w:rPr>
                            <w:sz w:val="18"/>
                          </w:rPr>
                        </m:r>
                      </m:e>
                      <m:sub>
                        <m:r>
                          <m:t>j</m:t>
                          <w:rPr>
                            <w:sz w:val="18"/>
                          </w:rPr>
                        </m:r>
                      </m:sub>
                    </m:sSub>
                    <m:r>
                      <m:rPr>
                        <m:sty m:val="p"/>
                      </m:rPr>
                      <m:t>≤</m:t>
                      <w:rPr>
                        <w:sz w:val="18"/>
                      </w:rPr>
                    </m:r>
                    <m:sSub>
                      <m:e>
                        <m:r>
                          <m:t>r</m:t>
                          <w:rPr>
                            <w:sz w:val="18"/>
                          </w:rPr>
                        </m:r>
                      </m:e>
                      <m:sub>
                        <m:r>
                          <m:t>j</m:t>
                          <w:rPr>
                            <w:sz w:val="18"/>
                          </w:rPr>
                        </m:r>
                      </m:sub>
                    </m:sSub>
                    <m:r>
                      <m:rPr>
                        <m:sty m:val="p"/>
                      </m:rPr>
                      <m:t>.</m:t>
                      <w:rPr>
                        <w:sz w:val="18"/>
                      </w:rPr>
                    </m:r>
                  </m:e>
                </m:mr>
              </m:m>
            </m:e>
          </m:d>
        </m:oMath>
      </m:oMathPara>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区间外样本隐藏，区间内以</w:t>
      </w:r>
      <w:r>
        <w:rPr>
          <w:rFonts w:ascii="Times New Roman" w:hAnsi="Times New Roman" w:eastAsia="宋体"/>
          <w:color w:val="000000"/>
          <w:sz w:val="20"/>
        </w:rPr>
        <w:t xml:space="preserve"> </w:t>
      </w:r>
      <m:oMath>
        <m:r>
          <m:t>300</m:t>
        </m:r>
        <m:sSub>
          <m:e>
            <m:r>
              <m:t>e</m:t>
            </m:r>
          </m:e>
          <m:sub>
            <m:r>
              <m:t>j</m:t>
            </m:r>
          </m:sub>
        </m:sSub>
        <m:r>
          <m:rPr>
            <m:sty m:val="p"/>
          </m:rPr>
          <m:t>/</m:t>
        </m:r>
        <m:sSub>
          <m:e>
            <m:r>
              <m:t>r</m:t>
            </m:r>
          </m:e>
          <m:sub>
            <m:r>
              <m:t>j</m:t>
            </m:r>
          </m:sub>
        </m:sSub>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设置渲染焦点参数。物镜标签</w:t>
      </w:r>
      <w:r>
        <w:rPr>
          <w:rFonts w:ascii="Times New Roman" w:hAnsi="Times New Roman" w:eastAsia="宋体"/>
          <w:color w:val="000000"/>
          <w:sz w:val="20"/>
        </w:rPr>
        <w:t xml:space="preserve"> 5、10、50、100 </w:t>
      </w:r>
      <w:r>
        <w:rPr>
          <w:rFonts w:hint="eastAsia" w:ascii="Times New Roman" w:hAnsi="Times New Roman" w:eastAsia="宋体"/>
          <w:color w:val="000000"/>
          <w:sz w:val="20"/>
        </w:rPr>
        <w:t xml:space="preserve">的可见半宽为</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0.17、0.13、0.07、0.04，粗细调增量比为</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25:1。这些值定义视觉反馈和操作灵敏度，并非标定位移或针孔传递函数。</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切换物镜会旋转转盘并改变观察尺度，照明则改变光束线宽和无量纲着色器输入。焦点中心、显示增益和相机尺寸均为软件配置，物理标定需另行评价。</w:t>
      </w:r>
    </w:p>
    <w:bookmarkEnd w:id="13"/>
    <w:bookmarkStart w:id="14" w:name="结构认知与教程限制"/>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D. 结构认知与教程限制</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SuperAssembly </w:t>
      </w:r>
      <w:r>
        <w:rPr>
          <w:rFonts w:hint="eastAsia" w:ascii="Times New Roman" w:hAnsi="Times New Roman" w:eastAsia="宋体"/>
          <w:color w:val="000000"/>
          <w:sz w:val="20"/>
        </w:rPr>
        <w:t xml:space="preserve">从模型中心展开部件，学习者可选择部件并查看名称、功能和关联实验。上部光学组件关联</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NA，物镜关联空间频率；说明和可用入口共同构成</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上下文。教程完成记录只表示操作要求已满足，不代表概念掌握。</w:t>
      </w:r>
    </w:p>
    <w:bookmarkEnd w:id="14"/>
    <w:bookmarkStart w:id="15" w:name="数值孔径实验"/>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E. 数值孔径实验</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NA </w:t>
      </w:r>
      <w:r>
        <w:rPr>
          <w:rFonts w:hint="eastAsia" w:ascii="Times New Roman" w:hAnsi="Times New Roman" w:eastAsia="宋体"/>
          <w:color w:val="000000"/>
          <w:sz w:val="20"/>
        </w:rPr>
        <w:t xml:space="preserve">模块提供</w:t>
      </w:r>
      <w:r>
        <w:rPr>
          <w:rFonts w:ascii="Times New Roman" w:hAnsi="Times New Roman" w:eastAsia="宋体"/>
          <w:color w:val="000000"/>
          <w:sz w:val="20"/>
        </w:rPr>
        <w:t xml:space="preserve"> 0.03–0.95 </w:t>
      </w:r>
      <w:r>
        <w:rPr>
          <w:rFonts w:hint="eastAsia" w:ascii="Times New Roman" w:hAnsi="Times New Roman" w:eastAsia="宋体"/>
          <w:color w:val="000000"/>
          <w:sz w:val="20"/>
        </w:rPr>
        <w:t xml:space="preserve">的滑块范围，在固定折射率</w:t>
      </w:r>
      <w:r>
        <w:rPr>
          <w:rFonts w:ascii="Times New Roman" w:hAnsi="Times New Roman" w:eastAsia="宋体"/>
          <w:color w:val="000000"/>
          <w:sz w:val="20"/>
        </w:rPr>
        <w:t xml:space="preserve"> </w:t>
      </w:r>
      <m:oMath>
        <m:r>
          <m:t>n</m:t>
        </m:r>
        <m:r>
          <m:rPr>
            <m:sty m:val="p"/>
          </m:rPr>
          <m:t>=</m:t>
        </m:r>
        <m:r>
          <m:t>1</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下使用：</w:t>
      </w:r>
    </w:p>
    <w:p>
      <w:pPr>
        <w:pStyle w:val="BodyText"/>
        <w:keepNext w:val="0"/>
        <w:widowControl/>
        <w:spacing w:before="120" w:after="120" w:line="240" w:lineRule="auto"/>
        <w:ind w:firstLine="0" w:left="0" w:right="0"/>
        <w:jc w:val="center"/>
      </w:pPr>
      <m:oMathPara>
        <m:oMathParaPr>
          <m:jc m:val="center"/>
        </m:oMathParaPr>
        <m:oMath>
          <m:r>
            <m:rPr>
              <m:sty m:val="p"/>
            </m:rPr>
            <m:t>N</m:t>
            <w:rPr>
              <w:sz w:val="18"/>
            </w:rPr>
          </m:r>
          <m:r>
            <m:rPr>
              <m:sty m:val="p"/>
            </m:rPr>
            <m:t>A</m:t>
            <w:rPr>
              <w:sz w:val="18"/>
            </w:rPr>
          </m:r>
          <m:r>
            <m:rPr>
              <m:sty m:val="p"/>
            </m:rPr>
            <m:t>=</m:t>
            <w:rPr>
              <w:sz w:val="18"/>
            </w:rPr>
          </m:r>
          <m:r>
            <m:t>n</m:t>
            <w:rPr>
              <w:sz w:val="18"/>
            </w:rPr>
          </m:r>
          <m:r>
            <m:rPr>
              <m:sty m:val="p"/>
            </m:rPr>
            <m:t>sin</m:t>
            <w:rPr>
              <w:sz w:val="18"/>
            </w:rPr>
          </m:r>
          <m:r>
            <m:t>θ</m:t>
            <w:rPr>
              <w:sz w:val="18"/>
            </w:rPr>
          </m:r>
          <m:r>
            <m:rPr>
              <m:sty m:val="p"/>
            </m:rPr>
            <m:t>,</m:t>
            <w:rPr>
              <w:sz w:val="18"/>
            </w:rPr>
          </m:r>
          <m:r>
            <m:t>  </m:t>
            <w:rPr>
              <w:sz w:val="18"/>
            </w:rPr>
          </m:r>
          <m:r>
            <m:t>θ</m:t>
            <w:rPr>
              <w:sz w:val="18"/>
            </w:rPr>
          </m:r>
          <m:r>
            <m:rPr>
              <m:sty m:val="p"/>
            </m:rPr>
            <m:t>=</m:t>
            <w:rPr>
              <w:sz w:val="18"/>
            </w:rPr>
          </m:r>
          <m:r>
            <m:rPr>
              <m:sty m:val="p"/>
            </m:rPr>
            <m:t>arcsin</m:t>
            <w:rPr>
              <w:sz w:val="18"/>
            </w:rPr>
          </m:r>
          <m:r>
            <m:rPr>
              <m:sty m:val="p"/>
            </m:rPr>
            <m:t>(</m:t>
            <w:rPr>
              <w:sz w:val="18"/>
            </w:rPr>
          </m:r>
          <m:r>
            <m:rPr>
              <m:sty m:val="p"/>
            </m:rPr>
            <m:t>N</m:t>
            <w:rPr>
              <w:sz w:val="18"/>
            </w:rPr>
          </m:r>
          <m:r>
            <m:rPr>
              <m:sty m:val="p"/>
            </m:rPr>
            <m:t>A</m:t>
            <w:rPr>
              <w:sz w:val="18"/>
            </w:rPr>
          </m:r>
          <m:r>
            <m:rPr>
              <m:sty m:val="p"/>
            </m:rPr>
            <m:t>/</m:t>
            <w:rPr>
              <w:sz w:val="18"/>
            </w:rPr>
          </m:r>
          <m:r>
            <m:t>n</m:t>
            <w:rPr>
              <w:sz w:val="18"/>
            </w:rPr>
          </m:r>
          <m:r>
            <m:rPr>
              <m:sty m:val="p"/>
            </m:rPr>
            <m:t>)</m:t>
            <w:rPr>
              <w:sz w:val="18"/>
            </w:rPr>
          </m:r>
          <m:r>
            <m:rPr>
              <m:sty m:val="p"/>
            </m:rPr>
            <m:t>.</m:t>
            <w:rPr>
              <w:sz w:val="18"/>
            </w:rPr>
          </m:r>
        </m:oMath>
      </m:oMathPara>
    </w:p>
    <w:p>
      <w:pPr>
        <w:pStyle w:val="FirstParagraph"/>
        <w:keepNext w:val="0"/>
        <w:widowControl/>
        <w:spacing w:before="0" w:after="0" w:line="240" w:lineRule="auto"/>
        <w:ind w:firstLine="202" w:left="0" w:right="0"/>
        <w:jc w:val="both"/>
      </w:pPr>
      <m:oMath>
        <m:r>
          <m:t>θ</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为光锥半角，界面同步更新角度和光锥几何</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[5]、[7]。倍率锚点与外观仅用于示意；NA</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不等同于倍率，显示变化也不是亮度、景深或分辨率的定量测量。</w:t>
      </w:r>
    </w:p>
    <w:bookmarkEnd w:id="15"/>
    <w:bookmarkStart w:id="16" w:name="空间频率与结构光教学显示"/>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F. 空间频率与结构光教学显示</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空间频率界面提供</w:t>
      </w:r>
      <w:r>
        <w:rPr>
          <w:rFonts w:ascii="Times New Roman" w:hAnsi="Times New Roman" w:eastAsia="宋体"/>
          <w:color w:val="000000"/>
          <w:sz w:val="20"/>
        </w:rPr>
        <w:t xml:space="preserve"> 250、125、62.5 </w:t>
      </w:r>
      <w:r>
        <w:rPr>
          <w:rFonts w:hint="eastAsia" w:ascii="Times New Roman" w:hAnsi="Times New Roman" w:eastAsia="宋体"/>
          <w:color w:val="000000"/>
          <w:sz w:val="20"/>
        </w:rPr>
        <w:t xml:space="preserve">线/mm</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三档光栅及照明选择。设空间频率为</w:t>
      </w:r>
      <w:r>
        <w:rPr>
          <w:rFonts w:ascii="Times New Roman" w:hAnsi="Times New Roman" w:eastAsia="宋体"/>
          <w:color w:val="000000"/>
          <w:sz w:val="20"/>
        </w:rPr>
        <w:t xml:space="preserve"> </w:t>
      </w:r>
      <m:oMath>
        <m:sSub>
          <m:e>
            <m:r>
              <m:t>ν</m:t>
            </m:r>
          </m:e>
          <m:sub>
            <m:r>
              <m:t>g</m:t>
            </m:r>
          </m:sub>
        </m:sSub>
      </m:oMath>
      <w:r>
        <w:rPr>
          <w:rFonts w:hint="eastAsia" w:ascii="Times New Roman" w:hAnsi="Times New Roman" w:eastAsia="宋体"/>
          <w:color w:val="000000"/>
          <w:sz w:val="20"/>
        </w:rPr>
        <w:t xml:space="preserve">、示意波长为</w:t>
      </w:r>
      <w:r>
        <w:rPr>
          <w:rFonts w:ascii="Times New Roman" w:hAnsi="Times New Roman" w:eastAsia="宋体"/>
          <w:color w:val="000000"/>
          <w:sz w:val="20"/>
        </w:rPr>
        <w:t xml:space="preserve"> </w:t>
      </w:r>
      <m:oMath>
        <m:r>
          <m:t>λ</m:t>
        </m:r>
      </m:oMath>
      <w:r>
        <w:rPr>
          <w:rFonts w:hint="eastAsia" w:ascii="Times New Roman" w:hAnsi="Times New Roman" w:eastAsia="宋体"/>
          <w:color w:val="000000"/>
          <w:sz w:val="20"/>
        </w:rPr>
        <w:t xml:space="preserve">、示意焦距为</w:t>
      </w:r>
      <w:r>
        <w:rPr>
          <w:rFonts w:ascii="Times New Roman" w:hAnsi="Times New Roman" w:eastAsia="宋体"/>
          <w:color w:val="000000"/>
          <w:sz w:val="20"/>
        </w:rPr>
        <w:t xml:space="preserve"> </w:t>
      </w:r>
      <m:oMath>
        <m:sSub>
          <m:e>
            <m:r>
              <m:t>f</m:t>
            </m:r>
          </m:e>
          <m:sub>
            <m:r>
              <m:rPr>
                <m:sty m:val="p"/>
              </m:rPr>
              <m:t>o</m:t>
            </m:r>
            <m:r>
              <m:rPr>
                <m:sty m:val="p"/>
              </m:rPr>
              <m:t>b</m:t>
            </m:r>
            <m:r>
              <m:rPr>
                <m:sty m:val="p"/>
              </m:rPr>
              <m:t>j</m:t>
            </m:r>
          </m:sub>
        </m:sSub>
      </m:oMath>
      <w:r>
        <w:rPr>
          <w:rFonts w:hint="eastAsia" w:ascii="Times New Roman" w:hAnsi="Times New Roman" w:eastAsia="宋体"/>
          <w:color w:val="000000"/>
          <w:sz w:val="20"/>
        </w:rPr>
        <w:t xml:space="preserve">，图示采用：</w:t>
      </w:r>
    </w:p>
    <w:p>
      <w:pPr>
        <w:pStyle w:val="BodyText"/>
        <w:keepNext w:val="0"/>
        <w:widowControl/>
        <w:spacing w:before="120" w:after="120" w:line="240" w:lineRule="auto"/>
        <w:ind w:firstLine="0" w:left="0" w:right="0"/>
        <w:jc w:val="center"/>
      </w:pPr>
      <m:oMathPara>
        <m:oMathParaPr>
          <m:jc m:val="center"/>
        </m:oMathParaPr>
        <m:oMath>
          <m:r>
            <m:t>D</m:t>
            <w:rPr>
              <w:sz w:val="18"/>
            </w:rPr>
          </m:r>
          <m:r>
            <m:rPr>
              <m:sty m:val="p"/>
            </m:rPr>
            <m:t>=</m:t>
            <w:rPr>
              <w:sz w:val="18"/>
            </w:rPr>
          </m:r>
          <m:f>
            <m:fPr>
              <m:type m:val="bar"/>
            </m:fPr>
            <m:num>
              <m:r>
                <m:t>1</m:t>
                <w:rPr>
                  <w:sz w:val="18"/>
                </w:rPr>
              </m:r>
            </m:num>
            <m:den>
              <m:sSub>
                <m:e>
                  <m:r>
                    <m:t>ν</m:t>
                    <w:rPr>
                      <w:sz w:val="18"/>
                    </w:rPr>
                  </m:r>
                </m:e>
                <m:sub>
                  <m:r>
                    <m:t>g</m:t>
                    <w:rPr>
                      <w:sz w:val="18"/>
                    </w:rPr>
                  </m:r>
                </m:sub>
              </m:sSub>
            </m:den>
          </m:f>
          <m:r>
            <m:rPr>
              <m:sty m:val="p"/>
            </m:rPr>
            <m:t>,</m:t>
            <w:rPr>
              <w:sz w:val="18"/>
            </w:rPr>
          </m:r>
          <m:r>
            <m:t>  </m:t>
            <w:rPr>
              <w:sz w:val="18"/>
            </w:rPr>
          </m:r>
          <m:r>
            <m:rPr>
              <m:sty m:val="p"/>
            </m:rPr>
            <m:t>sin</m:t>
            <w:rPr>
              <w:sz w:val="18"/>
            </w:rPr>
          </m:r>
          <m:r>
            <m:t>ψ</m:t>
            <w:rPr>
              <w:sz w:val="18"/>
            </w:rPr>
          </m:r>
          <m:r>
            <m:rPr>
              <m:sty m:val="p"/>
            </m:rPr>
            <m:t>=</m:t>
            <w:rPr>
              <w:sz w:val="18"/>
            </w:rPr>
          </m:r>
          <m:f>
            <m:fPr>
              <m:type m:val="bar"/>
            </m:fPr>
            <m:num>
              <m:r>
                <m:t>λ</m:t>
                <w:rPr>
                  <w:sz w:val="18"/>
                </w:rPr>
              </m:r>
            </m:num>
            <m:den>
              <m:r>
                <m:t>D</m:t>
                <w:rPr>
                  <w:sz w:val="18"/>
                </w:rPr>
              </m:r>
            </m:den>
          </m:f>
          <m:r>
            <m:rPr>
              <m:sty m:val="p"/>
            </m:rPr>
            <m:t>,</m:t>
            <w:rPr>
              <w:sz w:val="18"/>
            </w:rPr>
          </m:r>
          <m:r>
            <m:t>  </m:t>
            <w:rPr>
              <w:sz w:val="18"/>
            </w:rPr>
          </m:r>
          <m:r>
            <m:t>ρ</m:t>
            <w:rPr>
              <w:sz w:val="18"/>
            </w:rPr>
          </m:r>
          <m:r>
            <m:rPr>
              <m:sty m:val="p"/>
            </m:rPr>
            <m:t>=</m:t>
            <w:rPr>
              <w:sz w:val="18"/>
            </w:rPr>
          </m:r>
          <m:sSub>
            <m:e>
              <m:r>
                <m:t>f</m:t>
                <w:rPr>
                  <w:sz w:val="18"/>
                </w:rPr>
              </m:r>
            </m:e>
            <m:sub>
              <m:r>
                <m:rPr>
                  <m:sty m:val="p"/>
                </m:rPr>
                <m:t>o</m:t>
                <w:rPr>
                  <w:sz w:val="18"/>
                </w:rPr>
              </m:r>
              <m:r>
                <m:rPr>
                  <m:sty m:val="p"/>
                </m:rPr>
                <m:t>b</m:t>
                <w:rPr>
                  <w:sz w:val="18"/>
                </w:rPr>
              </m:r>
              <m:r>
                <m:rPr>
                  <m:sty m:val="p"/>
                </m:rPr>
                <m:t>j</m:t>
                <w:rPr>
                  <w:sz w:val="18"/>
                </w:rPr>
              </m:r>
            </m:sub>
          </m:sSub>
          <m:r>
            <m:rPr>
              <m:sty m:val="p"/>
            </m:rPr>
            <m:t>tan</m:t>
            <w:rPr>
              <w:sz w:val="18"/>
            </w:rPr>
          </m:r>
          <m:r>
            <m:t>ψ</m:t>
            <w:rPr>
              <w:sz w:val="18"/>
            </w:rPr>
          </m:r>
          <m:r>
            <m:rPr>
              <m:sty m:val="p"/>
            </m:rPr>
            <m:t>.</m:t>
            <w:rPr>
              <w:sz w:val="18"/>
            </w:rPr>
          </m:r>
        </m:oMath>
      </m:oMathPara>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其中</w:t>
      </w:r>
      <w:r>
        <w:rPr>
          <w:rFonts w:ascii="Times New Roman" w:hAnsi="Times New Roman" w:eastAsia="宋体"/>
          <w:color w:val="000000"/>
          <w:sz w:val="20"/>
        </w:rPr>
        <w:t xml:space="preserve"> </w:t>
      </w:r>
      <m:oMath>
        <m:r>
          <m:t>ρ</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表示后焦平面偏移，区别于下文的样本频谱。小角度下</w:t>
      </w:r>
      <w:r>
        <w:rPr>
          <w:rFonts w:ascii="Times New Roman" w:hAnsi="Times New Roman" w:eastAsia="宋体"/>
          <w:color w:val="000000"/>
          <w:sz w:val="20"/>
        </w:rPr>
        <w:t xml:space="preserve"> </w:t>
      </w:r>
      <m:oMath>
        <m:r>
          <m:t>ρ</m:t>
        </m:r>
        <m:r>
          <m:rPr>
            <m:sty m:val="p"/>
          </m:rPr>
          <m:t>/</m:t>
        </m:r>
        <m:sSub>
          <m:e>
            <m:r>
              <m:t>f</m:t>
            </m:r>
          </m:e>
          <m:sub>
            <m:r>
              <m:rPr>
                <m:sty m:val="p"/>
              </m:rPr>
              <m:t>o</m:t>
            </m:r>
            <m:r>
              <m:rPr>
                <m:sty m:val="p"/>
              </m:rPr>
              <m:t>b</m:t>
            </m:r>
            <m:r>
              <m:rPr>
                <m:sty m:val="p"/>
              </m:rPr>
              <m:t>j</m:t>
            </m:r>
          </m:sub>
        </m:sSub>
        <m:r>
          <m:rPr>
            <m:sty m:val="p"/>
          </m:rPr>
          <m:t>≃</m:t>
        </m:r>
        <m:r>
          <m:t>λ</m:t>
        </m:r>
        <m:r>
          <m:rPr>
            <m:sty m:val="p"/>
          </m:rPr>
          <m:t>/</m:t>
        </m:r>
        <m:r>
          <m:t>D</m:t>
        </m:r>
      </m:oMath>
      <w:r>
        <w:rPr>
          <w:rFonts w:hint="eastAsia" w:ascii="Times New Roman" w:hAnsi="Times New Roman" w:eastAsia="宋体"/>
          <w:color w:val="000000"/>
          <w:sz w:val="20"/>
        </w:rPr>
        <w:t xml:space="preserve">，可将光栅间距与衍射位置联系起来</w:t>
      </w:r>
      <w:r>
        <w:rPr>
          <w:rFonts w:ascii="Times New Roman" w:hAnsi="Times New Roman" w:eastAsia="宋体"/>
          <w:color w:val="000000"/>
          <w:sz w:val="20"/>
        </w:rPr>
        <w:t xml:space="preserve"> [6], [8], [9]。</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样本纹理转为标量场后，经</w:t>
      </w:r>
      <w:r>
        <w:rPr>
          <w:rFonts w:ascii="Times New Roman" w:hAnsi="Times New Roman" w:eastAsia="宋体"/>
          <w:color w:val="000000"/>
          <w:sz w:val="20"/>
        </w:rPr>
        <w:t xml:space="preserve"> Hann </w:t>
      </w:r>
      <w:r>
        <w:rPr>
          <w:rFonts w:hint="eastAsia" w:ascii="Times New Roman" w:hAnsi="Times New Roman" w:eastAsia="宋体"/>
          <w:color w:val="000000"/>
          <w:sz w:val="20"/>
        </w:rPr>
        <w:t xml:space="preserve">窗减弱边界效应</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[10]，乘</w:t>
      </w:r>
      <w:r>
        <w:rPr>
          <w:rFonts w:ascii="Times New Roman" w:hAnsi="Times New Roman" w:eastAsia="宋体"/>
          <w:color w:val="000000"/>
          <w:sz w:val="20"/>
        </w:rPr>
        <w:t xml:space="preserve"> </w:t>
      </w:r>
      <m:oMath>
        <m:r>
          <m:rPr>
            <m:sty m:val="p"/>
          </m:rPr>
          <m:t>(</m:t>
        </m:r>
        <m:r>
          <m:rPr>
            <m:sty m:val="p"/>
          </m:rPr>
          <m:t>−</m:t>
        </m:r>
        <m:r>
          <m:t>1</m:t>
        </m:r>
        <m:sSup>
          <m:e>
            <m:r>
              <m:rPr>
                <m:sty m:val="p"/>
              </m:rPr>
              <m:t>)</m:t>
            </m:r>
          </m:e>
          <m:sup>
            <m:r>
              <m:t>x</m:t>
            </m:r>
            <m:r>
              <m:rPr>
                <m:sty m:val="p"/>
              </m:rPr>
              <m:t>+</m:t>
            </m:r>
            <m:r>
              <m:t>y</m:t>
            </m:r>
          </m:sup>
        </m:sSup>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居中零频，再由行列</w:t>
      </w:r>
      <w:r>
        <w:rPr>
          <w:rFonts w:ascii="Times New Roman" w:hAnsi="Times New Roman" w:eastAsia="宋体"/>
          <w:color w:val="000000"/>
          <w:sz w:val="20"/>
        </w:rPr>
        <w:t xml:space="preserve"> radix-2 FFT </w:t>
      </w:r>
      <w:r>
        <w:rPr>
          <w:rFonts w:hint="eastAsia" w:ascii="Times New Roman" w:hAnsi="Times New Roman" w:eastAsia="宋体"/>
          <w:color w:val="000000"/>
          <w:sz w:val="20"/>
        </w:rPr>
        <w:t xml:space="preserve">计算频谱</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[11]。默认尺寸为</w:t>
      </w:r>
      <w:r>
        <w:rPr>
          <w:rFonts w:ascii="Times New Roman" w:hAnsi="Times New Roman" w:eastAsia="宋体"/>
          <w:color w:val="000000"/>
          <w:sz w:val="20"/>
        </w:rPr>
        <w:t xml:space="preserve"> </w:t>
      </w:r>
      <m:oMath>
        <m:r>
          <m:t>128</m:t>
        </m:r>
        <m:r>
          <m:rPr>
            <m:sty m:val="p"/>
          </m:rPr>
          <m:t>×</m:t>
        </m:r>
        <m:r>
          <m:t>128</m:t>
        </m:r>
      </m:oMath>
      <w:r>
        <w:rPr>
          <w:rFonts w:hint="eastAsia" w:ascii="Times New Roman" w:hAnsi="Times New Roman" w:eastAsia="宋体"/>
          <w:color w:val="000000"/>
          <w:sz w:val="20"/>
        </w:rPr>
        <w:t xml:space="preserve">（支持</w:t>
      </w:r>
      <w:r>
        <w:rPr>
          <w:rFonts w:ascii="Times New Roman" w:hAnsi="Times New Roman" w:eastAsia="宋体"/>
          <w:color w:val="000000"/>
          <w:sz w:val="20"/>
        </w:rPr>
        <w:t xml:space="preserve"> 64–256 </w:t>
      </w:r>
      <w:r>
        <w:rPr>
          <w:rFonts w:hint="eastAsia" w:ascii="Times New Roman" w:hAnsi="Times New Roman" w:eastAsia="宋体"/>
          <w:color w:val="000000"/>
          <w:sz w:val="20"/>
        </w:rPr>
        <w:t xml:space="preserve">的二次幂），随后进行对数压缩和显示归一化。</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记样本频谱为</w:t>
      </w:r>
      <w:r>
        <w:rPr>
          <w:rFonts w:ascii="Times New Roman" w:hAnsi="Times New Roman" w:eastAsia="宋体"/>
          <w:color w:val="000000"/>
          <w:sz w:val="20"/>
        </w:rPr>
        <w:t xml:space="preserve"> </w:t>
      </w:r>
      <m:oMath>
        <m:r>
          <m:t>O</m:t>
        </m:r>
        <m:r>
          <m:rPr>
            <m:sty m:val="p"/>
          </m:rPr>
          <m:t>(</m:t>
        </m:r>
        <m:r>
          <m:rPr>
            <m:sty m:val="bi"/>
          </m:rPr>
          <m:t>k</m:t>
        </m:r>
        <m:r>
          <m:rPr>
            <m:sty m:val="p"/>
          </m:rPr>
          <m:t>)</m:t>
        </m:r>
      </m:oMath>
      <w:r>
        <w:rPr>
          <w:rFonts w:hint="eastAsia" w:ascii="Times New Roman" w:hAnsi="Times New Roman" w:eastAsia="宋体"/>
          <w:color w:val="000000"/>
          <w:sz w:val="20"/>
        </w:rPr>
        <w:t xml:space="preserve">，照明载波为</w:t>
      </w:r>
      <w:r>
        <w:rPr>
          <w:rFonts w:ascii="Times New Roman" w:hAnsi="Times New Roman" w:eastAsia="宋体"/>
          <w:color w:val="000000"/>
          <w:sz w:val="20"/>
        </w:rPr>
        <w:t xml:space="preserve"> </w:t>
      </w:r>
      <m:oMath>
        <m:sSub>
          <m:e>
            <m:r>
              <m:rPr>
                <m:sty m:val="bi"/>
              </m:rPr>
              <m:t>k</m:t>
            </m:r>
          </m:e>
          <m:sub>
            <m:r>
              <m:t>0</m:t>
            </m:r>
          </m:sub>
        </m:sSub>
      </m:oMath>
      <w:r>
        <w:rPr>
          <w:rFonts w:hint="eastAsia" w:ascii="Times New Roman" w:hAnsi="Times New Roman" w:eastAsia="宋体"/>
          <w:color w:val="000000"/>
          <w:sz w:val="20"/>
        </w:rPr>
        <w:t xml:space="preserve">，调制度为</w:t>
      </w:r>
      <w:r>
        <w:rPr>
          <w:rFonts w:ascii="Times New Roman" w:hAnsi="Times New Roman" w:eastAsia="宋体"/>
          <w:color w:val="000000"/>
          <w:sz w:val="20"/>
        </w:rPr>
        <w:t xml:space="preserve"> </w:t>
      </w:r>
      <m:oMath>
        <m:r>
          <m:t>μ</m:t>
        </m:r>
      </m:oMath>
      <w:r>
        <w:rPr>
          <w:rFonts w:hint="eastAsia" w:ascii="Times New Roman" w:hAnsi="Times New Roman" w:eastAsia="宋体"/>
          <w:color w:val="000000"/>
          <w:sz w:val="20"/>
        </w:rPr>
        <w:t xml:space="preserve">，照明相位为</w:t>
      </w:r>
      <w:r>
        <w:rPr>
          <w:rFonts w:ascii="Times New Roman" w:hAnsi="Times New Roman" w:eastAsia="宋体"/>
          <w:color w:val="000000"/>
          <w:sz w:val="20"/>
        </w:rPr>
        <w:t xml:space="preserve"> </w:t>
      </w:r>
      <m:oMath>
        <m:r>
          <m:t>φ</m:t>
        </m:r>
      </m:oMath>
      <w:r>
        <w:rPr>
          <w:rFonts w:hint="eastAsia" w:ascii="Times New Roman" w:hAnsi="Times New Roman" w:eastAsia="宋体"/>
          <w:color w:val="000000"/>
          <w:sz w:val="20"/>
        </w:rPr>
        <w:t xml:space="preserve">。标准</w:t>
      </w:r>
      <w:r>
        <w:rPr>
          <w:rFonts w:ascii="Times New Roman" w:hAnsi="Times New Roman" w:eastAsia="宋体"/>
          <w:color w:val="000000"/>
          <w:sz w:val="20"/>
        </w:rPr>
        <w:t xml:space="preserve"> SIM </w:t>
      </w:r>
      <w:r>
        <w:rPr>
          <w:rFonts w:hint="eastAsia" w:ascii="Times New Roman" w:hAnsi="Times New Roman" w:eastAsia="宋体"/>
          <w:color w:val="000000"/>
          <w:sz w:val="20"/>
        </w:rPr>
        <w:t xml:space="preserve">的理论背景可概括为</w:t>
      </w:r>
      <w:r>
        <w:rPr>
          <w:rFonts w:ascii="Times New Roman" w:hAnsi="Times New Roman" w:eastAsia="宋体"/>
          <w:color w:val="000000"/>
          <w:sz w:val="20"/>
        </w:rPr>
        <w:t xml:space="preserve"> [12], </w:t>
      </w:r>
      <w:r>
        <w:rPr>
          <w:rFonts w:hint="eastAsia" w:ascii="Times New Roman" w:hAnsi="Times New Roman" w:eastAsia="宋体"/>
          <w:color w:val="000000"/>
          <w:sz w:val="20"/>
        </w:rPr>
        <w:t xml:space="preserve">[13]：</w:t>
      </w:r>
    </w:p>
    <w:p>
      <w:pPr>
        <w:pStyle w:val="BodyText"/>
        <w:keepNext w:val="0"/>
        <w:widowControl/>
        <w:spacing w:before="120" w:after="120" w:line="240" w:lineRule="auto"/>
        <w:ind w:firstLine="0" w:left="0" w:right="0"/>
        <w:jc w:val="center"/>
      </w:pPr>
      <m:oMathPara>
        <m:oMathParaPr>
          <m:jc m:val="center"/>
        </m:oMathParaPr>
        <m:oMath>
          <m:eqArr>
            <m:e>
              <m:sSub>
                <m:e>
                  <m:r>
                    <m:t>G</m:t>
                    <w:rPr>
                      <w:sz w:val="18"/>
                    </w:rPr>
                  </m:r>
                </m:e>
                <m:sub>
                  <m:r>
                    <m:t>φ</m:t>
                    <w:rPr>
                      <w:sz w:val="18"/>
                    </w:rPr>
                  </m:r>
                </m:sub>
              </m:sSub>
              <m:r>
                <m:rPr>
                  <m:sty m:val="p"/>
                </m:rPr>
                <m:t>(</m:t>
                <w:rPr>
                  <w:sz w:val="18"/>
                </w:rPr>
              </m:r>
              <m:r>
                <m:rPr>
                  <m:sty m:val="bi"/>
                </m:rPr>
                <m:t>k</m:t>
                <w:rPr>
                  <w:sz w:val="18"/>
                </w:rPr>
              </m:r>
              <m:r>
                <m:rPr>
                  <m:sty m:val="p"/>
                </m:rPr>
                <m:t>)</m:t>
                <w:rPr>
                  <w:sz w:val="18"/>
                </w:rPr>
              </m:r>
              <m:r>
                <m:t>&amp;</m:t>
                <w:rPr>
                  <w:sz w:val="18"/>
                </w:rPr>
              </m:r>
              <m:r>
                <m:rPr>
                  <m:sty m:val="p"/>
                </m:rPr>
                <m:t>=</m:t>
                <w:rPr>
                  <w:sz w:val="18"/>
                </w:rPr>
              </m:r>
              <m:sSub>
                <m:e>
                  <m:r>
                    <m:t>H</m:t>
                    <w:rPr>
                      <w:sz w:val="18"/>
                    </w:rPr>
                  </m:r>
                </m:e>
                <m:sub>
                  <m:r>
                    <m:rPr>
                      <m:sty m:val="p"/>
                    </m:rPr>
                    <m:t>o</m:t>
                    <w:rPr>
                      <w:sz w:val="18"/>
                    </w:rPr>
                  </m:r>
                  <m:r>
                    <m:rPr>
                      <m:sty m:val="p"/>
                    </m:rPr>
                    <m:t>p</m:t>
                    <w:rPr>
                      <w:sz w:val="18"/>
                    </w:rPr>
                  </m:r>
                  <m:r>
                    <m:rPr>
                      <m:sty m:val="p"/>
                    </m:rPr>
                    <m:t>t</m:t>
                    <w:rPr>
                      <w:sz w:val="18"/>
                    </w:rPr>
                  </m:r>
                </m:sub>
              </m:sSub>
              <m:r>
                <m:rPr>
                  <m:sty m:val="p"/>
                </m:rPr>
                <m:t>(</m:t>
                <w:rPr>
                  <w:sz w:val="18"/>
                </w:rPr>
              </m:r>
              <m:r>
                <m:rPr>
                  <m:sty m:val="bi"/>
                </m:rPr>
                <m:t>k</m:t>
                <w:rPr>
                  <w:sz w:val="18"/>
                </w:rPr>
              </m:r>
              <m:r>
                <m:rPr>
                  <m:sty m:val="p"/>
                </m:rPr>
                <m:t>)</m:t>
                <w:rPr>
                  <w:sz w:val="18"/>
                </w:rPr>
              </m:r>
              <m:r>
                <m:rPr>
                  <m:sty m:val="p"/>
                </m:rPr>
                <m:t>[</m:t>
                <w:rPr>
                  <w:sz w:val="18"/>
                </w:rPr>
              </m:r>
              <m:r>
                <m:t>O</m:t>
                <w:rPr>
                  <w:sz w:val="18"/>
                </w:rPr>
              </m:r>
              <m:r>
                <m:rPr>
                  <m:sty m:val="p"/>
                </m:rPr>
                <m:t>(</m:t>
                <w:rPr>
                  <w:sz w:val="18"/>
                </w:rPr>
              </m:r>
              <m:r>
                <m:rPr>
                  <m:sty m:val="bi"/>
                </m:rPr>
                <m:t>k</m:t>
                <w:rPr>
                  <w:sz w:val="18"/>
                </w:rPr>
              </m:r>
              <m:r>
                <m:rPr>
                  <m:sty m:val="p"/>
                </m:rPr>
                <m:t>)</m:t>
                <w:rPr>
                  <w:sz w:val="18"/>
                </w:rPr>
              </m:r>
            </m:e>
            <m:e>
              <m:r>
                <m:t>&amp;</m:t>
                <w:rPr>
                  <w:sz w:val="18"/>
                </w:rPr>
              </m:r>
              <m:r>
                <m:t> </m:t>
                <w:rPr>
                  <w:sz w:val="18"/>
                </w:rPr>
              </m:r>
              <m:r>
                <m:rPr>
                  <m:sty m:val="p"/>
                </m:rPr>
                <m:t>+</m:t>
                <w:rPr>
                  <w:sz w:val="18"/>
                </w:rPr>
              </m:r>
              <m:f>
                <m:fPr>
                  <m:type m:val="bar"/>
                </m:fPr>
                <m:num>
                  <m:r>
                    <m:t>μ</m:t>
                    <w:rPr>
                      <w:sz w:val="18"/>
                    </w:rPr>
                  </m:r>
                </m:num>
                <m:den>
                  <m:r>
                    <m:t>2</m:t>
                    <w:rPr>
                      <w:sz w:val="18"/>
                    </w:rPr>
                  </m:r>
                </m:den>
              </m:f>
              <m:sSup>
                <m:e>
                  <m:r>
                    <m:t>e</m:t>
                    <w:rPr>
                      <w:sz w:val="18"/>
                    </w:rPr>
                  </m:r>
                </m:e>
                <m:sup>
                  <m:r>
                    <m:t>i</m:t>
                    <w:rPr>
                      <w:sz w:val="18"/>
                    </w:rPr>
                  </m:r>
                  <m:r>
                    <m:t>φ</m:t>
                    <w:rPr>
                      <w:sz w:val="18"/>
                    </w:rPr>
                  </m:r>
                </m:sup>
              </m:sSup>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e>
            <m:e>
              <m:r>
                <m:t>&amp;</m:t>
                <w:rPr>
                  <w:sz w:val="18"/>
                </w:rPr>
              </m:r>
              <m:r>
                <m:t> </m:t>
                <w:rPr>
                  <w:sz w:val="18"/>
                </w:rPr>
              </m:r>
              <m:r>
                <m:rPr>
                  <m:sty m:val="p"/>
                </m:rPr>
                <m:t>+</m:t>
                <w:rPr>
                  <w:sz w:val="18"/>
                </w:rPr>
              </m:r>
              <m:f>
                <m:fPr>
                  <m:type m:val="bar"/>
                </m:fPr>
                <m:num>
                  <m:r>
                    <m:t>μ</m:t>
                    <w:rPr>
                      <w:sz w:val="18"/>
                    </w:rPr>
                  </m:r>
                </m:num>
                <m:den>
                  <m:r>
                    <m:t>2</m:t>
                    <w:rPr>
                      <w:sz w:val="18"/>
                    </w:rPr>
                  </m:r>
                </m:den>
              </m:f>
              <m:sSup>
                <m:e>
                  <m:r>
                    <m:t>e</m:t>
                    <w:rPr>
                      <w:sz w:val="18"/>
                    </w:rPr>
                  </m:r>
                </m:e>
                <m:sup>
                  <m:r>
                    <m:rPr>
                      <m:sty m:val="p"/>
                    </m:rPr>
                    <m:t>−</m:t>
                    <w:rPr>
                      <w:sz w:val="18"/>
                    </w:rPr>
                  </m:r>
                  <m:r>
                    <m:t>i</m:t>
                    <w:rPr>
                      <w:sz w:val="18"/>
                    </w:rPr>
                  </m:r>
                  <m:r>
                    <m:t>φ</m:t>
                    <w:rPr>
                      <w:sz w:val="18"/>
                    </w:rPr>
                  </m:r>
                </m:sup>
              </m:sSup>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r>
                <m:rPr>
                  <m:sty m:val="p"/>
                </m:rPr>
                <m:t>]</m:t>
                <w:rPr>
                  <w:sz w:val="18"/>
                </w:rPr>
              </m:r>
              <m:r>
                <m:rPr>
                  <m:sty m:val="p"/>
                </m:rPr>
                <m:t>.</m:t>
                <w:rPr>
                  <w:sz w:val="18"/>
                </w:rPr>
              </m:r>
            </m:e>
          </m:eqArr>
        </m:oMath>
      </m:oMathPara>
    </w:p>
    <w:p>
      <w:pPr>
        <w:pStyle w:val="FirstParagraph"/>
        <w:keepNext w:val="0"/>
        <w:widowControl/>
        <w:spacing w:before="0" w:after="0" w:line="240" w:lineRule="auto"/>
        <w:ind w:firstLine="202" w:left="0" w:right="0"/>
        <w:jc w:val="both"/>
      </w:pPr>
      <m:oMath>
        <m:sSub>
          <m:e>
            <m:r>
              <m:t>H</m:t>
            </m:r>
          </m:e>
          <m:sub>
            <m:r>
              <m:rPr>
                <m:sty m:val="p"/>
              </m:rPr>
              <m:t>o</m:t>
            </m:r>
            <m:r>
              <m:rPr>
                <m:sty m:val="p"/>
              </m:rPr>
              <m:t>p</m:t>
            </m:r>
            <m:r>
              <m:rPr>
                <m:sty m:val="p"/>
              </m:rPr>
              <m:t>t</m:t>
            </m:r>
          </m:sub>
        </m:sSub>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为理论光学传递函数。当前混合面板仅演示一对移位侧带，其显示前幅值为：</w:t>
      </w:r>
    </w:p>
    <w:p>
      <w:pPr>
        <w:pStyle w:val="BodyText"/>
        <w:keepNext w:val="0"/>
        <w:widowControl/>
        <w:spacing w:before="120" w:after="120" w:line="240" w:lineRule="auto"/>
        <w:ind w:firstLine="0" w:left="0" w:right="0"/>
        <w:jc w:val="center"/>
      </w:pPr>
      <m:oMathPara>
        <m:oMathParaPr>
          <m:jc m:val="center"/>
        </m:oMathParaPr>
        <m:oMath>
          <m:r>
            <m:t>B</m:t>
            <w:rPr>
              <w:sz w:val="18"/>
            </w:rPr>
          </m:r>
          <m:r>
            <m:rPr>
              <m:sty m:val="p"/>
            </m:rPr>
            <m:t>(</m:t>
            <w:rPr>
              <w:sz w:val="18"/>
            </w:rPr>
          </m:r>
          <m:r>
            <m:rPr>
              <m:sty m:val="bi"/>
            </m:rPr>
            <m:t>k</m:t>
            <w:rPr>
              <w:sz w:val="18"/>
            </w:rPr>
          </m:r>
          <m:r>
            <m:rPr>
              <m:sty m:val="p"/>
            </m:rPr>
            <m:t>)</m:t>
            <w:rPr>
              <w:sz w:val="18"/>
            </w:rPr>
          </m:r>
          <m:r>
            <m:rPr>
              <m:sty m:val="p"/>
            </m:rPr>
            <m:t>=</m:t>
            <w:rPr>
              <w:sz w:val="18"/>
            </w:rPr>
          </m:r>
          <m:sSub>
            <m:e>
              <m:r>
                <m:t>P</m:t>
                <w:rPr>
                  <w:sz w:val="18"/>
                </w:rPr>
              </m:r>
            </m:e>
            <m:sub>
              <m:r>
                <m:rPr>
                  <m:sty m:val="p"/>
                </m:rPr>
                <m:t>d</m:t>
                <w:rPr>
                  <w:sz w:val="18"/>
                </w:rPr>
              </m:r>
              <m:r>
                <m:rPr>
                  <m:sty m:val="p"/>
                </m:rPr>
                <m:t>e</m:t>
                <w:rPr>
                  <w:sz w:val="18"/>
                </w:rPr>
              </m:r>
              <m:r>
                <m:rPr>
                  <m:sty m:val="p"/>
                </m:rPr>
                <m:t>m</m:t>
                <w:rPr>
                  <w:sz w:val="18"/>
                </w:rPr>
              </m:r>
              <m:r>
                <m:rPr>
                  <m:sty m:val="p"/>
                </m:rPr>
                <m:t>o</m:t>
                <w:rPr>
                  <w:sz w:val="18"/>
                </w:rPr>
              </m:r>
            </m:sub>
          </m:sSub>
          <m:r>
            <m:rPr>
              <m:sty m:val="p"/>
            </m:rPr>
            <m:t>(</m:t>
            <w:rPr>
              <w:sz w:val="18"/>
            </w:rPr>
          </m:r>
          <m:r>
            <m:rPr>
              <m:sty m:val="bi"/>
            </m:rPr>
            <m:t>k</m:t>
            <w:rPr>
              <w:sz w:val="18"/>
            </w:rPr>
          </m:r>
          <m:r>
            <m:rPr>
              <m:sty m:val="p"/>
            </m:rPr>
            <m:t>)</m:t>
            <w:rPr>
              <w:sz w:val="18"/>
            </w:rPr>
          </m:r>
          <m:d>
            <m:dPr>
              <m:begChr m:val="|"/>
              <m:sepChr m:val=""/>
              <m:endChr m:val="|"/>
              <m:grow/>
            </m:dPr>
            <m:e>
              <m:f>
                <m:fPr>
                  <m:type m:val="bar"/>
                </m:fPr>
                <m:num>
                  <m:r>
                    <m:t>μ</m:t>
                    <w:rPr>
                      <w:sz w:val="18"/>
                    </w:rPr>
                  </m:r>
                </m:num>
                <m:den>
                  <m:r>
                    <m:t>2</m:t>
                    <w:rPr>
                      <w:sz w:val="18"/>
                    </w:rPr>
                  </m:r>
                </m:den>
              </m:f>
              <m:d>
                <m:dPr>
                  <m:begChr m:val="["/>
                  <m:sepChr m:val=""/>
                  <m:endChr m:val="]"/>
                  <m:grow/>
                </m:dPr>
                <m:e>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r>
                    <m:rPr>
                      <m:sty m:val="p"/>
                    </m:rPr>
                    <m:t>+</m:t>
                    <w:rPr>
                      <w:sz w:val="18"/>
                    </w:rPr>
                  </m:r>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e>
              </m:d>
            </m:e>
          </m:d>
          <m:r>
            <m:rPr>
              <m:sty m:val="p"/>
            </m:rPr>
            <m:t>.</m:t>
            <w:rPr>
              <w:sz w:val="18"/>
            </w:rPr>
          </m:r>
        </m:oMath>
      </m:oMathPara>
    </w:p>
    <w:p>
      <w:pPr>
        <w:pStyle w:val="FirstParagraph"/>
        <w:keepNext w:val="0"/>
        <w:widowControl/>
        <w:spacing w:before="0" w:after="0" w:line="240" w:lineRule="auto"/>
        <w:ind w:firstLine="202" w:left="0" w:right="0"/>
        <w:jc w:val="both"/>
      </w:pPr>
      <m:oMath>
        <m:sSub>
          <m:e>
            <m:r>
              <m:t>P</m:t>
            </m:r>
          </m:e>
          <m:sub>
            <m:r>
              <m:rPr>
                <m:sty m:val="p"/>
              </m:rPr>
              <m:t>d</m:t>
            </m:r>
            <m:r>
              <m:rPr>
                <m:sty m:val="p"/>
              </m:rPr>
              <m:t>e</m:t>
            </m:r>
            <m:r>
              <m:rPr>
                <m:sty m:val="p"/>
              </m:rPr>
              <m:t>m</m:t>
            </m:r>
            <m:r>
              <m:rPr>
                <m:sty m:val="p"/>
              </m:rPr>
              <m:t>o</m:t>
            </m:r>
          </m:sub>
        </m:sSub>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是代码定义的示意</w:t>
      </w:r>
      <w:r>
        <w:rPr>
          <w:rFonts w:ascii="Times New Roman" w:hAnsi="Times New Roman" w:eastAsia="宋体"/>
          <w:color w:val="000000"/>
          <w:sz w:val="20"/>
        </w:rPr>
        <w:t xml:space="preserve"> pupil </w:t>
      </w:r>
      <w:r>
        <w:rPr>
          <w:rFonts w:hint="eastAsia" w:ascii="Times New Roman" w:hAnsi="Times New Roman" w:eastAsia="宋体"/>
          <w:color w:val="000000"/>
          <w:sz w:val="20"/>
        </w:rPr>
        <w:t xml:space="preserve">权重，并非实测</w:t>
      </w:r>
      <w:r>
        <w:rPr>
          <w:rFonts w:ascii="Times New Roman" w:hAnsi="Times New Roman" w:eastAsia="宋体"/>
          <w:color w:val="000000"/>
          <w:sz w:val="20"/>
        </w:rPr>
        <w:t xml:space="preserve"> </w:t>
      </w:r>
      <m:oMath>
        <m:sSub>
          <m:e>
            <m:r>
              <m:t>H</m:t>
            </m:r>
          </m:e>
          <m:sub>
            <m:r>
              <m:rPr>
                <m:sty m:val="p"/>
              </m:rPr>
              <m:t>o</m:t>
            </m:r>
            <m:r>
              <m:rPr>
                <m:sty m:val="p"/>
              </m:rPr>
              <m:t>p</m:t>
            </m:r>
            <m:r>
              <m:rPr>
                <m:sty m:val="p"/>
              </m:rPr>
              <m:t>t</m:t>
            </m:r>
          </m:sub>
        </m:sSub>
      </m:oMath>
      <w:r>
        <w:rPr>
          <w:rFonts w:hint="eastAsia" w:ascii="Times New Roman" w:hAnsi="Times New Roman" w:eastAsia="宋体"/>
          <w:color w:val="000000"/>
          <w:sz w:val="20"/>
        </w:rPr>
        <w:t xml:space="preserve">；</w:t>
      </w:r>
      <m:oMath>
        <m:r>
          <m:t>B</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还会经过显示映射。另一面板组合</w:t>
      </w:r>
      <w:r>
        <w:rPr>
          <w:rFonts w:ascii="Times New Roman" w:hAnsi="Times New Roman" w:eastAsia="宋体"/>
          <w:color w:val="000000"/>
          <w:sz w:val="20"/>
        </w:rPr>
        <w:t xml:space="preserve"> 0°、60°、120° </w:t>
      </w:r>
      <w:r>
        <w:rPr>
          <w:rFonts w:hint="eastAsia" w:ascii="Times New Roman" w:hAnsi="Times New Roman" w:eastAsia="宋体"/>
          <w:color w:val="000000"/>
          <w:sz w:val="20"/>
        </w:rPr>
        <w:t xml:space="preserve">的中心及移位覆盖。两者用于区分频谱搬移和多方向覆盖，没有执行多相位采集、相位分离或定量重建。</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对应的运行时反馈汇总于图</w:t>
      </w:r>
      <w:r>
        <w:rPr>
          <w:rFonts w:ascii="Times New Roman" w:hAnsi="Times New Roman" w:eastAsia="宋体"/>
          <w:color w:val="000000"/>
          <w:sz w:val="20"/>
        </w:rPr>
        <w:t xml:space="preserve"> 2。</w:t>
      </w:r>
    </w:p>
    <w:p>
      <w:pPr>
        <w:spacing w:before="0" w:after="0" w:line="20" w:lineRule="exact"/>
        <w:sectPr>
          <w:type w:val="continuous"/>
          <w:footnotePr>
            <w:numRestart w:val="eachSect"/>
          </w:footnotePr>
          <w:pgSz w:w="12240" w:h="15840"/>
          <w:pgMar w:top="1080" w:bottom="1440" w:left="900" w:right="900" w:header="432" w:footer="432"/>
          <w:cols w:num="2" w:space="360"/>
        </w:sectPr>
      </w:pP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1740"/>
        <w:gridCol w:w="1740"/>
        <w:gridCol w:w="1740"/>
        <w:gridCol w:w="1740"/>
        <w:gridCol w:w="1740"/>
        <w:gridCol w:w="1740"/>
      </w:tblGrid>
      <w:tr>
        <w:trPr>
          <w:cantSplit/>
        </w:trPr>
        <w:tc>
          <w:tcPr>
            <w:tcW w:type="dxa" w:w="3480"/>
            <w:gridSpan w:val="2"/>
            <w:vAlign w:val="top"/>
          </w:tcPr>
          <w:p>
            <w:pPr>
              <w:keepNext/>
              <w:widowControl/>
              <w:spacing w:before="0" w:after="0" w:line="240" w:lineRule="auto"/>
              <w:ind w:firstLine="0" w:left="0" w:right="0"/>
              <w:jc w:val="center"/>
            </w:pPr>
            <w:r>
              <w:drawing>
                <wp:inline>
                  <wp:extent cx="2039112" cy="1122715"/>
                  <wp:docPr id="5" name="Picture 5"/>
                  <wp:cNvGraphicFramePr>
                    <a:graphicFrameLocks noChangeAspect="1"/>
                  </wp:cNvGraphicFramePr>
                  <a:graphic>
                    <a:graphicData uri="http://schemas.openxmlformats.org/drawingml/2006/picture">
                      <pic:pic>
                        <pic:nvPicPr>
                          <pic:cNvPr id="0" name="2.1.1 不同调焦状态.png"/>
                          <pic:cNvPicPr/>
                        </pic:nvPicPr>
                        <pic:blipFill>
                          <a:blip r:embed="rId13"/>
                          <a:stretch>
                            <a:fillRect/>
                          </a:stretch>
                        </pic:blipFill>
                        <pic:spPr>
                          <a:xfrm>
                            <a:off x="0" y="0"/>
                            <a:ext cx="2039112" cy="1122715"/>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(a) 调焦状态一。</w:t>
            </w:r>
          </w:p>
        </w:tc>
        <w:tc>
          <w:tcPr>
            <w:tcW w:type="dxa" w:w="3480"/>
            <w:gridSpan w:val="2"/>
            <w:vAlign w:val="top"/>
          </w:tcPr>
          <w:p>
            <w:pPr>
              <w:keepNext/>
              <w:widowControl/>
              <w:spacing w:before="0" w:after="0" w:line="240" w:lineRule="auto"/>
              <w:ind w:firstLine="0" w:left="0" w:right="0"/>
              <w:jc w:val="center"/>
            </w:pPr>
            <w:r>
              <w:drawing>
                <wp:inline>
                  <wp:extent cx="2039112" cy="1124258"/>
                  <wp:docPr id="6" name="Picture 6"/>
                  <wp:cNvGraphicFramePr>
                    <a:graphicFrameLocks noChangeAspect="1"/>
                  </wp:cNvGraphicFramePr>
                  <a:graphic>
                    <a:graphicData uri="http://schemas.openxmlformats.org/drawingml/2006/picture">
                      <pic:pic>
                        <pic:nvPicPr>
                          <pic:cNvPr id="0" name="2.1.2 不同调焦状态.png"/>
                          <pic:cNvPicPr/>
                        </pic:nvPicPr>
                        <pic:blipFill>
                          <a:blip r:embed="rId14"/>
                          <a:stretch>
                            <a:fillRect/>
                          </a:stretch>
                        </pic:blipFill>
                        <pic:spPr>
                          <a:xfrm>
                            <a:off x="0" y="0"/>
                            <a:ext cx="2039112" cy="1124258"/>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(b) 调焦状态二。</w:t>
            </w:r>
          </w:p>
        </w:tc>
        <w:tc>
          <w:tcPr>
            <w:tcW w:type="dxa" w:w="3480"/>
            <w:gridSpan w:val="2"/>
            <w:vAlign w:val="top"/>
          </w:tcPr>
          <w:p>
            <w:pPr>
              <w:keepNext/>
              <w:widowControl/>
              <w:spacing w:before="0" w:after="0" w:line="240" w:lineRule="auto"/>
              <w:ind w:firstLine="0" w:left="0" w:right="0"/>
              <w:jc w:val="center"/>
            </w:pPr>
            <w:r>
              <w:drawing>
                <wp:inline>
                  <wp:extent cx="2039112" cy="1134340"/>
                  <wp:docPr id="7" name="Picture 7"/>
                  <wp:cNvGraphicFramePr>
                    <a:graphicFrameLocks noChangeAspect="1"/>
                  </wp:cNvGraphicFramePr>
                  <a:graphic>
                    <a:graphicData uri="http://schemas.openxmlformats.org/drawingml/2006/picture">
                      <pic:pic>
                        <pic:nvPicPr>
                          <pic:cNvPr id="0" name="2.2 不同NA设置与光锥.png"/>
                          <pic:cNvPicPr/>
                        </pic:nvPicPr>
                        <pic:blipFill>
                          <a:blip r:embed="rId15"/>
                          <a:stretch>
                            <a:fillRect/>
                          </a:stretch>
                        </pic:blipFill>
                        <pic:spPr>
                          <a:xfrm>
                            <a:off x="0" y="0"/>
                            <a:ext cx="2039112" cy="1134340"/>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(c) 数值孔径设置与光锥反馈。</w:t>
            </w:r>
          </w:p>
        </w:tc>
      </w:tr>
      <w:tr>
        <w:trPr>
          <w:cantSplit/>
        </w:trPr>
        <w:tc>
          <w:tcPr>
            <w:tcW w:type="dxa" w:w="5220"/>
            <w:gridSpan w:val="3"/>
            <w:vAlign w:val="top"/>
          </w:tcPr>
          <w:p>
            <w:pPr>
              <w:keepNext/>
              <w:widowControl/>
              <w:spacing w:before="0" w:after="0" w:line="240" w:lineRule="auto"/>
              <w:ind w:firstLine="0" w:left="0" w:right="0"/>
              <w:jc w:val="center"/>
            </w:pPr>
            <w:r>
              <w:drawing>
                <wp:inline>
                  <wp:extent cx="3136392" cy="1763895"/>
                  <wp:docPr id="8" name="Picture 8"/>
                  <wp:cNvGraphicFramePr>
                    <a:graphicFrameLocks noChangeAspect="1"/>
                  </wp:cNvGraphicFramePr>
                  <a:graphic>
                    <a:graphicData uri="http://schemas.openxmlformats.org/drawingml/2006/picture">
                      <pic:pic>
                        <pic:nvPicPr>
                          <pic:cNvPr id="0" name="2.3.1 不同空间频率下的频谱.png"/>
                          <pic:cNvPicPr/>
                        </pic:nvPicPr>
                        <pic:blipFill>
                          <a:blip r:embed="rId16"/>
                          <a:stretch>
                            <a:fillRect/>
                          </a:stretch>
                        </pic:blipFill>
                        <pic:spPr>
                          <a:xfrm>
                            <a:off x="0" y="0"/>
                            <a:ext cx="3136392" cy="1763895"/>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(d) 较高载波频率。</w:t>
            </w:r>
          </w:p>
        </w:tc>
        <w:tc>
          <w:tcPr>
            <w:tcW w:type="dxa" w:w="5220"/>
            <w:gridSpan w:val="3"/>
            <w:vAlign w:val="top"/>
          </w:tcPr>
          <w:p>
            <w:pPr>
              <w:keepNext/>
              <w:widowControl/>
              <w:spacing w:before="0" w:after="0" w:line="240" w:lineRule="auto"/>
              <w:ind w:firstLine="0" w:left="0" w:right="0"/>
              <w:jc w:val="center"/>
            </w:pPr>
            <w:r>
              <w:drawing>
                <wp:inline>
                  <wp:extent cx="3136392" cy="1754517"/>
                  <wp:docPr id="9" name="Picture 9"/>
                  <wp:cNvGraphicFramePr>
                    <a:graphicFrameLocks noChangeAspect="1"/>
                  </wp:cNvGraphicFramePr>
                  <a:graphic>
                    <a:graphicData uri="http://schemas.openxmlformats.org/drawingml/2006/picture">
                      <pic:pic>
                        <pic:nvPicPr>
                          <pic:cNvPr id="0" name="2.3.3 不同空间频率下的频谱.png"/>
                          <pic:cNvPicPr/>
                        </pic:nvPicPr>
                        <pic:blipFill>
                          <a:blip r:embed="rId17"/>
                          <a:stretch>
                            <a:fillRect/>
                          </a:stretch>
                        </pic:blipFill>
                        <pic:spPr>
                          <a:xfrm>
                            <a:off x="0" y="0"/>
                            <a:ext cx="3136392" cy="1754517"/>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(e) 较低载波频率。</w:t>
            </w:r>
          </w:p>
        </w:tc>
      </w:tr>
    </w:tbl>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图 2. 教学输入与可观察反馈的对应关系。调焦、NA 和照明载波分别改变样本显示、光锥几何及侧带/支持范围；光学反馈包含人工映射和简化数值显示。截图用于说明输入变化及其视觉反馈，不宣称经过标定的光学测量。</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16"/>
    <w:bookmarkStart w:id="17" w:name="thz-s-snom-演示"/>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G. THz s-SNOM 演示</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SNOM </w:t>
      </w:r>
      <w:r>
        <w:rPr>
          <w:rFonts w:hint="eastAsia" w:ascii="Times New Roman" w:hAnsi="Times New Roman" w:eastAsia="宋体"/>
          <w:color w:val="000000"/>
          <w:sz w:val="20"/>
        </w:rPr>
        <w:t xml:space="preserve">模块覆盖探针选择、安装、启动、THz</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产生与传播、敲击、近场耦合、背景抑制和栅格扫描</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[14]–[17]。动画、扫描光标、合成波形和图像连接阶段与输出；高次谐波显示用于说明近场贡献与背景的分离</w:t>
      </w:r>
      <w:r>
        <w:rPr>
          <w:rFonts w:ascii="Times New Roman" w:hAnsi="Times New Roman" w:eastAsia="宋体"/>
          <w:color w:val="000000"/>
          <w:sz w:val="20"/>
        </w:rPr>
        <w:t xml:space="preserve"> [16]、[17]。3×、2×、1× </w:t>
      </w:r>
      <w:r>
        <w:rPr>
          <w:rFonts w:hint="eastAsia" w:ascii="Times New Roman" w:hAnsi="Times New Roman" w:eastAsia="宋体"/>
          <w:color w:val="000000"/>
          <w:sz w:val="20"/>
        </w:rPr>
        <w:t xml:space="preserve">表示相对教学细节，本模块不对实测信号解调，也不执行幅相反演或介电常数求解。</w:t>
      </w:r>
    </w:p>
    <w:bookmarkEnd w:id="17"/>
    <w:bookmarkEnd w:id="18"/>
    <w:bookmarkStart w:id="25" w:name="与实验环境结合的-ai-指引"/>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IV. 与实验环境结合的 AI 指引</w:t>
      </w:r>
    </w:p>
    <w:bookmarkStart w:id="19" w:name="对话入口与知识数据流"/>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对话入口与知识数据流</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角落小助手提供本地问候；明确提交的问题经</w:t>
      </w:r>
      <w:r>
        <w:rPr>
          <w:rFonts w:ascii="Times New Roman" w:hAnsi="Times New Roman" w:eastAsia="宋体"/>
          <w:color w:val="000000"/>
          <w:sz w:val="20"/>
        </w:rPr>
        <w:t xml:space="preserve"> Python </w:t>
      </w:r>
      <w:r>
        <w:rPr>
          <w:rFonts w:hint="eastAsia" w:ascii="Times New Roman" w:hAnsi="Times New Roman" w:eastAsia="宋体"/>
          <w:color w:val="000000"/>
          <w:sz w:val="20"/>
        </w:rPr>
        <w:t xml:space="preserve">网关发送到</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DeepSeek。网关组合版本化的项目知识、交互描述、状态快照和共享动作目录，模型无需访问项目文件或画面。语音先形成可编辑草稿，用户确认后进入同一问答流程。</w:t>
      </w:r>
    </w:p>
    <w:p>
      <w:pPr>
        <w:spacing w:before="0" w:after="0" w:line="20" w:lineRule="exact"/>
        <w:sectPr>
          <w:type w:val="continuous"/>
          <w:footnotePr>
            <w:numRestart w:val="eachSect"/>
          </w:footnotePr>
          <w:pgSz w:w="12240" w:h="15840"/>
          <w:pgMar w:top="1080" w:bottom="1440" w:left="900" w:right="900" w:header="432" w:footer="432"/>
          <w:cols w:num="2" w:space="360"/>
        </w:sectPr>
      </w:pPr>
    </w:p>
    <w:p>
      <w:pPr>
        <w:keepNext/>
        <w:widowControl/>
        <w:spacing w:before="0" w:after="0" w:line="240" w:lineRule="auto"/>
        <w:ind w:firstLine="0" w:left="0" w:right="0"/>
        <w:jc w:val="center"/>
      </w:pPr>
      <w:r>
        <w:drawing>
          <wp:inline>
            <wp:extent cx="6492240" cy="4465841"/>
            <wp:docPr id="10" name="Picture 10"/>
            <wp:cNvGraphicFramePr>
              <a:graphicFrameLocks noChangeAspect="1"/>
            </wp:cNvGraphicFramePr>
            <a:graphic>
              <a:graphicData uri="http://schemas.openxmlformats.org/drawingml/2006/picture">
                <pic:pic>
                  <pic:nvPicPr>
                    <pic:cNvPr id="0" name="fig03_architecture.png"/>
                    <pic:cNvPicPr/>
                  </pic:nvPicPr>
                  <pic:blipFill>
                    <a:blip r:embed="rId18">
                      <a:extLst>
                        <a:ext uri="{96DAC541-7B7A-43D3-8B79-37D633B846F1}">
                          <asvg:svgBlip xmlns:asvg="http://schemas.microsoft.com/office/drawing/2016/SVG/main" r:embed="rId19"/>
                        </a:ext>
                      </a:extLst>
                    </a:blip>
                    <a:stretch>
                      <a:fillRect/>
                    </a:stretch>
                  </pic:blipFill>
                  <pic:spPr>
                    <a:xfrm>
                      <a:off x="0" y="0"/>
                      <a:ext cx="6492240" cy="4465841"/>
                    </a:xfrm>
                    <a:prstGeom prst="rect"/>
                  </pic:spPr>
                </pic:pic>
              </a:graphicData>
            </a:graphic>
          </wp:inline>
        </w:drawing>
      </w:r>
    </w:p>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图 3. 状态约束的问答架构。模型选择候选解释或指引，程序负责可用性校验、操作文案和响应时效；格式修复保持同一状态权限，实验操作由玩家完成。</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19"/>
    <w:bookmarkStart w:id="20" w:name="任务状态与可用活动"/>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任务状态与可用活动</w:t>
      </w:r>
    </w:p>
    <w:p>
      <w:pPr>
        <w:spacing w:before="0" w:after="0" w:line="20" w:lineRule="exact"/>
        <w:sectPr>
          <w:type w:val="continuous"/>
          <w:footnotePr>
            <w:numRestart w:val="eachSect"/>
          </w:footnotePr>
          <w:pgSz w:w="12240" w:h="15840"/>
          <w:pgMar w:top="1080" w:bottom="1440" w:left="900" w:right="900" w:header="432" w:footer="432"/>
          <w:cols w:num="2" w:space="360"/>
        </w:sectPr>
      </w:pPr>
    </w:p>
    <w:p>
      <w:pPr>
        <w:pStyle w:val="FirstParagraph"/>
        <w:keepNext/>
        <w:widowControl/>
        <w:spacing w:before="160" w:after="80" w:line="240" w:lineRule="auto"/>
        <w:ind w:firstLine="0" w:left="0" w:right="0"/>
        <w:jc w:val="center"/>
      </w:pPr>
      <w:r>
        <w:rPr>
          <w:rFonts w:ascii="Times New Roman" w:hAnsi="Times New Roman" w:eastAsia="宋体"/>
          <w:b w:val="0"/>
          <w:color w:val="000000"/>
          <w:sz w:val="16"/>
        </w:rPr>
        <w:t>表 II</w:t>
        <w:br/>
        <w:t>VR 活动与 AI 上下文的对应关系。</w:t>
      </w:r>
    </w:p>
    <w:tbl>
      <w:tblPr>
        <w:tblStyle w:val="Table"/>
        <w:tblW w:type="dxa" w:w="104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3480"/>
        <w:gridCol w:w="3480"/>
        <w:gridCol w:w="3480"/>
      </w:tblGrid>
      <w:tr>
        <w:trPr>
          <w:tblHeader w:val="on"/>
          <w:cantSplit/>
          <w:tblHeader/>
        </w:trPr>
        <w:tc>
          <w:tcPr>
            <w:tcW w:type="dxa" w:w="348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VR </w:t>
            </w:r>
            <w:r>
              <w:rPr>
                <w:rFonts w:hint="eastAsia" w:ascii="Times New Roman" w:hAnsi="Times New Roman" w:eastAsia="宋体"/>
                <w:b/>
                <w:color w:val="000000"/>
                <w:sz w:val="16"/>
              </w:rPr>
              <w:t xml:space="preserve">情境</w:t>
            </w:r>
          </w:p>
        </w:tc>
        <w:tc>
          <w:tcPr>
            <w:tcW w:type="dxa" w:w="348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提供的信息</w:t>
            </w:r>
          </w:p>
        </w:tc>
        <w:tc>
          <w:tcPr>
            <w:tcW w:type="dxa" w:w="348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支持的指引</w:t>
            </w:r>
          </w:p>
        </w:tc>
      </w:tr>
      <w:tr>
        <w:trPr>
          <w:cantSplit/>
        </w:trPr>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样本操作</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手持对象、放置状态、可用动作</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拾取、放置、观察或取出</w:t>
            </w:r>
          </w:p>
        </w:tc>
      </w:tr>
      <w:tr>
        <w:trPr>
          <w:cantSplit/>
        </w:trPr>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显微观察</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模式、观察点、可用控制</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调焦、亮度或物镜操作说明</w:t>
            </w:r>
          </w:p>
        </w:tc>
      </w:tr>
      <w:tr>
        <w:trPr>
          <w:cantSplit/>
        </w:trPr>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部件查看</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名称、说明、关联实验、可用启动动作</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部件解释及实验入口</w:t>
            </w:r>
          </w:p>
        </w:tc>
      </w:tr>
      <w:tr>
        <w:trPr>
          <w:cantSplit/>
        </w:trPr>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NA/空间频率</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当前模块参数和控制</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参数含义与当前操作</w:t>
            </w:r>
          </w:p>
        </w:tc>
      </w:tr>
      <w:tr>
        <w:trPr>
          <w:cantSplit/>
        </w:trPr>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SNOM</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阶段、探针、播放及部件模式</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当前流程和前置条件</w:t>
            </w:r>
          </w:p>
        </w:tc>
      </w:tr>
      <w:tr>
        <w:trPr>
          <w:cantSplit/>
        </w:trPr>
        <w:tc>
          <w:tcPr>
            <w:tcW w:type="dxa" w:w="348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空间定位</w:t>
            </w:r>
          </w:p>
        </w:tc>
        <w:tc>
          <w:tcPr>
            <w:tcW w:type="dxa" w:w="348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可用目标、世界位置、玩家朝向及尺度</w:t>
            </w:r>
          </w:p>
        </w:tc>
        <w:tc>
          <w:tcPr>
            <w:tcW w:type="dxa" w:w="348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仪器区域或具体样本标记</w:t>
            </w:r>
          </w:p>
        </w:tc>
      </w:tr>
    </w:tbl>
    <w:p>
      <w:pPr>
        <w:spacing w:before="0" w:after="0" w:line="20" w:lineRule="exact"/>
        <w:sectPr>
          <w:type w:val="continuous"/>
          <w:footnotePr>
            <w:numRestart w:val="eachSect"/>
          </w:footnotePr>
          <w:pgSz w:w="12240" w:h="15840"/>
          <w:pgMar w:top="1080" w:bottom="1440" w:left="900" w:right="900" w:header="432" w:footer="432"/>
          <w:cols w:num="1" w:space="360"/>
        </w:sectPr>
      </w:pP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快照不含焦点值、误差、物镜索引或图像质量。因此助手只能说明控制方法与观察目标，不能计算保证改善清晰度的方向；非活动模块的默认值不作为读数。</w:t>
      </w:r>
    </w:p>
    <w:bookmarkEnd w:id="20"/>
    <w:bookmarkStart w:id="21" w:name="受约束生成与一次格式修复"/>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受约束生成与一次格式修复</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设</w:t>
      </w:r>
      <w:r>
        <w:rPr>
          <w:rFonts w:ascii="Times New Roman" w:hAnsi="Times New Roman" w:eastAsia="宋体"/>
          <w:color w:val="000000"/>
          <w:sz w:val="20"/>
        </w:rPr>
        <w:t xml:space="preserve"> </w:t>
      </w:r>
      <m:oMath>
        <m:r>
          <m:rPr>
            <m:scr m:val="script"/>
            <m:sty m:val="p"/>
          </m:rPr>
          <m:t>C</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为共享动作目录，</w:t>
      </w:r>
      <m:oMath>
        <m:r>
          <m:t>P</m:t>
        </m:r>
        <m:r>
          <m:rPr>
            <m:sty m:val="p"/>
          </m:rPr>
          <m:t>(</m:t>
        </m:r>
        <m:r>
          <m:t>a</m:t>
        </m:r>
        <m:r>
          <m:rPr>
            <m:sty m:val="p"/>
          </m:rPr>
          <m:t>,</m:t>
        </m:r>
        <m:r>
          <m:t>s</m:t>
        </m:r>
        <m:r>
          <m:rPr>
            <m:sty m:val="p"/>
          </m:rPr>
          <m:t>)</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为状态</w:t>
      </w:r>
      <w:r>
        <w:rPr>
          <w:rFonts w:ascii="Times New Roman" w:hAnsi="Times New Roman" w:eastAsia="宋体"/>
          <w:color w:val="000000"/>
          <w:sz w:val="20"/>
        </w:rPr>
        <w:t xml:space="preserve"> </w:t>
      </w:r>
      <m:oMath>
        <m:r>
          <m:t>s</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下动作</w:t>
      </w:r>
      <w:r>
        <w:rPr>
          <w:rFonts w:ascii="Times New Roman" w:hAnsi="Times New Roman" w:eastAsia="宋体"/>
          <w:color w:val="000000"/>
          <w:sz w:val="20"/>
        </w:rPr>
        <w:t xml:space="preserve"> </w:t>
      </w:r>
      <m:oMath>
        <m:r>
          <m:t>a</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的可用性条件，则：</w:t>
      </w:r>
    </w:p>
    <w:p>
      <w:pPr>
        <w:pStyle w:val="BodyText"/>
        <w:keepNext w:val="0"/>
        <w:widowControl/>
        <w:spacing w:before="120" w:after="120" w:line="240" w:lineRule="auto"/>
        <w:ind w:firstLine="0" w:left="0" w:right="0"/>
        <w:jc w:val="center"/>
      </w:pPr>
      <m:oMathPara>
        <m:oMathParaPr>
          <m:jc m:val="center"/>
        </m:oMathParaPr>
        <m:oMath>
          <m:r>
            <m:rPr>
              <m:scr m:val="script"/>
              <m:sty m:val="p"/>
            </m:rPr>
            <m:t>A</m:t>
            <w:rPr>
              <w:sz w:val="18"/>
            </w:rPr>
          </m:r>
          <m:r>
            <m:rPr>
              <m:sty m:val="p"/>
            </m:rPr>
            <m:t>(</m:t>
            <w:rPr>
              <w:sz w:val="18"/>
            </w:rPr>
          </m:r>
          <m:r>
            <m:t>s</m:t>
            <w:rPr>
              <w:sz w:val="18"/>
            </w:rPr>
          </m:r>
          <m:r>
            <m:rPr>
              <m:sty m:val="p"/>
            </m:rPr>
            <m:t>)</m:t>
            <w:rPr>
              <w:sz w:val="18"/>
            </w:rPr>
          </m:r>
          <m:r>
            <m:rPr>
              <m:sty m:val="p"/>
            </m:rPr>
            <m:t>=</m:t>
            <w:rPr>
              <w:sz w:val="18"/>
            </w:rPr>
          </m:r>
          <m:r>
            <m:rPr>
              <m:sty m:val="p"/>
            </m:rPr>
            <m:t>{</m:t>
            <w:rPr>
              <w:sz w:val="18"/>
            </w:rPr>
          </m:r>
          <m:r>
            <m:t>a</m:t>
            <w:rPr>
              <w:sz w:val="18"/>
            </w:rPr>
          </m:r>
          <m:r>
            <m:rPr>
              <m:sty m:val="p"/>
            </m:rPr>
            <m:t>∈</m:t>
            <w:rPr>
              <w:sz w:val="18"/>
            </w:rPr>
          </m:r>
          <m:r>
            <m:rPr>
              <m:scr m:val="script"/>
              <m:sty m:val="p"/>
            </m:rPr>
            <m:t>C</m:t>
            <w:rPr>
              <w:sz w:val="18"/>
            </w:rPr>
          </m:r>
          <m:r>
            <m:rPr>
              <m:sty m:val="p"/>
            </m:rPr>
            <m:t>∣</m:t>
            <w:rPr>
              <w:sz w:val="18"/>
            </w:rPr>
          </m:r>
          <m:r>
            <m:t>P</m:t>
            <w:rPr>
              <w:sz w:val="18"/>
            </w:rPr>
          </m:r>
          <m:r>
            <m:rPr>
              <m:sty m:val="p"/>
            </m:rPr>
            <m:t>(</m:t>
            <w:rPr>
              <w:sz w:val="18"/>
            </w:rPr>
          </m:r>
          <m:r>
            <m:t>a</m:t>
            <w:rPr>
              <w:sz w:val="18"/>
            </w:rPr>
          </m:r>
          <m:r>
            <m:rPr>
              <m:sty m:val="p"/>
            </m:rPr>
            <m:t>,</m:t>
            <w:rPr>
              <w:sz w:val="18"/>
            </w:rPr>
          </m:r>
          <m:r>
            <m:t>s</m:t>
            <w:rPr>
              <w:sz w:val="18"/>
            </w:rPr>
          </m:r>
          <m:r>
            <m:rPr>
              <m:sty m:val="p"/>
            </m:rPr>
            <m:t>)</m:t>
            <w:rPr>
              <w:sz w:val="18"/>
            </w:rPr>
          </m:r>
          <m:r>
            <m:rPr>
              <m:sty m:val="p"/>
            </m:rPr>
            <m:t>}</m:t>
            <w:rPr>
              <w:sz w:val="18"/>
            </w:rPr>
          </m:r>
          <m:r>
            <m:rPr>
              <m:sty m:val="p"/>
            </m:rPr>
            <m:t>.</m:t>
            <w:rPr>
              <w:sz w:val="18"/>
            </w:rPr>
          </m:r>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Unity </w:t>
      </w:r>
      <w:r>
        <w:rPr>
          <w:rFonts w:hint="eastAsia" w:ascii="Times New Roman" w:hAnsi="Times New Roman" w:eastAsia="宋体"/>
          <w:color w:val="000000"/>
          <w:sz w:val="20"/>
        </w:rPr>
        <w:t xml:space="preserve">根据界面、控制器、距离和绑定生成</w:t>
      </w:r>
      <w:r>
        <w:rPr>
          <w:rFonts w:ascii="Times New Roman" w:hAnsi="Times New Roman" w:eastAsia="宋体"/>
          <w:color w:val="000000"/>
          <w:sz w:val="20"/>
        </w:rPr>
        <w:t xml:space="preserve"> </w:t>
      </w:r>
      <m:oMath>
        <m:r>
          <m:rPr>
            <m:scr m:val="script"/>
            <m:sty m:val="p"/>
          </m:rPr>
          <m:t>A</m:t>
        </m:r>
        <m:r>
          <m:rPr>
            <m:sty m:val="p"/>
          </m:rPr>
          <m:t>(</m:t>
        </m:r>
        <m:r>
          <m:t>s</m:t>
        </m:r>
        <m:r>
          <m:rPr>
            <m:sty m:val="p"/>
          </m:rPr>
          <m:t>)</m:t>
        </m:r>
      </m:oMath>
      <w:r>
        <w:rPr>
          <w:rFonts w:ascii="Times New Roman" w:hAnsi="Times New Roman" w:eastAsia="宋体"/>
          <w:color w:val="000000"/>
          <w:sz w:val="20"/>
        </w:rPr>
        <w:t xml:space="preserve">。DeepSeek </w:t>
      </w:r>
      <w:r>
        <w:rPr>
          <w:rFonts w:hint="eastAsia" w:ascii="Times New Roman" w:hAnsi="Times New Roman" w:eastAsia="宋体"/>
          <w:color w:val="000000"/>
          <w:sz w:val="20"/>
        </w:rPr>
        <w:t xml:space="preserve">返回解释、指引、澄清或拒答；操作与位置指引分别选择一个允许动作或目标，后端及客户端在显示前验证。</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合法操作使用目录中的标准步骤。候选</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JSON、字段或动作未通过结构检查时，系统按原问题和快照最多重生成一次，权限保持不变；超时和上游异常不按格式错误重试。</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非拒答候选再接受范围、事实支持和目标一致性审核。生成与审核使用同一模型，故这只是附加检查而非独立正确性保证；拒答、格式错误、访问异常和超时分别报告。</w:t>
      </w:r>
    </w:p>
    <w:bookmarkEnd w:id="21"/>
    <w:bookmarkStart w:id="22" w:name="连续学习与响应时效"/>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D. 连续学习与响应时效</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部件指代由当前名称和说明解析；体验请求优先关联实验，通用“下一步”优先推进当前路径。每次请求保存状态与快照标识，客户端显示前复查内容和权限并拒绝过期建议。提示卡可在对话框关闭后保留，但不会执行或标记操作完成。</w:t>
      </w:r>
    </w:p>
    <w:bookmarkEnd w:id="22"/>
    <w:bookmarkStart w:id="23" w:name="仪器与样本空间定位"/>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E. 仪器与样本空间定位</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部件、NA</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和空间频率指向显微镜站，SNOM</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指向独立装置；红、绿、蓝、黄样本是不同目标。只有快照提供的对象可被标记，因此这是目标定位而非通用路线规划。</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设目标相对玩家的水平位移为</w:t>
      </w:r>
      <w:r>
        <w:rPr>
          <w:rFonts w:ascii="Times New Roman" w:hAnsi="Times New Roman" w:eastAsia="宋体"/>
          <w:color w:val="000000"/>
          <w:sz w:val="20"/>
        </w:rPr>
        <w:t xml:space="preserve"> </w:t>
      </w:r>
      <m:oMath>
        <m:sSub>
          <m:e>
            <m:r>
              <m:rPr>
                <m:sty m:val="p"/>
              </m:rPr>
              <m:t>Δ</m:t>
            </m:r>
          </m:e>
          <m:sub>
            <m:r>
              <m:t>h</m:t>
            </m:r>
          </m:sub>
        </m:sSub>
      </m:oMath>
      <w:r>
        <w:rPr>
          <w:rFonts w:hint="eastAsia" w:ascii="Times New Roman" w:hAnsi="Times New Roman" w:eastAsia="宋体"/>
          <w:color w:val="000000"/>
          <w:sz w:val="20"/>
        </w:rPr>
        <w:t xml:space="preserve">，每米场景单位为</w:t>
      </w:r>
      <w:r>
        <w:rPr>
          <w:rFonts w:ascii="Times New Roman" w:hAnsi="Times New Roman" w:eastAsia="宋体"/>
          <w:color w:val="000000"/>
          <w:sz w:val="20"/>
        </w:rPr>
        <w:t xml:space="preserve"> </w:t>
      </w:r>
      <m:oMath>
        <m:r>
          <m:t>u</m:t>
        </m:r>
      </m:oMath>
      <w:r>
        <w:rPr>
          <w:rFonts w:hint="eastAsia" w:ascii="Times New Roman" w:hAnsi="Times New Roman" w:eastAsia="宋体"/>
          <w:color w:val="000000"/>
          <w:sz w:val="20"/>
        </w:rPr>
        <w:t xml:space="preserve">，显示距离为：</w:t>
      </w:r>
    </w:p>
    <w:p>
      <w:pPr>
        <w:pStyle w:val="BodyText"/>
        <w:keepNext w:val="0"/>
        <w:widowControl/>
        <w:spacing w:before="120" w:after="120" w:line="240" w:lineRule="auto"/>
        <w:ind w:firstLine="0" w:left="0" w:right="0"/>
        <w:jc w:val="center"/>
      </w:pPr>
      <m:oMathPara>
        <m:oMathParaPr>
          <m:jc m:val="center"/>
        </m:oMathParaPr>
        <m:oMath>
          <m:r>
            <m:t>d</m:t>
            <w:rPr>
              <w:sz w:val="18"/>
            </w:rPr>
          </m:r>
          <m:r>
            <m:rPr>
              <m:sty m:val="p"/>
            </m:rPr>
            <m:t>=</m:t>
            <w:rPr>
              <w:sz w:val="18"/>
            </w:rPr>
          </m:r>
          <m:r>
            <m:rPr>
              <m:sty m:val="p"/>
            </m:rPr>
            <m:t>∥</m:t>
            <w:rPr>
              <w:sz w:val="18"/>
            </w:rPr>
          </m:r>
          <m:sSub>
            <m:e>
              <m:r>
                <m:rPr>
                  <m:sty m:val="p"/>
                </m:rPr>
                <m:t>Δ</m:t>
                <w:rPr>
                  <w:sz w:val="18"/>
                </w:rPr>
              </m:r>
            </m:e>
            <m:sub>
              <m:r>
                <m:t>h</m:t>
                <w:rPr>
                  <w:sz w:val="18"/>
                </w:rPr>
              </m:r>
            </m:sub>
          </m:sSub>
          <m:r>
            <m:rPr>
              <m:sty m:val="p"/>
            </m:rPr>
            <m:t>∥</m:t>
            <w:rPr>
              <w:sz w:val="18"/>
            </w:rPr>
          </m:r>
          <m:r>
            <m:rPr>
              <m:sty m:val="p"/>
            </m:rPr>
            <m:t>/</m:t>
            <w:rPr>
              <w:sz w:val="18"/>
            </w:rPr>
          </m:r>
          <m:r>
            <m:t>u</m:t>
            <w:rPr>
              <w:sz w:val="18"/>
            </w:rPr>
          </m:r>
          <m:r>
            <m:rPr>
              <m:sty m:val="p"/>
            </m:rPr>
            <m:t>.</m:t>
            <w:rPr>
              <w:sz w:val="18"/>
            </w:rPr>
          </m:r>
        </m:oMath>
      </m:oMathPara>
    </w:p>
    <w:p>
      <w:pPr>
        <w:pStyle w:val="FirstParagraph"/>
        <w:keepNext w:val="0"/>
        <w:widowControl/>
        <w:spacing w:before="0" w:after="0" w:line="240" w:lineRule="auto"/>
        <w:ind w:firstLine="202" w:left="0" w:right="0"/>
        <w:jc w:val="both"/>
      </w:pPr>
      <m:oMath>
        <m:r>
          <m:t>β</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离散为前（</w:t>
      </w:r>
      <m:oMath>
        <m:r>
          <m:rPr>
            <m:sty m:val="p"/>
          </m:rPr>
          <m:t>|</m:t>
        </m:r>
        <m:r>
          <m:t>β</m:t>
        </m:r>
        <m:r>
          <m:rPr>
            <m:sty m:val="p"/>
          </m:rPr>
          <m:t>|</m:t>
        </m:r>
        <m:r>
          <m:rPr>
            <m:sty m:val="p"/>
          </m:rPr>
          <m:t>≤</m:t>
        </m:r>
        <m:sSup>
          <m:e>
            <m:r>
              <m:t>45</m:t>
            </m:r>
          </m:e>
          <m:sup>
            <m:r>
              <m:rPr>
                <m:sty m:val="p"/>
              </m:rPr>
              <m:t>∘</m:t>
            </m:r>
          </m:sup>
        </m:sSup>
      </m:oMath>
      <w:r>
        <w:rPr>
          <w:rFonts w:hint="eastAsia" w:ascii="Times New Roman" w:hAnsi="Times New Roman" w:eastAsia="宋体"/>
          <w:color w:val="000000"/>
          <w:sz w:val="20"/>
        </w:rPr>
        <w:t xml:space="preserve">）、后（</w:t>
      </w:r>
      <m:oMath>
        <m:r>
          <m:rPr>
            <m:sty m:val="p"/>
          </m:rPr>
          <m:t>|</m:t>
        </m:r>
        <m:r>
          <m:t>β</m:t>
        </m:r>
        <m:r>
          <m:rPr>
            <m:sty m:val="p"/>
          </m:rPr>
          <m:t>|</m:t>
        </m:r>
        <m:r>
          <m:rPr>
            <m:sty m:val="p"/>
          </m:rPr>
          <m:t>≥</m:t>
        </m:r>
        <m:sSup>
          <m:e>
            <m:r>
              <m:t>135</m:t>
            </m:r>
          </m:e>
          <m:sup>
            <m:r>
              <m:rPr>
                <m:sty m:val="p"/>
              </m:rPr>
              <m:t>∘</m:t>
            </m:r>
          </m:sup>
        </m:sSup>
      </m:oMath>
      <w:r>
        <w:rPr>
          <w:rFonts w:hint="eastAsia" w:ascii="Times New Roman" w:hAnsi="Times New Roman" w:eastAsia="宋体"/>
          <w:color w:val="000000"/>
          <w:sz w:val="20"/>
        </w:rPr>
        <w:t xml:space="preserve">）及左/右，客户端应用时重新计算。轮廓和光柱成功创建后才确认标记；显示距离取包围盒中心，到达判断取最近点并使用</w:t>
      </w:r>
      <w:r>
        <w:rPr>
          <w:rFonts w:ascii="Times New Roman" w:hAnsi="Times New Roman" w:eastAsia="宋体"/>
          <w:color w:val="000000"/>
          <w:sz w:val="20"/>
        </w:rPr>
        <w:t xml:space="preserve"> 1.2 m </w:t>
      </w:r>
      <w:r>
        <w:rPr>
          <w:rFonts w:hint="eastAsia" w:ascii="Times New Roman" w:hAnsi="Times New Roman" w:eastAsia="宋体"/>
          <w:color w:val="000000"/>
          <w:sz w:val="20"/>
        </w:rPr>
        <w:t xml:space="preserve">默认阈值。靠近、取消、超时或状态切换均会清除标记。</w:t>
      </w:r>
    </w:p>
    <w:bookmarkEnd w:id="23"/>
    <w:bookmarkStart w:id="24" w:name="确认式中英文语音输入"/>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F. 确认式中英文语音输入</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语音入口通过默认麦克风录制不超过</w:t>
      </w:r>
      <w:r>
        <w:rPr>
          <w:rFonts w:ascii="Times New Roman" w:hAnsi="Times New Roman" w:eastAsia="宋体"/>
          <w:color w:val="000000"/>
          <w:sz w:val="20"/>
        </w:rPr>
        <w:t xml:space="preserve"> 30 </w:t>
      </w:r>
      <w:r>
        <w:rPr>
          <w:rFonts w:hint="eastAsia" w:ascii="Times New Roman" w:hAnsi="Times New Roman" w:eastAsia="宋体"/>
          <w:color w:val="000000"/>
          <w:sz w:val="20"/>
        </w:rPr>
        <w:t xml:space="preserve">秒，转为单声道</w:t>
      </w:r>
      <w:r>
        <w:rPr>
          <w:rFonts w:ascii="Times New Roman" w:hAnsi="Times New Roman" w:eastAsia="宋体"/>
          <w:color w:val="000000"/>
          <w:sz w:val="20"/>
        </w:rPr>
        <w:t xml:space="preserve"> PCM16 </w:t>
      </w:r>
      <w:r>
        <w:rPr>
          <w:rFonts w:hint="eastAsia" w:ascii="Times New Roman" w:hAnsi="Times New Roman" w:eastAsia="宋体"/>
          <w:color w:val="000000"/>
          <w:sz w:val="20"/>
        </w:rPr>
        <w:t xml:space="preserve">WAV（优先</w:t>
      </w:r>
      <w:r>
        <w:rPr>
          <w:rFonts w:ascii="Times New Roman" w:hAnsi="Times New Roman" w:eastAsia="宋体"/>
          <w:color w:val="000000"/>
          <w:sz w:val="20"/>
        </w:rPr>
        <w:t xml:space="preserve"> 16 </w:t>
      </w:r>
      <w:r>
        <w:rPr>
          <w:rFonts w:hint="eastAsia" w:ascii="Times New Roman" w:hAnsi="Times New Roman" w:eastAsia="宋体"/>
          <w:color w:val="000000"/>
          <w:sz w:val="20"/>
        </w:rPr>
        <w:t xml:space="preserve">kHz），并由</w:t>
      </w:r>
      <w:r>
        <w:rPr>
          <w:rFonts w:ascii="Times New Roman" w:hAnsi="Times New Roman" w:eastAsia="宋体"/>
          <w:color w:val="000000"/>
          <w:sz w:val="20"/>
        </w:rPr>
        <w:t xml:space="preserve"> Groq</w:t>
      </w:r>
      <w:r>
        <w:rPr>
          <w:rFonts w:ascii="Times New Roman" w:hAnsi="Times New Roman" w:eastAsia="宋体"/>
          <w:color w:val="000000"/>
          <w:sz w:val="20"/>
        </w:rPr>
        <w:t xml:space="preserve"> </w:t>
      </w:r>
      <w:r>
        <w:rPr>
          <w:rStyle w:val="VerbatimChar"/>
          <w:rFonts w:ascii="Times New Roman" w:hAnsi="Times New Roman" w:eastAsia="宋体"/>
          <w:color w:val="000000"/>
          <w:sz w:val="20"/>
        </w:rPr>
        <w:t xml:space="preserve">whisper-large-v3-turbo</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转写</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[18]。系统不请求翻译；可编辑文本经用户确认后进入同一状态校验链路，准确率和延迟留待后续评价。</w:t>
      </w:r>
    </w:p>
    <w:bookmarkEnd w:id="24"/>
    <w:bookmarkEnd w:id="25"/>
    <w:bookmarkStart w:id="29" w:name="综合学习情境"/>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 综合学习情境</w:t>
      </w:r>
    </w:p>
    <w:bookmarkStart w:id="26" w:name="样本观察与有限状态下的调焦建议"/>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样本观察与有限状态下的调焦建议</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学习者放置样本、进入观察、切换物镜并以粗细调寻找焦点。助手可选择允许的调焦动作并说明观察目标，但不能读取焦点误差、诊断黑屏或从快照缺失的图像计算调整方向。</w:t>
      </w:r>
    </w:p>
    <w:bookmarkEnd w:id="26"/>
    <w:bookmarkStart w:id="27" w:name="从部件提问进入实验"/>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从部件提问进入实验</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SuperAssembly </w:t>
      </w:r>
      <w:r>
        <w:rPr>
          <w:rFonts w:hint="eastAsia" w:ascii="Times New Roman" w:hAnsi="Times New Roman" w:eastAsia="宋体"/>
          <w:color w:val="000000"/>
          <w:sz w:val="20"/>
        </w:rPr>
        <w:t xml:space="preserve">中选中上部光学组件会提供</w:t>
      </w:r>
      <w:r>
        <w:rPr>
          <w:rFonts w:ascii="Times New Roman" w:hAnsi="Times New Roman" w:eastAsia="宋体"/>
          <w:color w:val="000000"/>
          <w:sz w:val="20"/>
        </w:rPr>
        <w:t xml:space="preserve"> NA </w:t>
      </w:r>
      <w:r>
        <w:rPr>
          <w:rFonts w:hint="eastAsia" w:ascii="Times New Roman" w:hAnsi="Times New Roman" w:eastAsia="宋体"/>
          <w:color w:val="000000"/>
          <w:sz w:val="20"/>
        </w:rPr>
        <w:t xml:space="preserve">说明和启动动作；助手解释后，学习者关闭对话框、进入实验并比较光锥变化。物镜同样关联空间频率；若玩家在其他区域，系统标记共享的显微镜站，而不会虚构独立实验台（图</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4）。</w:t>
      </w:r>
    </w:p>
    <w:p>
      <w:pPr>
        <w:spacing w:before="0" w:after="0" w:line="20" w:lineRule="exact"/>
        <w:sectPr>
          <w:type w:val="continuous"/>
          <w:footnotePr>
            <w:numRestart w:val="eachSect"/>
          </w:footnotePr>
          <w:pgSz w:w="12240" w:h="15840"/>
          <w:pgMar w:top="1080" w:bottom="1440" w:left="900" w:right="900" w:header="432" w:footer="432"/>
          <w:cols w:num="2" w:space="360"/>
        </w:sectPr>
      </w:pP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5220"/>
        <w:gridCol w:w="5220"/>
      </w:tblGrid>
      <w:tr>
        <w:trPr>
          <w:cantSplit/>
        </w:trPr>
        <w:tc>
          <w:tcPr>
            <w:tcW w:type="dxa" w:w="5220"/>
            <w:vAlign w:val="top"/>
          </w:tcPr>
          <w:p>
            <w:pPr>
              <w:keepNext/>
              <w:widowControl/>
              <w:spacing w:before="0" w:after="0" w:line="240" w:lineRule="auto"/>
              <w:ind w:firstLine="0" w:left="0" w:right="0"/>
              <w:jc w:val="center"/>
            </w:pPr>
            <w:r>
              <w:drawing>
                <wp:inline>
                  <wp:extent cx="3136392" cy="1764383"/>
                  <wp:docPr id="11" name="Picture 11"/>
                  <wp:cNvGraphicFramePr>
                    <a:graphicFrameLocks noChangeAspect="1"/>
                  </wp:cNvGraphicFramePr>
                  <a:graphic>
                    <a:graphicData uri="http://schemas.openxmlformats.org/drawingml/2006/picture">
                      <pic:pic>
                        <pic:nvPicPr>
                          <pic:cNvPr id="0" name="4.2 部件说明介绍.png"/>
                          <pic:cNvPicPr/>
                        </pic:nvPicPr>
                        <pic:blipFill>
                          <a:blip r:embed="rId20"/>
                          <a:stretch>
                            <a:fillRect/>
                          </a:stretch>
                        </pic:blipFill>
                        <pic:spPr>
                          <a:xfrm>
                            <a:off x="0" y="0"/>
                            <a:ext cx="3136392" cy="1764383"/>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(a) 部件说明及可用实验入口。</w:t>
            </w:r>
          </w:p>
        </w:tc>
        <w:tc>
          <w:tcPr>
            <w:tcW w:type="dxa" w:w="5220"/>
            <w:vAlign w:val="top"/>
          </w:tcPr>
          <w:p>
            <w:pPr>
              <w:keepNext/>
              <w:widowControl/>
              <w:spacing w:before="0" w:after="0" w:line="240" w:lineRule="auto"/>
              <w:ind w:firstLine="0" w:left="0" w:right="0"/>
              <w:jc w:val="center"/>
            </w:pPr>
            <w:r>
              <w:drawing>
                <wp:inline>
                  <wp:extent cx="3136392" cy="1675678"/>
                  <wp:docPr id="12" name="Picture 12"/>
                  <wp:cNvGraphicFramePr>
                    <a:graphicFrameLocks noChangeAspect="1"/>
                  </wp:cNvGraphicFramePr>
                  <a:graphic>
                    <a:graphicData uri="http://schemas.openxmlformats.org/drawingml/2006/picture">
                      <pic:pic>
                        <pic:nvPicPr>
                          <pic:cNvPr id="0" name="4.3 AI解释说明.png"/>
                          <pic:cNvPicPr/>
                        </pic:nvPicPr>
                        <pic:blipFill>
                          <a:blip r:embed="rId21"/>
                          <a:stretch>
                            <a:fillRect/>
                          </a:stretch>
                        </pic:blipFill>
                        <pic:spPr>
                          <a:xfrm>
                            <a:off x="0" y="0"/>
                            <a:ext cx="3136392" cy="1675678"/>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(b) 针对当前模块的上下文解释。</w:t>
            </w:r>
          </w:p>
        </w:tc>
      </w:tr>
      <w:tr>
        <w:trPr>
          <w:cantSplit/>
        </w:trPr>
        <w:tc>
          <w:tcPr>
            <w:tcW w:type="dxa" w:w="5220"/>
            <w:vAlign w:val="top"/>
          </w:tcPr>
          <w:p>
            <w:pPr>
              <w:keepNext/>
              <w:widowControl/>
              <w:spacing w:before="0" w:after="0" w:line="240" w:lineRule="auto"/>
              <w:ind w:firstLine="0" w:left="0" w:right="0"/>
              <w:jc w:val="center"/>
            </w:pPr>
            <w:r>
              <w:drawing>
                <wp:inline>
                  <wp:extent cx="3136392" cy="1762428"/>
                  <wp:docPr id="13" name="Picture 13"/>
                  <wp:cNvGraphicFramePr>
                    <a:graphicFrameLocks noChangeAspect="1"/>
                  </wp:cNvGraphicFramePr>
                  <a:graphic>
                    <a:graphicData uri="http://schemas.openxmlformats.org/drawingml/2006/picture">
                      <pic:pic>
                        <pic:nvPicPr>
                          <pic:cNvPr id="0" name="3.4 AI 引路标识.png"/>
                          <pic:cNvPicPr/>
                        </pic:nvPicPr>
                        <pic:blipFill>
                          <a:blip r:embed="rId22"/>
                          <a:stretch>
                            <a:fillRect/>
                          </a:stretch>
                        </pic:blipFill>
                        <pic:spPr>
                          <a:xfrm>
                            <a:off x="0" y="0"/>
                            <a:ext cx="3136392" cy="1762428"/>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(c) 带目标标记的空间引导。</w:t>
            </w:r>
          </w:p>
        </w:tc>
        <w:tc>
          <w:tcPr>
            <w:tcW w:type="dxa" w:w="5220"/>
            <w:vAlign w:val="top"/>
          </w:tcPr>
          <w:p>
            <w:pPr>
              <w:keepNext/>
              <w:widowControl/>
              <w:spacing w:before="0" w:after="0" w:line="240" w:lineRule="auto"/>
              <w:ind w:firstLine="0" w:left="0" w:right="0"/>
              <w:jc w:val="center"/>
            </w:pPr>
            <w:r>
              <w:drawing>
                <wp:inline>
                  <wp:extent cx="3136392" cy="1745606"/>
                  <wp:docPr id="14" name="Picture 14"/>
                  <wp:cNvGraphicFramePr>
                    <a:graphicFrameLocks noChangeAspect="1"/>
                  </wp:cNvGraphicFramePr>
                  <a:graphic>
                    <a:graphicData uri="http://schemas.openxmlformats.org/drawingml/2006/picture">
                      <pic:pic>
                        <pic:nvPicPr>
                          <pic:cNvPr id="0" name="3.5 语音转文字.png"/>
                          <pic:cNvPicPr/>
                        </pic:nvPicPr>
                        <pic:blipFill>
                          <a:blip r:embed="rId23"/>
                          <a:stretch>
                            <a:fillRect/>
                          </a:stretch>
                        </pic:blipFill>
                        <pic:spPr>
                          <a:xfrm>
                            <a:off x="0" y="0"/>
                            <a:ext cx="3136392" cy="1745606"/>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(d) 语音输入界面。</w:t>
            </w:r>
          </w:p>
        </w:tc>
      </w:tr>
    </w:tbl>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图 4. 助手的代表性交互界面：(a) 部件说明与实验入口；(b) 上下文解释；(c) 空间目标引导；(d) 语音输入。各图表示界面状态，不代表一次连续会话。关联 NA 实验的反馈见图 2(c)。</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27"/>
    <w:bookmarkStart w:id="28" w:name="snom-前置条件与响应变化"/>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SNOM 前置条件与响应变化</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SNOM </w:t>
      </w:r>
      <w:r>
        <w:rPr>
          <w:rFonts w:hint="eastAsia" w:ascii="Times New Roman" w:hAnsi="Times New Roman" w:eastAsia="宋体"/>
          <w:color w:val="000000"/>
          <w:sz w:val="20"/>
        </w:rPr>
        <w:t xml:space="preserve">助手只建议当前允许的探针选择、安装、等待、退出或启动动作；安装完成后才开放启动，随后进入敲击、耦合和扫描。客户端拒绝不再匹配状态的返回动作。该情境说明流程耦合，不构成对抗鲁棒性结论。</w:t>
      </w:r>
    </w:p>
    <w:bookmarkEnd w:id="28"/>
    <w:bookmarkEnd w:id="29"/>
    <w:bookmarkStart w:id="35" w:name="评价方法与结果"/>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VI. 评价方法与结果</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评价将确定性的实现一致性检查与流程完成、可用性和工作负荷的探索性用户研究分开，避免混淆代码行为、交互结果和学习效果</w:t>
      </w:r>
      <w:r>
        <w:rPr>
          <w:rFonts w:ascii="Times New Roman" w:hAnsi="Times New Roman" w:eastAsia="宋体"/>
          <w:color w:val="000000"/>
          <w:sz w:val="20"/>
        </w:rPr>
        <w:t xml:space="preserve"> [1]。</w:t>
      </w:r>
    </w:p>
    <w:bookmarkStart w:id="30" w:name="评价问题与实现级一致性检查"/>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评价问题与实现级一致性检查</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为便于报告，本文将用户研究组织为两个评价问题：</w:t>
      </w:r>
    </w:p>
    <w:p>
      <w:pPr>
        <w:pStyle w:val="Compact"/>
        <w:keepNext w:val="0"/>
        <w:widowControl/>
        <w:numPr>
          <w:ilvl w:val="0"/>
          <w:numId w:val="1002"/>
        </w:numPr>
        <w:spacing w:before="0" w:after="0" w:line="240" w:lineRule="auto"/>
        <w:ind w:left="346" w:right="0" w:hanging="173"/>
        <w:jc w:val="both"/>
      </w:pPr>
      <w:r>
        <w:rPr>
          <w:rFonts w:hint="eastAsia" w:ascii="Times New Roman" w:hAnsi="Times New Roman" w:eastAsia="宋体"/>
          <w:b/>
          <w:bCs/>
          <w:color w:val="000000"/>
          <w:sz w:val="20"/>
        </w:rPr>
        <w:t xml:space="preserve">RQ1（流程可行性）：</w:t>
      </w:r>
      <w:r>
        <w:rPr>
          <w:rFonts w:hint="eastAsia" w:ascii="Times New Roman" w:hAnsi="Times New Roman" w:eastAsia="宋体"/>
          <w:color w:val="000000"/>
          <w:sz w:val="20"/>
        </w:rPr>
        <w:t xml:space="preserve">参与者能否在</w:t>
      </w:r>
      <w:r>
        <w:rPr>
          <w:rFonts w:ascii="Times New Roman" w:hAnsi="Times New Roman" w:eastAsia="宋体"/>
          <w:color w:val="000000"/>
          <w:sz w:val="20"/>
        </w:rPr>
        <w:t xml:space="preserve"> VR </w:t>
      </w:r>
      <w:r>
        <w:rPr>
          <w:rFonts w:hint="eastAsia" w:ascii="Times New Roman" w:hAnsi="Times New Roman" w:eastAsia="宋体"/>
          <w:color w:val="000000"/>
          <w:sz w:val="20"/>
        </w:rPr>
        <w:t xml:space="preserve">环境中完成样本操作、显微观察、调焦/照明调整和结构探索等核心任务？</w:t>
      </w:r>
    </w:p>
    <w:p>
      <w:pPr>
        <w:pStyle w:val="Compact"/>
        <w:keepNext w:val="0"/>
        <w:widowControl/>
        <w:numPr>
          <w:ilvl w:val="0"/>
          <w:numId w:val="1002"/>
        </w:numPr>
        <w:spacing w:before="0" w:after="0" w:line="240" w:lineRule="auto"/>
        <w:ind w:left="346" w:right="0" w:hanging="173"/>
        <w:jc w:val="both"/>
      </w:pPr>
      <w:r>
        <w:rPr>
          <w:rFonts w:hint="eastAsia" w:ascii="Times New Roman" w:hAnsi="Times New Roman" w:eastAsia="宋体"/>
          <w:b/>
          <w:bCs/>
          <w:color w:val="000000"/>
          <w:sz w:val="20"/>
        </w:rPr>
        <w:t xml:space="preserve">RQ2（感知体验）：</w:t>
      </w:r>
      <w:r>
        <w:rPr>
          <w:rFonts w:hint="eastAsia" w:ascii="Times New Roman" w:hAnsi="Times New Roman" w:eastAsia="宋体"/>
          <w:color w:val="000000"/>
          <w:sz w:val="20"/>
        </w:rPr>
        <w:t xml:space="preserve">参与者如何评价系统的整体可用性与任务工作负荷？</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实现检查覆盖动作集合生成、目录外或不可用标识拒绝、过期响应拒绝及实时空间关系计算。这些确定性属性不作为“AI</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准确率”；帧率及语音/模型延迟也不属于本次结果。</w:t>
      </w:r>
    </w:p>
    <w:bookmarkEnd w:id="30"/>
    <w:bookmarkStart w:id="31" w:name="参与者与实验流程"/>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参与者与实验流程</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研究包含</w:t>
      </w:r>
      <w:r>
        <w:rPr>
          <w:rFonts w:ascii="Times New Roman" w:hAnsi="Times New Roman" w:eastAsia="宋体"/>
          <w:color w:val="000000"/>
          <w:sz w:val="20"/>
        </w:rPr>
        <w:t xml:space="preserve"> 19 </w:t>
      </w:r>
      <w:r>
        <w:rPr>
          <w:rFonts w:hint="eastAsia" w:ascii="Times New Roman" w:hAnsi="Times New Roman" w:eastAsia="宋体"/>
          <w:color w:val="000000"/>
          <w:sz w:val="20"/>
        </w:rPr>
        <w:t xml:space="preserve">名参与者，专业背景仅描述样本构成，不作为实验组或光学水平依据。</w:t>
      </w:r>
    </w:p>
    <w:p>
      <w:pPr>
        <w:pStyle w:val="BodyText"/>
        <w:keepNext/>
        <w:widowControl/>
        <w:spacing w:before="160" w:after="80" w:line="240" w:lineRule="auto"/>
        <w:ind w:firstLine="0" w:left="0" w:right="0"/>
        <w:jc w:val="center"/>
      </w:pPr>
      <w:r>
        <w:rPr>
          <w:rFonts w:ascii="Times New Roman" w:hAnsi="Times New Roman" w:eastAsia="宋体"/>
          <w:b w:val="0"/>
          <w:color w:val="000000"/>
          <w:sz w:val="16"/>
        </w:rPr>
        <w:t>表 III</w:t>
        <w:br/>
        <w:t>参与者专业背景构成（N = 19）。</w:t>
      </w:r>
    </w:p>
    <w:tbl>
      <w:tblPr>
        <w:tblStyle w:val="Table"/>
        <w:tblW w:type="dxa" w:w="50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2520"/>
        <w:gridCol w:w="2520"/>
      </w:tblGrid>
      <w:tr>
        <w:trPr>
          <w:tblHeader w:val="on"/>
          <w:cantSplit/>
          <w:tblHeader/>
        </w:trPr>
        <w:tc>
          <w:tcPr>
            <w:tcW w:type="dxa" w:w="252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专业背景</w:t>
            </w:r>
          </w:p>
        </w:tc>
        <w:tc>
          <w:tcPr>
            <w:tcW w:type="dxa" w:w="252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人数</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物理学</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6</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软件工程</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10</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商学</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w:t>
            </w:r>
          </w:p>
        </w:tc>
      </w:tr>
      <w:tr>
        <w:trPr>
          <w:cantSplit/>
        </w:trPr>
        <w:tc>
          <w:tcPr>
            <w:tcW w:type="dxa" w:w="252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哲学</w:t>
            </w:r>
          </w:p>
        </w:tc>
        <w:tc>
          <w:tcPr>
            <w:tcW w:type="dxa" w:w="252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1</w:t>
            </w:r>
          </w:p>
        </w:tc>
      </w:tr>
    </w:tbl>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安静室内实验使用</w:t>
      </w:r>
      <w:r>
        <w:rPr>
          <w:rFonts w:ascii="Times New Roman" w:hAnsi="Times New Roman" w:eastAsia="宋体"/>
          <w:color w:val="000000"/>
          <w:sz w:val="20"/>
        </w:rPr>
        <w:t xml:space="preserve"> Meta Quest </w:t>
      </w:r>
      <w:r>
        <w:rPr>
          <w:rFonts w:hint="eastAsia" w:ascii="Times New Roman" w:hAnsi="Times New Roman" w:eastAsia="宋体"/>
          <w:color w:val="000000"/>
          <w:sz w:val="20"/>
        </w:rPr>
        <w:t xml:space="preserve">3。约</w:t>
      </w:r>
      <w:r>
        <w:rPr>
          <w:rFonts w:ascii="Times New Roman" w:hAnsi="Times New Roman" w:eastAsia="宋体"/>
          <w:color w:val="000000"/>
          <w:sz w:val="20"/>
        </w:rPr>
        <w:t xml:space="preserve"> 3 </w:t>
      </w:r>
      <w:r>
        <w:rPr>
          <w:rFonts w:hint="eastAsia" w:ascii="Times New Roman" w:hAnsi="Times New Roman" w:eastAsia="宋体"/>
          <w:color w:val="000000"/>
          <w:sz w:val="20"/>
        </w:rPr>
        <w:t xml:space="preserve">分钟控制器熟悉后，参与者完成样本拾取放置、观察、粗细调焦、物镜和照明调整、SuperAssembly</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探索，并可选使用</w:t>
      </w:r>
      <w:r>
        <w:rPr>
          <w:rFonts w:ascii="Times New Roman" w:hAnsi="Times New Roman" w:eastAsia="宋体"/>
          <w:color w:val="000000"/>
          <w:sz w:val="20"/>
        </w:rPr>
        <w:t xml:space="preserve"> AI。AI </w:t>
      </w:r>
      <w:r>
        <w:rPr>
          <w:rFonts w:hint="eastAsia" w:ascii="Times New Roman" w:hAnsi="Times New Roman" w:eastAsia="宋体"/>
          <w:color w:val="000000"/>
          <w:sz w:val="20"/>
        </w:rPr>
        <w:t xml:space="preserve">并非独立条件，故不能比较有无</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的因果差异。</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任务后填写</w:t>
      </w:r>
      <w:r>
        <w:rPr>
          <w:rFonts w:ascii="Times New Roman" w:hAnsi="Times New Roman" w:eastAsia="宋体"/>
          <w:color w:val="000000"/>
          <w:sz w:val="20"/>
        </w:rPr>
        <w:t xml:space="preserve"> SUS [19]、NASA-TLX [20] </w:t>
      </w:r>
      <w:r>
        <w:rPr>
          <w:rFonts w:hint="eastAsia" w:ascii="Times New Roman" w:hAnsi="Times New Roman" w:eastAsia="宋体"/>
          <w:color w:val="000000"/>
          <w:sz w:val="20"/>
        </w:rPr>
        <w:t xml:space="preserve">并完成约</w:t>
      </w:r>
      <w:r>
        <w:rPr>
          <w:rFonts w:ascii="Times New Roman" w:hAnsi="Times New Roman" w:eastAsia="宋体"/>
          <w:color w:val="000000"/>
          <w:sz w:val="20"/>
        </w:rPr>
        <w:t xml:space="preserve"> 10 </w:t>
      </w:r>
      <w:r>
        <w:rPr>
          <w:rFonts w:hint="eastAsia" w:ascii="Times New Roman" w:hAnsi="Times New Roman" w:eastAsia="宋体"/>
          <w:color w:val="000000"/>
          <w:sz w:val="20"/>
        </w:rPr>
        <w:t xml:space="preserve">分钟访谈。定量分析使用任务完成和量表，访谈仅作形成性反馈，不统计主题频率。</w:t>
      </w:r>
    </w:p>
    <w:bookmarkEnd w:id="31"/>
    <w:bookmarkStart w:id="32" w:name="指标与分析方法"/>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指标与分析方法</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完成率为完成规定流程的比例。SUS</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测量感知可用性</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[19]，NASA-TLX</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采用六维未加权</w:t>
      </w:r>
      <w:r>
        <w:rPr>
          <w:rFonts w:ascii="Times New Roman" w:hAnsi="Times New Roman" w:eastAsia="宋体"/>
          <w:color w:val="000000"/>
          <w:sz w:val="20"/>
        </w:rPr>
        <w:t xml:space="preserve"> Raw TLX </w:t>
      </w:r>
      <w:r>
        <w:rPr>
          <w:rFonts w:hint="eastAsia" w:ascii="Times New Roman" w:hAnsi="Times New Roman" w:eastAsia="宋体"/>
          <w:color w:val="000000"/>
          <w:sz w:val="20"/>
        </w:rPr>
        <w:t xml:space="preserve">[20]，Performance</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低分表示更高的自我表现认可。各项仅作描述性报告，SUS</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不作为知识分数</w:t>
      </w:r>
      <w:r>
        <w:rPr>
          <w:rFonts w:ascii="Times New Roman" w:hAnsi="Times New Roman" w:eastAsia="宋体"/>
          <w:color w:val="000000"/>
          <w:sz w:val="20"/>
        </w:rPr>
        <w:t xml:space="preserve"> [21]、[22]。</w:t>
      </w:r>
    </w:p>
    <w:bookmarkEnd w:id="32"/>
    <w:bookmarkStart w:id="33" w:name="用户研究结果"/>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D. 用户研究结果</w:t>
      </w:r>
    </w:p>
    <w:p>
      <w:pPr>
        <w:pStyle w:val="FirstParagraph"/>
        <w:keepNext/>
        <w:widowControl/>
        <w:spacing w:before="160" w:after="80" w:line="240" w:lineRule="auto"/>
        <w:ind w:firstLine="0" w:left="0" w:right="0"/>
        <w:jc w:val="center"/>
      </w:pPr>
      <w:r>
        <w:rPr>
          <w:rFonts w:ascii="Times New Roman" w:hAnsi="Times New Roman" w:eastAsia="宋体"/>
          <w:b w:val="0"/>
          <w:color w:val="000000"/>
          <w:sz w:val="16"/>
        </w:rPr>
        <w:t>表 IV</w:t>
        <w:br/>
        <w:t>全体参与者的描述性结果（N = 19）。</w:t>
      </w:r>
    </w:p>
    <w:tbl>
      <w:tblPr>
        <w:tblStyle w:val="Table"/>
        <w:tblW w:type="dxa" w:w="50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2520"/>
        <w:gridCol w:w="2520"/>
      </w:tblGrid>
      <w:tr>
        <w:trPr>
          <w:tblHeader w:val="on"/>
          <w:cantSplit/>
          <w:tblHeader/>
        </w:trPr>
        <w:tc>
          <w:tcPr>
            <w:tcW w:type="dxa" w:w="252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指标</w:t>
            </w:r>
          </w:p>
        </w:tc>
        <w:tc>
          <w:tcPr>
            <w:tcW w:type="dxa" w:w="252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结果</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核心任务完成率</w:t>
            </w:r>
          </w:p>
        </w:tc>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18/19（94.7%）</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SUS（0–100）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82.4</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NASA-TLX：心理需求（0–100）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42.9</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NASA-TLX：身体需求（0–100）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27.9</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NASA-TLX：时间压力（0–100）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30.8</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NASA-TLX：自我表现（0–100）*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23.7</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NASA-TLX：付出努力（0–100）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44.7</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NASA-TLX：挫败感（0–100）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24.2</w:t>
            </w:r>
          </w:p>
        </w:tc>
      </w:tr>
      <w:tr>
        <w:trPr>
          <w:cantSplit/>
        </w:trPr>
        <w:tc>
          <w:tcPr>
            <w:tcW w:type="dxa" w:w="252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NASA-TLX：总体负荷（R-TLX，0–100）</w:t>
            </w:r>
          </w:p>
        </w:tc>
        <w:tc>
          <w:tcPr>
            <w:tcW w:type="dxa" w:w="252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32.4</w:t>
            </w:r>
          </w:p>
        </w:tc>
      </w:tr>
    </w:tbl>
    <w:p>
      <w:pPr>
        <w:pStyle w:val="BodyText"/>
        <w:keepNext w:val="0"/>
        <w:widowControl/>
        <w:spacing w:before="40" w:after="120" w:line="240" w:lineRule="auto"/>
        <w:ind w:firstLine="0" w:left="0" w:right="0"/>
        <w:jc w:val="both"/>
      </w:pPr>
      <w:r>
        <w:rPr>
          <w:rFonts w:hint="eastAsia" w:ascii="Times New Roman" w:hAnsi="Times New Roman" w:eastAsia="宋体"/>
          <w:i/>
          <w:color w:val="000000"/>
          <w:sz w:val="16"/>
        </w:rPr>
        <w:t xml:space="preserve">*注：依据标准</w:t>
      </w:r>
      <w:r>
        <w:rPr>
          <w:rFonts w:ascii="Times New Roman" w:hAnsi="Times New Roman" w:eastAsia="宋体"/>
          <w:i/>
          <w:color w:val="000000"/>
          <w:sz w:val="16"/>
        </w:rPr>
        <w:t xml:space="preserve"> NASA-TLX </w:t>
      </w:r>
      <w:r>
        <w:rPr>
          <w:rFonts w:hint="eastAsia" w:ascii="Times New Roman" w:hAnsi="Times New Roman" w:eastAsia="宋体"/>
          <w:i/>
          <w:color w:val="000000"/>
          <w:sz w:val="16"/>
        </w:rPr>
        <w:t xml:space="preserve">负荷导向计分规范</w:t>
      </w:r>
      <w:r>
        <w:rPr>
          <w:rFonts w:ascii="Times New Roman" w:hAnsi="Times New Roman" w:eastAsia="宋体"/>
          <w:i/>
          <w:color w:val="000000"/>
          <w:sz w:val="16"/>
        </w:rPr>
        <w:t xml:space="preserve"> </w:t>
      </w:r>
      <w:r>
        <w:rPr>
          <w:rFonts w:hint="eastAsia" w:ascii="Times New Roman" w:hAnsi="Times New Roman" w:eastAsia="宋体"/>
          <w:i/>
          <w:color w:val="000000"/>
          <w:sz w:val="16"/>
        </w:rPr>
        <w:t xml:space="preserve">[20]，自我表现（Performance）维度中</w:t>
      </w:r>
      <w:r>
        <w:rPr>
          <w:rFonts w:ascii="Times New Roman" w:hAnsi="Times New Roman" w:eastAsia="宋体"/>
          <w:i/>
          <w:color w:val="000000"/>
          <w:sz w:val="16"/>
        </w:rPr>
        <w:t xml:space="preserve"> 0 </w:t>
      </w:r>
      <w:r>
        <w:rPr>
          <w:rFonts w:hint="eastAsia" w:ascii="Times New Roman" w:hAnsi="Times New Roman" w:eastAsia="宋体"/>
          <w:i/>
          <w:color w:val="000000"/>
          <w:sz w:val="16"/>
        </w:rPr>
        <w:t xml:space="preserve">代表优秀/表现极好，100</w:t>
      </w:r>
      <w:r>
        <w:rPr>
          <w:rFonts w:ascii="Times New Roman" w:hAnsi="Times New Roman" w:eastAsia="宋体"/>
          <w:i/>
          <w:color w:val="000000"/>
          <w:sz w:val="16"/>
        </w:rPr>
        <w:t xml:space="preserve"> </w:t>
      </w:r>
      <w:r>
        <w:rPr>
          <w:rFonts w:hint="eastAsia" w:ascii="Times New Roman" w:hAnsi="Times New Roman" w:eastAsia="宋体"/>
          <w:i/>
          <w:color w:val="000000"/>
          <w:sz w:val="16"/>
        </w:rPr>
        <w:t xml:space="preserve">代表较差/失败，较低数值反映参与者对自身任务完成的满意度高。总体负荷为全部</w:t>
      </w:r>
      <w:r>
        <w:rPr>
          <w:rFonts w:ascii="Times New Roman" w:hAnsi="Times New Roman" w:eastAsia="宋体"/>
          <w:i/>
          <w:color w:val="000000"/>
          <w:sz w:val="16"/>
        </w:rPr>
        <w:t xml:space="preserve"> 6 </w:t>
      </w:r>
      <w:r>
        <w:rPr>
          <w:rFonts w:hint="eastAsia" w:ascii="Times New Roman" w:hAnsi="Times New Roman" w:eastAsia="宋体"/>
          <w:i/>
          <w:color w:val="000000"/>
          <w:sz w:val="16"/>
        </w:rPr>
        <w:t xml:space="preserve">个维度的未加权均值（Raw</w:t>
      </w:r>
      <w:r>
        <w:rPr>
          <w:rFonts w:ascii="Times New Roman" w:hAnsi="Times New Roman" w:eastAsia="宋体"/>
          <w:i/>
          <w:color w:val="000000"/>
          <w:sz w:val="16"/>
        </w:rPr>
        <w:t xml:space="preserve"> </w:t>
      </w:r>
      <w:r>
        <w:rPr>
          <w:rFonts w:hint="eastAsia" w:ascii="Times New Roman" w:hAnsi="Times New Roman" w:eastAsia="宋体"/>
          <w:i/>
          <w:color w:val="000000"/>
          <w:sz w:val="16"/>
        </w:rPr>
        <w:t xml:space="preserve">TLX）。</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18 </w:t>
      </w:r>
      <w:r>
        <w:rPr>
          <w:rFonts w:hint="eastAsia" w:ascii="Times New Roman" w:hAnsi="Times New Roman" w:eastAsia="宋体"/>
          <w:color w:val="000000"/>
          <w:sz w:val="20"/>
        </w:rPr>
        <w:t xml:space="preserve">人完成核心流程，支持流程可行性而非光学掌握。SUS</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均值</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82.4，符合较高感知可用性</w:t>
      </w:r>
      <w:r>
        <w:rPr>
          <w:rFonts w:ascii="Times New Roman" w:hAnsi="Times New Roman" w:eastAsia="宋体"/>
          <w:color w:val="000000"/>
          <w:sz w:val="20"/>
        </w:rPr>
        <w:t xml:space="preserve"> [22]。R-TLX </w:t>
      </w:r>
      <w:r>
        <w:rPr>
          <w:rFonts w:hint="eastAsia" w:ascii="Times New Roman" w:hAnsi="Times New Roman" w:eastAsia="宋体"/>
          <w:color w:val="000000"/>
          <w:sz w:val="20"/>
        </w:rPr>
        <w:t xml:space="preserve">为</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32.4/100；付出努力（44.7）和心理需求（42.9）最高，时间压力（30.8）、身体需求（27.9）、挫败感（24.2）和表现（23.7）较低。因无对照和预设维度假设，这一分布仅作描述。</w:t>
      </w:r>
    </w:p>
    <w:bookmarkEnd w:id="33"/>
    <w:bookmarkStart w:id="34" w:name="结果解释与效度边界"/>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E. 结果解释与效度边界</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单组评价支持流程可行性和感知可用性，不支持</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改善学习、降低负荷或替代真实仪器训练的因果结论。SUS</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和</w:t>
      </w:r>
      <w:r>
        <w:rPr>
          <w:rFonts w:ascii="Times New Roman" w:hAnsi="Times New Roman" w:eastAsia="宋体"/>
          <w:color w:val="000000"/>
          <w:sz w:val="20"/>
        </w:rPr>
        <w:t xml:space="preserve"> NASA-TLX </w:t>
      </w:r>
      <w:r>
        <w:rPr>
          <w:rFonts w:hint="eastAsia" w:ascii="Times New Roman" w:hAnsi="Times New Roman" w:eastAsia="宋体"/>
          <w:color w:val="000000"/>
          <w:sz w:val="20"/>
        </w:rPr>
        <w:t xml:space="preserve">不能替代知识前后测、真实设备迁移或专家评分。专业类别样本不均，不作组间比较；语音准确率、延迟、帧率和异常请求鲁棒性需单独测试。</w:t>
      </w:r>
    </w:p>
    <w:bookmarkEnd w:id="34"/>
    <w:bookmarkEnd w:id="35"/>
    <w:bookmarkStart w:id="36" w:name="讨论与局限性"/>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VII. 讨论与局限性</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VRMicroscope </w:t>
      </w:r>
      <w:r>
        <w:rPr>
          <w:rFonts w:hint="eastAsia" w:ascii="Times New Roman" w:hAnsi="Times New Roman" w:eastAsia="宋体"/>
          <w:color w:val="000000"/>
          <w:sz w:val="20"/>
        </w:rPr>
        <w:t xml:space="preserve">显式关联当前部件、可用控制和可观察结果；AI</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在</w:t>
      </w:r>
      <w:r>
        <w:rPr>
          <w:rFonts w:ascii="Times New Roman" w:hAnsi="Times New Roman" w:eastAsia="宋体"/>
          <w:color w:val="000000"/>
          <w:sz w:val="20"/>
        </w:rPr>
        <w:t xml:space="preserve"> VR </w:t>
      </w:r>
      <w:r>
        <w:rPr>
          <w:rFonts w:hint="eastAsia" w:ascii="Times New Roman" w:hAnsi="Times New Roman" w:eastAsia="宋体"/>
          <w:color w:val="000000"/>
          <w:sz w:val="20"/>
        </w:rPr>
        <w:t xml:space="preserve">状态之上解释和指引，而不控制显微镜。状态快照、动作目录和客户端复核降低不存在或过期指令的风险，但不能保证每条自然语言解释均正确。</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人工调焦与亮度映射、简化参数、合成图像及支持范围可视化使本系统属于教学仿真，而非数字孪生。科学真实性需由领域专家审查，并将可比较变量与真实仪器数据标定。</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单组研究适于评价可行性，不足以隔离辅导效果</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[1]、[21]。后续应加入</w:t>
      </w:r>
      <w:r>
        <w:rPr>
          <w:rFonts w:ascii="Times New Roman" w:hAnsi="Times New Roman" w:eastAsia="宋体"/>
          <w:color w:val="000000"/>
          <w:sz w:val="20"/>
        </w:rPr>
        <w:t xml:space="preserve"> AI-on/off </w:t>
      </w:r>
      <w:r>
        <w:rPr>
          <w:rFonts w:hint="eastAsia" w:ascii="Times New Roman" w:hAnsi="Times New Roman" w:eastAsia="宋体"/>
          <w:color w:val="000000"/>
          <w:sz w:val="20"/>
        </w:rPr>
        <w:t xml:space="preserve">或其他辅导对照、概念前后测、专家评分迁移任务，以及</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使用、语音错误和延迟日志。</w:t>
      </w:r>
    </w:p>
    <w:bookmarkEnd w:id="36"/>
    <w:bookmarkStart w:id="37" w:name="结论与后续工作"/>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VIII. 结论与后续工作</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VRMicroscope </w:t>
      </w:r>
      <w:r>
        <w:rPr>
          <w:rFonts w:hint="eastAsia" w:ascii="Times New Roman" w:hAnsi="Times New Roman" w:eastAsia="宋体"/>
          <w:color w:val="000000"/>
          <w:sz w:val="20"/>
        </w:rPr>
        <w:t xml:space="preserve">整合可交互显微实验、具有科学边界的光学模块和任务状态感知</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AI，并校验可用动作及过期建议。19</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人中</w:t>
      </w:r>
      <w:r>
        <w:rPr>
          <w:rFonts w:ascii="Times New Roman" w:hAnsi="Times New Roman" w:eastAsia="宋体"/>
          <w:color w:val="000000"/>
          <w:sz w:val="20"/>
        </w:rPr>
        <w:t xml:space="preserve"> 18 </w:t>
      </w:r>
      <w:r>
        <w:rPr>
          <w:rFonts w:hint="eastAsia" w:ascii="Times New Roman" w:hAnsi="Times New Roman" w:eastAsia="宋体"/>
          <w:color w:val="000000"/>
          <w:sz w:val="20"/>
        </w:rPr>
        <w:t xml:space="preserve">人完成核心流程，SUS</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均值为</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82.4/100，支持流程可行性和感知可用性，而非</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的因果学习增益。后续将评价</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增量价值、知识与真实仪器迁移，并记录语音、模型和渲染性能。</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后续将以固定状态情境开展真实模型指引评价，区分动作可用性与学习目标匹配性，报告包含修复和审核的最终结果及端到端延迟，并单独分析范围外问题。该评价尚未实施。</w:t>
      </w:r>
    </w:p>
    <w:bookmarkEnd w:id="37"/>
    <w:bookmarkStart w:id="38" w:name="研究伦理与生成式-ai-使用说明"/>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研究伦理与生成式 AI 使用说明</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本研究涉及对教育虚拟现实软件的探索性可用性评估，参与者均为非易感成年人。根据作者所在机构的研究伦理指南，该方案被归类为涉及匿名反馈的极低风险教育技术评估，获免于进行全流程机构伦理审查。在参与研究前，所有参与者均已被告知研究目的与数据收集程序，并获得了口头/书面知情同意。参与者可随时退出研究，且不承担任何不利后果。</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Codex </w:t>
      </w:r>
      <w:r>
        <w:rPr>
          <w:rFonts w:hint="eastAsia" w:ascii="Times New Roman" w:hAnsi="Times New Roman" w:eastAsia="宋体"/>
          <w:color w:val="000000"/>
          <w:sz w:val="20"/>
        </w:rPr>
        <w:t xml:space="preserve">用于辅助代码实现及论文内容生成、修订和一致性检查，DeepSeek</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用于系统运行时问答。人类作者负责核实实现描述、研究记录、分析及引用。</w:t>
      </w:r>
    </w:p>
    <w:bookmarkEnd w:id="38"/>
    <w:bookmarkStart w:id="61" w:name="参考文献"/>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参考文献</w:t>
      </w:r>
    </w:p>
    <w:p>
      <w:pPr>
        <w:pStyle w:val="FirstParagraph"/>
        <w:keepNext w:val="0"/>
        <w:widowControl/>
        <w:spacing w:before="0" w:after="60" w:line="240" w:lineRule="auto"/>
        <w:ind w:left="288" w:right="0" w:hanging="288"/>
        <w:jc w:val="left"/>
      </w:pPr>
      <w:r>
        <w:rPr>
          <w:rFonts w:ascii="Times New Roman" w:hAnsi="Times New Roman" w:eastAsia="宋体"/>
          <w:color w:val="000000"/>
          <w:sz w:val="16"/>
        </w:rPr>
        <w:t xml:space="preserve">[1] V. Chheang et al., “Towards Anatomy Education with Generative AI-based Virtual Assistants in Immersive Virtual Reality Environments,”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2024 IEEE Int. Conf. on Artificial Intelligence and eXtended and Virtual Reality (AIxVR)</w:t>
      </w:r>
      <w:r>
        <w:rPr>
          <w:rFonts w:ascii="Times New Roman" w:hAnsi="Times New Roman" w:eastAsia="宋体"/>
          <w:color w:val="000000"/>
          <w:sz w:val="16"/>
        </w:rPr>
        <w:t xml:space="preserve">, pp. 21–30, 2024.</w:t>
      </w:r>
      <w:r>
        <w:rPr>
          <w:rFonts w:ascii="Times New Roman" w:hAnsi="Times New Roman" w:eastAsia="宋体"/>
          <w:color w:val="000000"/>
          <w:sz w:val="16"/>
        </w:rPr>
        <w:t xml:space="preserve"> </w:t>
      </w:r>
      <w:hyperlink r:id="rId39">
        <w:r>
          <w:rPr>
            <w:rStyle w:val="Hyperlink"/>
          </w:rPr>
          <w:t xml:space="preserve">doi:10.1109/AIxVR59861.2024.00011</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 A. Geris and G. Alce, “Real-Time Voice-Based LLM Integration for XR Tutoring: A Prototype Implementation,”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2026 IEEE Int. Conf. on Artificial Intelligence and eXtended and Virtual Reality (AIxVR)</w:t>
      </w:r>
      <w:r>
        <w:rPr>
          <w:rFonts w:ascii="Times New Roman" w:hAnsi="Times New Roman" w:eastAsia="宋体"/>
          <w:color w:val="000000"/>
          <w:sz w:val="16"/>
        </w:rPr>
        <w:t xml:space="preserve">, pp. 285–289, 2026.</w:t>
      </w:r>
      <w:r>
        <w:rPr>
          <w:rFonts w:ascii="Times New Roman" w:hAnsi="Times New Roman" w:eastAsia="宋体"/>
          <w:color w:val="000000"/>
          <w:sz w:val="16"/>
        </w:rPr>
        <w:t xml:space="preserve"> </w:t>
      </w:r>
      <w:hyperlink r:id="rId40">
        <w:r>
          <w:rPr>
            <w:rStyle w:val="Hyperlink"/>
          </w:rPr>
          <w:t xml:space="preserve">doi:10.1109/AIxVR67263.2026.00050</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[3] D. Wang et al., “SpatialTutor: Object-Aware Mixed Reality Training for Procedural Medical Skills Training with AI-Driven Support,”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2026 IEEE Int. Conf. on Artificial Intelligence and eXtended and Virtual Reality (AIxVR)</w:t>
      </w:r>
      <w:r>
        <w:rPr>
          <w:rFonts w:ascii="Times New Roman" w:hAnsi="Times New Roman" w:eastAsia="宋体"/>
          <w:color w:val="000000"/>
          <w:sz w:val="16"/>
        </w:rPr>
        <w:t xml:space="preserve">, pp. 57–66, 2026.</w:t>
      </w:r>
      <w:r>
        <w:rPr>
          <w:rFonts w:ascii="Times New Roman" w:hAnsi="Times New Roman" w:eastAsia="宋体"/>
          <w:color w:val="000000"/>
          <w:sz w:val="16"/>
        </w:rPr>
        <w:t xml:space="preserve"> </w:t>
      </w:r>
      <w:hyperlink r:id="rId41">
        <w:r>
          <w:rPr>
            <w:rStyle w:val="Hyperlink"/>
          </w:rPr>
          <w:t xml:space="preserve">doi:10.1109/AIxVR67263.2026.00016</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[4] J. Jonkman et al., “Tutorial: guidance for quantitative confocal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Nature Protocols</w:t>
      </w:r>
      <w:r>
        <w:rPr>
          <w:rFonts w:ascii="Times New Roman" w:hAnsi="Times New Roman" w:eastAsia="宋体"/>
          <w:color w:val="000000"/>
          <w:sz w:val="16"/>
        </w:rPr>
        <w:t xml:space="preserve">, vol. 15, pp. 1585–1611, 2020.</w:t>
      </w:r>
      <w:r>
        <w:rPr>
          <w:rFonts w:ascii="Times New Roman" w:hAnsi="Times New Roman" w:eastAsia="宋体"/>
          <w:color w:val="000000"/>
          <w:sz w:val="16"/>
        </w:rPr>
        <w:t xml:space="preserve"> </w:t>
      </w:r>
      <w:hyperlink r:id="rId42">
        <w:r>
          <w:rPr>
            <w:rStyle w:val="Hyperlink"/>
          </w:rPr>
          <w:t xml:space="preserve">doi:10.1038/s41596-020-0313-9</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[5] Carl ZEISS Microscopy, “Numerical Aperture and Light Cone Geometry.”</w:t>
      </w:r>
      <w:r>
        <w:rPr>
          <w:rFonts w:ascii="Times New Roman" w:hAnsi="Times New Roman" w:eastAsia="宋体"/>
          <w:color w:val="000000"/>
          <w:sz w:val="16"/>
        </w:rPr>
        <w:t xml:space="preserve"> </w:t>
      </w:r>
      <w:hyperlink r:id="rId43">
        <w:r>
          <w:rPr>
            <w:rStyle w:val="Hyperlink"/>
          </w:rPr>
          <w:t xml:space="preserve">Online tutorial</w:t>
        </w:r>
      </w:hyperlink>
      <w:r>
        <w:rPr>
          <w:rFonts w:ascii="Times New Roman" w:hAnsi="Times New Roman" w:eastAsia="宋体"/>
          <w:color w:val="000000"/>
          <w:sz w:val="16"/>
        </w:rPr>
        <w:t xml:space="preserve">. Accessed Sep. 13, 2026.</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[6] Carl ZEISS Microscopy, “Spatial Frequency and Image Resolution.”</w:t>
      </w:r>
      <w:r>
        <w:rPr>
          <w:rFonts w:ascii="Times New Roman" w:hAnsi="Times New Roman" w:eastAsia="宋体"/>
          <w:color w:val="000000"/>
          <w:sz w:val="16"/>
        </w:rPr>
        <w:t xml:space="preserve"> </w:t>
      </w:r>
      <w:hyperlink r:id="rId44">
        <w:r>
          <w:rPr>
            <w:rStyle w:val="Hyperlink"/>
          </w:rPr>
          <w:t xml:space="preserve">Online tutorial</w:t>
        </w:r>
      </w:hyperlink>
      <w:r>
        <w:rPr>
          <w:rFonts w:ascii="Times New Roman" w:hAnsi="Times New Roman" w:eastAsia="宋体"/>
          <w:color w:val="000000"/>
          <w:sz w:val="16"/>
        </w:rPr>
        <w:t xml:space="preserve">. Accessed Sep. 13, 2026.</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[7] C. Eggeling, K. I. Willig, S. J. Sahl, and S. W. Hell, “Lens-based fluorescence nanoscopy,”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Quarterly Reviews of Biophysics</w:t>
      </w:r>
      <w:r>
        <w:rPr>
          <w:rFonts w:ascii="Times New Roman" w:hAnsi="Times New Roman" w:eastAsia="宋体"/>
          <w:color w:val="000000"/>
          <w:sz w:val="16"/>
        </w:rPr>
        <w:t xml:space="preserve">, vol. 48, no. 2, pp. 178–243, 2015.</w:t>
      </w:r>
      <w:r>
        <w:rPr>
          <w:rFonts w:ascii="Times New Roman" w:hAnsi="Times New Roman" w:eastAsia="宋体"/>
          <w:color w:val="000000"/>
          <w:sz w:val="16"/>
        </w:rPr>
        <w:t xml:space="preserve"> </w:t>
      </w:r>
      <w:hyperlink r:id="rId45">
        <w:r>
          <w:rPr>
            <w:rStyle w:val="Hyperlink"/>
          </w:rPr>
          <w:t xml:space="preserve">doi:10.1017/S0033583514000146</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[8] E. Abbe, “Beiträge zur Theorie des Mikroskops und der mikroskopischen Wahrnehmung,”</w:t>
      </w:r>
      <w:r>
        <w:rPr>
          <w:rFonts w:ascii="Times New Roman" w:hAnsi="Times New Roman" w:eastAsia="宋体"/>
          <w:color w:val="000000"/>
          <w:sz w:val="16"/>
        </w:rPr>
        <w:t xml:space="preserve"> </w:t>
      </w:r>
      <w:r>
        <w:rPr>
          <w:rFonts w:ascii="Times New Roman" w:hAnsi="Times New Roman" w:eastAsia="宋体"/>
          <w:i/>
          <w:iCs/>
          <w:color w:val="000000"/>
          <w:sz w:val="16"/>
        </w:rPr>
        <w:t xml:space="preserve">Archiv für Mikroskopische Anatomie</w:t>
      </w:r>
      <w:r>
        <w:rPr>
          <w:rFonts w:ascii="Times New Roman" w:hAnsi="Times New Roman" w:eastAsia="宋体"/>
          <w:color w:val="000000"/>
          <w:sz w:val="16"/>
        </w:rPr>
        <w:t xml:space="preserve">, vol. 9, no. 1, pp. 413–468, 1873.</w:t>
      </w:r>
      <w:r>
        <w:rPr>
          <w:rFonts w:ascii="Times New Roman" w:hAnsi="Times New Roman" w:eastAsia="宋体"/>
          <w:color w:val="000000"/>
          <w:sz w:val="16"/>
        </w:rPr>
        <w:t xml:space="preserve"> </w:t>
      </w:r>
      <w:hyperlink r:id="rId46">
        <w:r>
          <w:rPr>
            <w:rStyle w:val="Hyperlink"/>
          </w:rPr>
          <w:t xml:space="preserve">doi:10.1007/BF02956173</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[9] S. B. Mehta and R. Oldenbourg, “Image simulation for biological microscopy: microlith,”</w:t>
      </w:r>
      <w:r>
        <w:rPr>
          <w:rFonts w:ascii="Times New Roman" w:hAnsi="Times New Roman" w:eastAsia="宋体"/>
          <w:color w:val="000000"/>
          <w:sz w:val="16"/>
        </w:rPr>
        <w:t xml:space="preserve"> </w:t>
      </w:r>
      <w:r>
        <w:rPr>
          <w:rFonts w:ascii="Times New Roman" w:hAnsi="Times New Roman" w:eastAsia="宋体"/>
          <w:i/>
          <w:iCs/>
          <w:color w:val="000000"/>
          <w:sz w:val="16"/>
        </w:rPr>
        <w:t xml:space="preserve">Biomedical Optics Express</w:t>
      </w:r>
      <w:r>
        <w:rPr>
          <w:rFonts w:ascii="Times New Roman" w:hAnsi="Times New Roman" w:eastAsia="宋体"/>
          <w:color w:val="000000"/>
          <w:sz w:val="16"/>
        </w:rPr>
        <w:t xml:space="preserve">, vol. 5, no. 6, pp. 1822–1838, 2014.</w:t>
      </w:r>
      <w:r>
        <w:rPr>
          <w:rFonts w:ascii="Times New Roman" w:hAnsi="Times New Roman" w:eastAsia="宋体"/>
          <w:color w:val="000000"/>
          <w:sz w:val="16"/>
        </w:rPr>
        <w:t xml:space="preserve"> </w:t>
      </w:r>
      <w:hyperlink r:id="rId47">
        <w:r>
          <w:rPr>
            <w:rStyle w:val="Hyperlink"/>
          </w:rPr>
          <w:t xml:space="preserve">doi:10.1364/BOE.5.001822</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[10] F. J. Harris, “On the Use of Windows for Harmonic Analysis with the Discrete Fourier Transform,”</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Proceedings of the IEEE</w:t>
      </w:r>
      <w:r>
        <w:rPr>
          <w:rFonts w:ascii="Times New Roman" w:hAnsi="Times New Roman" w:eastAsia="宋体"/>
          <w:color w:val="000000"/>
          <w:sz w:val="16"/>
        </w:rPr>
        <w:t xml:space="preserve">, vol. 66, no. 1, pp. 51–83, 1978.</w:t>
      </w:r>
      <w:r>
        <w:rPr>
          <w:rFonts w:ascii="Times New Roman" w:hAnsi="Times New Roman" w:eastAsia="宋体"/>
          <w:color w:val="000000"/>
          <w:sz w:val="16"/>
        </w:rPr>
        <w:t xml:space="preserve"> </w:t>
      </w:r>
      <w:hyperlink r:id="rId48">
        <w:r>
          <w:rPr>
            <w:rStyle w:val="Hyperlink"/>
          </w:rPr>
          <w:t xml:space="preserve">doi:10.1109/PROC.1978.10837</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[11] J. W. Cooley and J. W. Tukey, “An Algorithm for the Machine Calculation of Complex Fourier Series,”</w:t>
      </w:r>
      <w:r>
        <w:rPr>
          <w:rFonts w:ascii="Times New Roman" w:hAnsi="Times New Roman" w:eastAsia="宋体"/>
          <w:color w:val="000000"/>
          <w:sz w:val="16"/>
        </w:rPr>
        <w:t xml:space="preserve"> </w:t>
      </w:r>
      <w:r>
        <w:rPr>
          <w:rFonts w:ascii="Times New Roman" w:hAnsi="Times New Roman" w:eastAsia="宋体"/>
          <w:i/>
          <w:iCs/>
          <w:color w:val="000000"/>
          <w:sz w:val="16"/>
        </w:rPr>
        <w:t xml:space="preserve">Mathematics of Computation</w:t>
      </w:r>
      <w:r>
        <w:rPr>
          <w:rFonts w:ascii="Times New Roman" w:hAnsi="Times New Roman" w:eastAsia="宋体"/>
          <w:color w:val="000000"/>
          <w:sz w:val="16"/>
        </w:rPr>
        <w:t xml:space="preserve">, vol. 19, no. 90, pp. 297–301, 1965.</w:t>
      </w:r>
      <w:r>
        <w:rPr>
          <w:rFonts w:ascii="Times New Roman" w:hAnsi="Times New Roman" w:eastAsia="宋体"/>
          <w:color w:val="000000"/>
          <w:sz w:val="16"/>
        </w:rPr>
        <w:t xml:space="preserve"> </w:t>
      </w:r>
      <w:hyperlink r:id="rId49">
        <w:r>
          <w:rPr>
            <w:rStyle w:val="Hyperlink"/>
          </w:rPr>
          <w:t xml:space="preserve">doi:10.1090/S0025-5718-1965-0178586-1</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[12] M. G. L. Gustafsson, “Surpassing the lateral resolution limit by a factor of two using structured illumination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Journal of Microscopy</w:t>
      </w:r>
      <w:r>
        <w:rPr>
          <w:rFonts w:ascii="Times New Roman" w:hAnsi="Times New Roman" w:eastAsia="宋体"/>
          <w:color w:val="000000"/>
          <w:sz w:val="16"/>
        </w:rPr>
        <w:t xml:space="preserve">, vol. 198, no. 2, pp. 82–87, 2000.</w:t>
      </w:r>
      <w:r>
        <w:rPr>
          <w:rFonts w:ascii="Times New Roman" w:hAnsi="Times New Roman" w:eastAsia="宋体"/>
          <w:color w:val="000000"/>
          <w:sz w:val="16"/>
        </w:rPr>
        <w:t xml:space="preserve"> </w:t>
      </w:r>
      <w:hyperlink r:id="rId50">
        <w:r>
          <w:rPr>
            <w:rStyle w:val="Hyperlink"/>
          </w:rPr>
          <w:t xml:space="preserve">doi:10.1046/j.1365-2818.2000.00710.x</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[13] R. Heintzmann and T. Huser, “Super-Resolution Structured Illumination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Chemical Reviews</w:t>
      </w:r>
      <w:r>
        <w:rPr>
          <w:rFonts w:ascii="Times New Roman" w:hAnsi="Times New Roman" w:eastAsia="宋体"/>
          <w:color w:val="000000"/>
          <w:sz w:val="16"/>
        </w:rPr>
        <w:t xml:space="preserve">, vol. 117, no. 23, pp. 13890–13908, 2017.</w:t>
      </w:r>
      <w:r>
        <w:rPr>
          <w:rFonts w:ascii="Times New Roman" w:hAnsi="Times New Roman" w:eastAsia="宋体"/>
          <w:color w:val="000000"/>
          <w:sz w:val="16"/>
        </w:rPr>
        <w:t xml:space="preserve"> </w:t>
      </w:r>
      <w:hyperlink r:id="rId51">
        <w:r>
          <w:rPr>
            <w:rStyle w:val="Hyperlink"/>
          </w:rPr>
          <w:t xml:space="preserve">doi:10.1021/acs.chemrev.7b00218</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[14] P. U. Jepsen, D. G. Cooke, and M. Koch, “Terahertz spectroscopy and imaging – Modern techniques and applications,”</w:t>
      </w:r>
      <w:r>
        <w:rPr>
          <w:rFonts w:ascii="Times New Roman" w:hAnsi="Times New Roman" w:eastAsia="宋体"/>
          <w:color w:val="000000"/>
          <w:sz w:val="16"/>
        </w:rPr>
        <w:t xml:space="preserve"> </w:t>
      </w:r>
      <w:r>
        <w:rPr>
          <w:rFonts w:ascii="Times New Roman" w:hAnsi="Times New Roman" w:eastAsia="宋体"/>
          <w:i/>
          <w:iCs/>
          <w:color w:val="000000"/>
          <w:sz w:val="16"/>
        </w:rPr>
        <w:t xml:space="preserve">Laser &amp; Photonics Reviews</w:t>
      </w:r>
      <w:r>
        <w:rPr>
          <w:rFonts w:ascii="Times New Roman" w:hAnsi="Times New Roman" w:eastAsia="宋体"/>
          <w:color w:val="000000"/>
          <w:sz w:val="16"/>
        </w:rPr>
        <w:t xml:space="preserve">, vol. 5, no. 1, pp. 124–166, 2011.</w:t>
      </w:r>
      <w:r>
        <w:rPr>
          <w:rFonts w:ascii="Times New Roman" w:hAnsi="Times New Roman" w:eastAsia="宋体"/>
          <w:color w:val="000000"/>
          <w:sz w:val="16"/>
        </w:rPr>
        <w:t xml:space="preserve"> </w:t>
      </w:r>
      <w:hyperlink r:id="rId52">
        <w:r>
          <w:rPr>
            <w:rStyle w:val="Hyperlink"/>
          </w:rPr>
          <w:t xml:space="preserve">doi:10.1002/lpor.201000011</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[15] T. L. Cocker</w:t>
      </w:r>
      <w:r>
        <w:rPr>
          <w:rFonts w:ascii="Times New Roman" w:hAnsi="Times New Roman" w:eastAsia="宋体"/>
          <w:color w:val="000000"/>
          <w:sz w:val="16"/>
        </w:rPr>
        <w:t xml:space="preserve"> </w:t>
      </w:r>
      <w:r>
        <w:rPr>
          <w:rFonts w:ascii="Times New Roman" w:hAnsi="Times New Roman" w:eastAsia="宋体"/>
          <w:i/>
          <w:iCs/>
          <w:color w:val="000000"/>
          <w:sz w:val="16"/>
        </w:rPr>
        <w:t xml:space="preserve">et al</w:t>
      </w:r>
      <w:r>
        <w:rPr>
          <w:rFonts w:ascii="Times New Roman" w:hAnsi="Times New Roman" w:eastAsia="宋体"/>
          <w:color w:val="000000"/>
          <w:sz w:val="16"/>
        </w:rPr>
        <w:t xml:space="preserve">., “Nanoscale terahertz scanning probe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Nature Photonics</w:t>
      </w:r>
      <w:r>
        <w:rPr>
          <w:rFonts w:ascii="Times New Roman" w:hAnsi="Times New Roman" w:eastAsia="宋体"/>
          <w:color w:val="000000"/>
          <w:sz w:val="16"/>
        </w:rPr>
        <w:t xml:space="preserve">, vol. 15, pp. 558–569, 2021.</w:t>
      </w:r>
      <w:r>
        <w:rPr>
          <w:rFonts w:ascii="Times New Roman" w:hAnsi="Times New Roman" w:eastAsia="宋体"/>
          <w:color w:val="000000"/>
          <w:sz w:val="16"/>
        </w:rPr>
        <w:t xml:space="preserve"> </w:t>
      </w:r>
      <w:hyperlink r:id="rId53">
        <w:r>
          <w:rPr>
            <w:rStyle w:val="Hyperlink"/>
          </w:rPr>
          <w:t xml:space="preserve">doi:10.1038/s41566-021-00835-6</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[16] F. Keilmann and R. Hillenbrand, “Near-field microscopy by elastic light scattering from a tip,”</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Philosophical Transactions of the Royal Society A: Mathematical, Physical and Engineering Sciences</w:t>
      </w:r>
      <w:r>
        <w:rPr>
          <w:rFonts w:ascii="Times New Roman" w:hAnsi="Times New Roman" w:eastAsia="宋体"/>
          <w:color w:val="000000"/>
          <w:sz w:val="16"/>
        </w:rPr>
        <w:t xml:space="preserve">, vol. 362, no. 1817, pp. 787–805, 2004.</w:t>
      </w:r>
      <w:r>
        <w:rPr>
          <w:rFonts w:ascii="Times New Roman" w:hAnsi="Times New Roman" w:eastAsia="宋体"/>
          <w:color w:val="000000"/>
          <w:sz w:val="16"/>
        </w:rPr>
        <w:t xml:space="preserve"> </w:t>
      </w:r>
      <w:hyperlink r:id="rId54">
        <w:r>
          <w:rPr>
            <w:rStyle w:val="Hyperlink"/>
          </w:rPr>
          <w:t xml:space="preserve">doi:10.1098/rsta.2003.1347</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[17] R. Hillenbrand, B. Knoll, and F. Keilmann, “Pure optical contrast in scattering-type scanning near-field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Journal of Microscopy</w:t>
      </w:r>
      <w:r>
        <w:rPr>
          <w:rFonts w:ascii="Times New Roman" w:hAnsi="Times New Roman" w:eastAsia="宋体"/>
          <w:color w:val="000000"/>
          <w:sz w:val="16"/>
        </w:rPr>
        <w:t xml:space="preserve">, vol. 202, no. 1, pp. 77–83, 2001.</w:t>
      </w:r>
      <w:r>
        <w:rPr>
          <w:rFonts w:ascii="Times New Roman" w:hAnsi="Times New Roman" w:eastAsia="宋体"/>
          <w:color w:val="000000"/>
          <w:sz w:val="16"/>
        </w:rPr>
        <w:t xml:space="preserve"> </w:t>
      </w:r>
      <w:hyperlink r:id="rId55">
        <w:r>
          <w:rPr>
            <w:rStyle w:val="Hyperlink"/>
          </w:rPr>
          <w:t xml:space="preserve">doi:10.1046/j.1365-2818.2001.00794.x</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[18] Groq, “Speech to Text.”</w:t>
      </w:r>
      <w:r>
        <w:rPr>
          <w:rFonts w:ascii="Times New Roman" w:hAnsi="Times New Roman" w:eastAsia="宋体"/>
          <w:color w:val="000000"/>
          <w:sz w:val="16"/>
        </w:rPr>
        <w:t xml:space="preserve"> </w:t>
      </w:r>
      <w:hyperlink r:id="rId56">
        <w:r>
          <w:rPr>
            <w:rStyle w:val="Hyperlink"/>
          </w:rPr>
          <w:t xml:space="preserve">API documentation</w:t>
        </w:r>
      </w:hyperlink>
      <w:r>
        <w:rPr>
          <w:rFonts w:ascii="Times New Roman" w:hAnsi="Times New Roman" w:eastAsia="宋体"/>
          <w:color w:val="000000"/>
          <w:sz w:val="16"/>
        </w:rPr>
        <w:t xml:space="preserve">. Accessed Sep. 13, 2026.</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[19] J. Brooke, “SUS: A ‘Quick and Dirty’ Usability Scale,”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Usability Evaluation in Industry</w:t>
      </w:r>
      <w:r>
        <w:rPr>
          <w:rFonts w:ascii="Times New Roman" w:hAnsi="Times New Roman" w:eastAsia="宋体"/>
          <w:color w:val="000000"/>
          <w:sz w:val="16"/>
        </w:rPr>
        <w:t xml:space="preserve">, 1996.</w:t>
      </w:r>
      <w:r>
        <w:rPr>
          <w:rFonts w:ascii="Times New Roman" w:hAnsi="Times New Roman" w:eastAsia="宋体"/>
          <w:color w:val="000000"/>
          <w:sz w:val="16"/>
        </w:rPr>
        <w:t xml:space="preserve"> </w:t>
      </w:r>
      <w:hyperlink r:id="rId57">
        <w:r>
          <w:rPr>
            <w:rStyle w:val="Hyperlink"/>
          </w:rPr>
          <w:t xml:space="preserve">doi:10.1201/9781498710411-35</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[20] S. G. Hart and L. E. Staveland, “Development of NASA-TLX (Task Load Index): Results of empirical and theoretical research,”</w:t>
      </w:r>
      <w:r>
        <w:rPr>
          <w:rFonts w:ascii="Times New Roman" w:hAnsi="Times New Roman" w:eastAsia="宋体"/>
          <w:color w:val="000000"/>
          <w:sz w:val="16"/>
        </w:rPr>
        <w:t xml:space="preserve"> </w:t>
      </w:r>
      <w:r>
        <w:rPr>
          <w:rFonts w:ascii="Times New Roman" w:hAnsi="Times New Roman" w:eastAsia="宋体"/>
          <w:i/>
          <w:iCs/>
          <w:color w:val="000000"/>
          <w:sz w:val="16"/>
        </w:rPr>
        <w:t xml:space="preserve">Advances in Psychology</w:t>
      </w:r>
      <w:r>
        <w:rPr>
          <w:rFonts w:ascii="Times New Roman" w:hAnsi="Times New Roman" w:eastAsia="宋体"/>
          <w:color w:val="000000"/>
          <w:sz w:val="16"/>
        </w:rPr>
        <w:t xml:space="preserve">, vol. 52, pp. 139–183, 1988.</w:t>
      </w:r>
      <w:r>
        <w:rPr>
          <w:rFonts w:ascii="Times New Roman" w:hAnsi="Times New Roman" w:eastAsia="宋体"/>
          <w:color w:val="000000"/>
          <w:sz w:val="16"/>
        </w:rPr>
        <w:t xml:space="preserve"> </w:t>
      </w:r>
      <w:hyperlink r:id="rId58">
        <w:r>
          <w:rPr>
            <w:rStyle w:val="Hyperlink"/>
          </w:rPr>
          <w:t xml:space="preserve">Author text hosted by NASA</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[21] Y. Duan, X. Xu, H. He, Y. Gu, S. Li, and J. Bueno Vesga, “Supplementing Patient Encounter Training for Preservice Nurses: Towards an AI×VR Approach,”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2026 IEEE Int. Conf. on Artificial Intelligence and eXtended and Virtual Reality (AIxVR)</w:t>
      </w:r>
      <w:r>
        <w:rPr>
          <w:rFonts w:ascii="Times New Roman" w:hAnsi="Times New Roman" w:eastAsia="宋体"/>
          <w:color w:val="000000"/>
          <w:sz w:val="16"/>
        </w:rPr>
        <w:t xml:space="preserve">, pp. 98–107, 2026.</w:t>
      </w:r>
      <w:r>
        <w:rPr>
          <w:rFonts w:ascii="Times New Roman" w:hAnsi="Times New Roman" w:eastAsia="宋体"/>
          <w:color w:val="000000"/>
          <w:sz w:val="16"/>
        </w:rPr>
        <w:t xml:space="preserve"> </w:t>
      </w:r>
      <w:hyperlink r:id="rId59">
        <w:r>
          <w:rPr>
            <w:rStyle w:val="Hyperlink"/>
          </w:rPr>
          <w:t xml:space="preserve">doi:10.1109/AIxVR67263.2026.00020</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[22] A. Bangor, P. T. Kortum, and J. T. Miller, “An Empirical Evaluation of the System Usability Scale,”</w:t>
      </w:r>
      <w:r>
        <w:rPr>
          <w:rFonts w:ascii="Times New Roman" w:hAnsi="Times New Roman" w:eastAsia="宋体"/>
          <w:color w:val="000000"/>
          <w:sz w:val="16"/>
        </w:rPr>
        <w:t xml:space="preserve"> </w:t>
      </w:r>
      <w:r>
        <w:rPr>
          <w:rFonts w:ascii="Times New Roman" w:hAnsi="Times New Roman" w:eastAsia="宋体"/>
          <w:i/>
          <w:iCs/>
          <w:color w:val="000000"/>
          <w:sz w:val="16"/>
        </w:rPr>
        <w:t xml:space="preserve">International Journal of Human–Computer Interaction</w:t>
      </w:r>
      <w:r>
        <w:rPr>
          <w:rFonts w:ascii="Times New Roman" w:hAnsi="Times New Roman" w:eastAsia="宋体"/>
          <w:color w:val="000000"/>
          <w:sz w:val="16"/>
        </w:rPr>
        <w:t xml:space="preserve">, vol. 24, no. 6, pp. 574–594, 2008.</w:t>
      </w:r>
      <w:r>
        <w:rPr>
          <w:rFonts w:ascii="Times New Roman" w:hAnsi="Times New Roman" w:eastAsia="宋体"/>
          <w:color w:val="000000"/>
          <w:sz w:val="16"/>
        </w:rPr>
        <w:t xml:space="preserve"> </w:t>
      </w:r>
      <w:hyperlink r:id="rId60">
        <w:r>
          <w:rPr>
            <w:rStyle w:val="Hyperlink"/>
          </w:rPr>
          <w:t xml:space="preserve">doi:10.1080/10447310802205776</w:t>
        </w:r>
      </w:hyperlink>
      <w:r>
        <w:rPr>
          <w:rFonts w:ascii="Times New Roman" w:hAnsi="Times New Roman" w:eastAsia="宋体"/>
          <w:color w:val="000000"/>
          <w:sz w:val="16"/>
        </w:rPr>
        <w:t xml:space="preserve">.</w:t>
      </w:r>
    </w:p>
    <w:bookmarkEnd w:id="61"/>
    <w:bookmarkEnd w:id="62"/>
    <w:sectPr>
      <w:type w:val="continuous"/>
      <w:footnotePr>
        <w:numRestart w:val="eachSect"/>
      </w:footnotePr>
      <w:pgSz w:w="12240" w:h="15840"/>
      <w:pgMar w:top="1080" w:bottom="1440" w:left="900" w:right="900" w:header="432" w:footer="432"/>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0" w:line="240" w:lineRule="auto"/>
    </w:pPr>
    <w:rPr>
      <w:rFonts w:ascii="Times New Roman" w:hAnsi="Times New Roman" w:eastAsia="宋体"/>
      <w:sz w:val="20"/>
    </w:rPr>
  </w:style>
  <w:style w:styleId="BodyText" w:type="paragraph">
    <w:name w:val="Body Text"/>
    <w:basedOn w:val="Normal"/>
    <w:link w:val="BodyTextChar"/>
    <w:qFormat/>
    <w:pPr>
      <w:widowControl/>
      <w:spacing w:after="0" w:before="0" w:line="240" w:lineRule="auto"/>
    </w:pPr>
    <w:rPr>
      <w:rFonts w:ascii="Times New Roman" w:hAnsi="Times New Roman" w:eastAsia="宋体"/>
      <w:sz w:val="20"/>
    </w:rPr>
  </w:style>
  <w:style w:customStyle="1" w:styleId="FirstParagraph" w:type="paragraph">
    <w:name w:val="First Paragraph"/>
    <w:basedOn w:val="BodyText"/>
    <w:next w:val="BodyText"/>
    <w:qFormat/>
    <w:pPr>
      <w:widowControl/>
      <w:spacing w:before="0" w:after="0" w:line="240" w:lineRule="auto"/>
    </w:pPr>
    <w:rPr>
      <w:rFonts w:ascii="Times New Roman" w:hAnsi="Times New Roman" w:eastAsia="宋体"/>
      <w:sz w:val="20"/>
    </w:rPr>
  </w:style>
  <w:style w:customStyle="1" w:styleId="Compact" w:type="paragraph">
    <w:name w:val="Compact"/>
    <w:basedOn w:val="BodyText"/>
    <w:qFormat/>
    <w:pPr>
      <w:widowControl/>
      <w:spacing w:after="0" w:before="0" w:line="240" w:lineRule="auto"/>
    </w:pPr>
    <w:rPr>
      <w:rFonts w:ascii="Times New Roman" w:hAnsi="Times New Roman" w:eastAsia="宋体"/>
      <w:sz w:val="20"/>
    </w:rPr>
  </w:style>
  <w:style w:styleId="Title" w:type="paragraph">
    <w:name w:val="Title"/>
    <w:basedOn w:val="Normal"/>
    <w:next w:val="BodyText"/>
    <w:link w:val="TitleChar"/>
    <w:uiPriority w:val="10"/>
    <w:qFormat/>
    <w:rsid w:val="00A10FD9"/>
    <w:pPr>
      <w:keepNext w:val="0"/>
      <w:pageBreakBefore w:val="0"/>
      <w:spacing w:after="80" w:line="240" w:lineRule="auto"/>
      <w:contextualSpacing/>
      <w:jc w:val="center"/>
    </w:pPr>
    <w:rPr>
      <w:rFonts w:asciiTheme="majorHAnsi" w:cstheme="majorBidi" w:eastAsiaTheme="majorEastAsia" w:hAnsiTheme="majorHAnsi" w:ascii="Times New Roman" w:hAnsi="Times New Roman"/>
      <w:color w:val="000000"/>
      <w:sz w:val="2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80" w:before="360"/>
      <w:outlineLvl w:val="0"/>
    </w:pPr>
    <w:rPr>
      <w:rFonts w:asciiTheme="majorHAnsi" w:cstheme="majorBidi" w:eastAsiaTheme="majorEastAsia" w:hAnsiTheme="majorHAnsi" w:ascii="Times New Roman" w:hAnsi="Times New Roman"/>
      <w:color w:val="000000"/>
      <w:sz w:val="20"/>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80" w:before="160"/>
      <w:outlineLvl w:val="1"/>
    </w:pPr>
    <w:rPr>
      <w:rFonts w:asciiTheme="majorHAnsi" w:cstheme="majorBidi" w:eastAsiaTheme="majorEastAsia" w:hAnsiTheme="majorHAnsi" w:ascii="Times New Roman" w:hAnsi="Times New Roman"/>
      <w:color w:val="000000"/>
      <w:sz w:val="20"/>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80" w:before="160"/>
      <w:outlineLvl w:val="2"/>
    </w:pPr>
    <w:rPr>
      <w:rFonts w:cstheme="majorBidi" w:eastAsiaTheme="majorEastAsia" w:ascii="Times New Roman" w:hAnsi="Times New Roman"/>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hyperlink" Target="https://console.groq.com/docs/speech-to-text" TargetMode="External"/><Relationship Id="rId52" Type="http://schemas.openxmlformats.org/officeDocument/2006/relationships/hyperlink" Target="https://doi.org/10.1002/lpor.201000011" TargetMode="External"/><Relationship Id="rId46" Type="http://schemas.openxmlformats.org/officeDocument/2006/relationships/hyperlink" Target="https://doi.org/10.1007/BF02956173" TargetMode="External"/><Relationship Id="rId45" Type="http://schemas.openxmlformats.org/officeDocument/2006/relationships/hyperlink" Target="https://doi.org/10.1017/S0033583514000146" TargetMode="External"/><Relationship Id="rId51" Type="http://schemas.openxmlformats.org/officeDocument/2006/relationships/hyperlink" Target="https://doi.org/10.1021/acs.chemrev.7b00218" TargetMode="External"/><Relationship Id="rId53" Type="http://schemas.openxmlformats.org/officeDocument/2006/relationships/hyperlink" Target="https://doi.org/10.1038/s41566-021-00835-6" TargetMode="External"/><Relationship Id="rId42" Type="http://schemas.openxmlformats.org/officeDocument/2006/relationships/hyperlink" Target="https://doi.org/10.1038/s41596-020-0313-9" TargetMode="External"/><Relationship Id="rId50" Type="http://schemas.openxmlformats.org/officeDocument/2006/relationships/hyperlink" Target="https://doi.org/10.1046/j.1365-2818.2000.00710.x" TargetMode="External"/><Relationship Id="rId55" Type="http://schemas.openxmlformats.org/officeDocument/2006/relationships/hyperlink" Target="https://doi.org/10.1046/j.1365-2818.2001.00794.x" TargetMode="External"/><Relationship Id="rId60" Type="http://schemas.openxmlformats.org/officeDocument/2006/relationships/hyperlink" Target="https://doi.org/10.1080/10447310802205776" TargetMode="External"/><Relationship Id="rId49" Type="http://schemas.openxmlformats.org/officeDocument/2006/relationships/hyperlink" Target="https://doi.org/10.1090/S0025-5718-1965-0178586-1" TargetMode="External"/><Relationship Id="rId54" Type="http://schemas.openxmlformats.org/officeDocument/2006/relationships/hyperlink" Target="https://doi.org/10.1098/rsta.2003.1347" TargetMode="External"/><Relationship Id="rId39" Type="http://schemas.openxmlformats.org/officeDocument/2006/relationships/hyperlink" Target="https://doi.org/10.1109/AIxVR59861.2024.00011" TargetMode="External"/><Relationship Id="rId41" Type="http://schemas.openxmlformats.org/officeDocument/2006/relationships/hyperlink" Target="https://doi.org/10.1109/AIxVR67263.2026.00016" TargetMode="External"/><Relationship Id="rId59" Type="http://schemas.openxmlformats.org/officeDocument/2006/relationships/hyperlink" Target="https://doi.org/10.1109/AIxVR67263.2026.00020" TargetMode="External"/><Relationship Id="rId40" Type="http://schemas.openxmlformats.org/officeDocument/2006/relationships/hyperlink" Target="https://doi.org/10.1109/AIxVR67263.2026.00050" TargetMode="External"/><Relationship Id="rId48" Type="http://schemas.openxmlformats.org/officeDocument/2006/relationships/hyperlink" Target="https://doi.org/10.1109/PROC.1978.10837" TargetMode="External"/><Relationship Id="rId57" Type="http://schemas.openxmlformats.org/officeDocument/2006/relationships/hyperlink" Target="https://doi.org/10.1201/9781498710411-35" TargetMode="External"/><Relationship Id="rId47" Type="http://schemas.openxmlformats.org/officeDocument/2006/relationships/hyperlink" Target="https://doi.org/10.1364/BOE.5.001822" TargetMode="External"/><Relationship Id="rId58" Type="http://schemas.openxmlformats.org/officeDocument/2006/relationships/hyperlink" Target="https://human-factors.arc.nasa.gov/publications/Hart_Staveland_ORIGINAL_1.pdf" TargetMode="External"/><Relationship Id="rId43" Type="http://schemas.openxmlformats.org/officeDocument/2006/relationships/hyperlink" Target="https://www.zeiss.com/microscopy/en/resources/insights-hub/foundational-knowledge/numerical-aperture-and-light-cone-geometry.html" TargetMode="External"/><Relationship Id="rId44" Type="http://schemas.openxmlformats.org/officeDocument/2006/relationships/hyperlink" Target="https://www.zeiss.com/microscopy/en/resources/insights-hub/foundational-knowledge/spatial-frequency-and-image-resolution.html"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fig03_architecture.sv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_rels/footnotes.xml.rels><?xml version='1.0' encoding='UTF-8' standalone='yes'?>
<Relationships xmlns="http://schemas.openxmlformats.org/package/2006/relationships"><Relationship Id="rId56" Type="http://schemas.openxmlformats.org/officeDocument/2006/relationships/hyperlink" Target="https://console.groq.com/docs/speech-to-text" TargetMode="External"/><Relationship Id="rId52" Type="http://schemas.openxmlformats.org/officeDocument/2006/relationships/hyperlink" Target="https://doi.org/10.1002/lpor.201000011" TargetMode="External"/><Relationship Id="rId46" Type="http://schemas.openxmlformats.org/officeDocument/2006/relationships/hyperlink" Target="https://doi.org/10.1007/BF02956173" TargetMode="External"/><Relationship Id="rId45" Type="http://schemas.openxmlformats.org/officeDocument/2006/relationships/hyperlink" Target="https://doi.org/10.1017/S0033583514000146" TargetMode="External"/><Relationship Id="rId51" Type="http://schemas.openxmlformats.org/officeDocument/2006/relationships/hyperlink" Target="https://doi.org/10.1021/acs.chemrev.7b00218" TargetMode="External"/><Relationship Id="rId53" Type="http://schemas.openxmlformats.org/officeDocument/2006/relationships/hyperlink" Target="https://doi.org/10.1038/s41566-021-00835-6" TargetMode="External"/><Relationship Id="rId42" Type="http://schemas.openxmlformats.org/officeDocument/2006/relationships/hyperlink" Target="https://doi.org/10.1038/s41596-020-0313-9" TargetMode="External"/><Relationship Id="rId50" Type="http://schemas.openxmlformats.org/officeDocument/2006/relationships/hyperlink" Target="https://doi.org/10.1046/j.1365-2818.2000.00710.x" TargetMode="External"/><Relationship Id="rId55" Type="http://schemas.openxmlformats.org/officeDocument/2006/relationships/hyperlink" Target="https://doi.org/10.1046/j.1365-2818.2001.00794.x" TargetMode="External"/><Relationship Id="rId60" Type="http://schemas.openxmlformats.org/officeDocument/2006/relationships/hyperlink" Target="https://doi.org/10.1080/10447310802205776" TargetMode="External"/><Relationship Id="rId49" Type="http://schemas.openxmlformats.org/officeDocument/2006/relationships/hyperlink" Target="https://doi.org/10.1090/S0025-5718-1965-0178586-1" TargetMode="External"/><Relationship Id="rId54" Type="http://schemas.openxmlformats.org/officeDocument/2006/relationships/hyperlink" Target="https://doi.org/10.1098/rsta.2003.1347" TargetMode="External"/><Relationship Id="rId39" Type="http://schemas.openxmlformats.org/officeDocument/2006/relationships/hyperlink" Target="https://doi.org/10.1109/AIxVR59861.2024.00011" TargetMode="External"/><Relationship Id="rId41" Type="http://schemas.openxmlformats.org/officeDocument/2006/relationships/hyperlink" Target="https://doi.org/10.1109/AIxVR67263.2026.00016" TargetMode="External"/><Relationship Id="rId59" Type="http://schemas.openxmlformats.org/officeDocument/2006/relationships/hyperlink" Target="https://doi.org/10.1109/AIxVR67263.2026.00020" TargetMode="External"/><Relationship Id="rId40" Type="http://schemas.openxmlformats.org/officeDocument/2006/relationships/hyperlink" Target="https://doi.org/10.1109/AIxVR67263.2026.00050" TargetMode="External"/><Relationship Id="rId48" Type="http://schemas.openxmlformats.org/officeDocument/2006/relationships/hyperlink" Target="https://doi.org/10.1109/PROC.1978.10837" TargetMode="External"/><Relationship Id="rId57" Type="http://schemas.openxmlformats.org/officeDocument/2006/relationships/hyperlink" Target="https://doi.org/10.1201/9781498710411-35" TargetMode="External"/><Relationship Id="rId47" Type="http://schemas.openxmlformats.org/officeDocument/2006/relationships/hyperlink" Target="https://doi.org/10.1364/BOE.5.001822" TargetMode="External"/><Relationship Id="rId58" Type="http://schemas.openxmlformats.org/officeDocument/2006/relationships/hyperlink" Target="https://human-factors.arc.nasa.gov/publications/Hart_Staveland_ORIGINAL_1.pdf" TargetMode="External"/><Relationship Id="rId43" Type="http://schemas.openxmlformats.org/officeDocument/2006/relationships/hyperlink" Target="https://www.zeiss.com/microscopy/en/resources/insights-hub/foundational-knowledge/numerical-aperture-and-light-cone-geometry.html" TargetMode="External"/><Relationship Id="rId44" Type="http://schemas.openxmlformats.org/officeDocument/2006/relationships/hyperlink" Target="https://www.zeiss.com/microscopy/en/resources/insights-hub/foundational-knowledge/spatial-frequency-and-image-resolu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VRMicroscope：融合交互式显微仿真与任务状态感知 AI 指引的虚拟现实教学系统</dc:title>
  <dc:creator>Anonymous</dc:creator>
  <cp:keywords/>
  <dcterms:created xsi:type="dcterms:W3CDTF">2026-09-17T02:56:56Z</dcterms:created>
  <dcterms:modified xsi:type="dcterms:W3CDTF">2026-09-17T02:56:56Z</dcterms:modified>
  <cp:lastModifiedBy/>
  <dc:description/>
</cp:coreProperties>
</file>

<file path=docProps/custom.xml><?xml version="1.0" encoding="utf-8"?>
<Properties xmlns="http://schemas.openxmlformats.org/officeDocument/2006/custom-properties" xmlns:vt="http://schemas.openxmlformats.org/officeDocument/2006/docPropsVTypes"/>
</file>