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19F67" w14:textId="77777777" w:rsidR="00686F00" w:rsidRDefault="003259DA">
      <w:pPr>
        <w:pStyle w:val="1"/>
        <w:spacing w:before="0" w:after="240"/>
        <w:jc w:val="center"/>
      </w:pPr>
      <w:bookmarkStart w:id="0" w:name="X3ea578b120ea4116defb7979e3010ee28d9487c"/>
      <w:r>
        <w:rPr>
          <w:rFonts w:ascii="Times New Roman" w:eastAsia="SimSun" w:hAnsi="Times New Roman" w:hint="eastAsia"/>
          <w:sz w:val="44"/>
        </w:rPr>
        <w:t>VRMicroscope</w:t>
      </w:r>
      <w:r>
        <w:rPr>
          <w:rFonts w:ascii="Times New Roman" w:eastAsia="SimSun" w:hAnsi="Times New Roman" w:hint="eastAsia"/>
          <w:sz w:val="44"/>
        </w:rPr>
        <w:t>：融合交互式显微仿真与任务状态感知</w:t>
      </w:r>
      <w:r>
        <w:rPr>
          <w:rFonts w:ascii="Times New Roman" w:eastAsia="SimSun" w:hAnsi="Times New Roman"/>
          <w:sz w:val="44"/>
        </w:rPr>
        <w:t xml:space="preserve"> AI </w:t>
      </w:r>
      <w:r>
        <w:rPr>
          <w:rFonts w:ascii="Times New Roman" w:eastAsia="SimSun" w:hAnsi="Times New Roman" w:hint="eastAsia"/>
          <w:sz w:val="44"/>
        </w:rPr>
        <w:t>指引的虚拟现实教学系统</w:t>
      </w:r>
    </w:p>
    <w:p w14:paraId="77CCF002" w14:textId="77777777" w:rsidR="00686F00" w:rsidRDefault="003259DA">
      <w:pPr>
        <w:pStyle w:val="FirstParagraph"/>
        <w:keepNext/>
        <w:spacing w:after="100"/>
        <w:jc w:val="center"/>
      </w:pPr>
      <w:r>
        <w:rPr>
          <w:color w:val="000000"/>
          <w:sz w:val="22"/>
        </w:rPr>
        <w:t>匿名作者</w:t>
      </w:r>
    </w:p>
    <w:p w14:paraId="0C206268" w14:textId="77777777" w:rsidR="00686F00" w:rsidRDefault="00686F00">
      <w:pPr>
        <w:spacing w:line="20" w:lineRule="exact"/>
        <w:sectPr w:rsidR="00686F00">
          <w:footnotePr>
            <w:numRestart w:val="eachSect"/>
          </w:footnotePr>
          <w:type w:val="continuous"/>
          <w:pgSz w:w="12240" w:h="15840"/>
          <w:pgMar w:top="1080" w:right="900" w:bottom="1440" w:left="900" w:header="432" w:footer="432" w:gutter="0"/>
          <w:cols w:space="360"/>
        </w:sectPr>
      </w:pPr>
    </w:p>
    <w:p w14:paraId="516BF5FD" w14:textId="77777777" w:rsidR="00686F00" w:rsidRDefault="003259DA">
      <w:pPr>
        <w:pStyle w:val="a0"/>
        <w:spacing w:after="100"/>
        <w:jc w:val="both"/>
      </w:pPr>
      <w:r>
        <w:rPr>
          <w:rFonts w:hint="eastAsia"/>
          <w:b/>
          <w:bCs/>
          <w:color w:val="000000"/>
          <w:sz w:val="18"/>
        </w:rPr>
        <w:t>摘要—</w:t>
      </w:r>
      <w:r>
        <w:rPr>
          <w:rFonts w:hint="eastAsia"/>
          <w:b/>
          <w:color w:val="000000"/>
          <w:sz w:val="18"/>
        </w:rPr>
        <w:t>本文提出</w:t>
      </w:r>
      <w:r>
        <w:rPr>
          <w:b/>
          <w:color w:val="000000"/>
          <w:sz w:val="18"/>
        </w:rPr>
        <w:t xml:space="preserve"> </w:t>
      </w:r>
      <w:r>
        <w:rPr>
          <w:rFonts w:hint="eastAsia"/>
          <w:b/>
          <w:color w:val="000000"/>
          <w:sz w:val="18"/>
        </w:rPr>
        <w:t>VRMicroscope</w:t>
      </w:r>
      <w:r>
        <w:rPr>
          <w:rFonts w:hint="eastAsia"/>
          <w:b/>
          <w:color w:val="000000"/>
          <w:sz w:val="18"/>
        </w:rPr>
        <w:t>，将交互式显微仿真与任务状态感知</w:t>
      </w:r>
      <w:r>
        <w:rPr>
          <w:b/>
          <w:color w:val="000000"/>
          <w:sz w:val="18"/>
        </w:rPr>
        <w:t xml:space="preserve"> AI </w:t>
      </w:r>
      <w:r>
        <w:rPr>
          <w:rFonts w:hint="eastAsia"/>
          <w:b/>
          <w:color w:val="000000"/>
          <w:sz w:val="18"/>
        </w:rPr>
        <w:t>指引结合。虚拟实验室支持样本操作、观察、调焦、照明与物镜调整、部件查看，以及数值孔径、空间频率、结构光和</w:t>
      </w:r>
      <w:r>
        <w:rPr>
          <w:b/>
          <w:color w:val="000000"/>
          <w:sz w:val="18"/>
        </w:rPr>
        <w:t xml:space="preserve"> THz s-SNOM </w:t>
      </w:r>
      <w:r>
        <w:rPr>
          <w:rFonts w:hint="eastAsia"/>
          <w:b/>
          <w:color w:val="000000"/>
          <w:sz w:val="18"/>
        </w:rPr>
        <w:t>教学模块，明确区分教学视觉映射、简化模型与标定测量。助手结合项目知识、界面状态和可用动作，由程序校验指引，并支持空间标记及经用户确认的中英文语音输入。探索性研究中，</w:t>
      </w:r>
      <w:r>
        <w:rPr>
          <w:rFonts w:hint="eastAsia"/>
          <w:b/>
          <w:color w:val="000000"/>
          <w:sz w:val="18"/>
        </w:rPr>
        <w:t>19</w:t>
      </w:r>
      <w:r>
        <w:rPr>
          <w:b/>
          <w:color w:val="000000"/>
          <w:sz w:val="18"/>
        </w:rPr>
        <w:t xml:space="preserve"> </w:t>
      </w:r>
      <w:r>
        <w:rPr>
          <w:rFonts w:hint="eastAsia"/>
          <w:b/>
          <w:color w:val="000000"/>
          <w:sz w:val="18"/>
        </w:rPr>
        <w:t>人有</w:t>
      </w:r>
      <w:r>
        <w:rPr>
          <w:b/>
          <w:color w:val="000000"/>
          <w:sz w:val="18"/>
        </w:rPr>
        <w:t xml:space="preserve"> 18 </w:t>
      </w:r>
      <w:r>
        <w:rPr>
          <w:rFonts w:hint="eastAsia"/>
          <w:b/>
          <w:color w:val="000000"/>
          <w:sz w:val="18"/>
        </w:rPr>
        <w:t>人完成核心流程（</w:t>
      </w:r>
      <w:r>
        <w:rPr>
          <w:rFonts w:hint="eastAsia"/>
          <w:b/>
          <w:color w:val="000000"/>
          <w:sz w:val="18"/>
        </w:rPr>
        <w:t>94.7%</w:t>
      </w:r>
      <w:r>
        <w:rPr>
          <w:rFonts w:hint="eastAsia"/>
          <w:b/>
          <w:color w:val="000000"/>
          <w:sz w:val="18"/>
        </w:rPr>
        <w:t>），</w:t>
      </w:r>
      <w:r>
        <w:rPr>
          <w:rFonts w:hint="eastAsia"/>
          <w:b/>
          <w:color w:val="000000"/>
          <w:sz w:val="18"/>
        </w:rPr>
        <w:t>SUS</w:t>
      </w:r>
      <w:r>
        <w:rPr>
          <w:b/>
          <w:color w:val="000000"/>
          <w:sz w:val="18"/>
        </w:rPr>
        <w:t xml:space="preserve"> </w:t>
      </w:r>
      <w:r>
        <w:rPr>
          <w:rFonts w:hint="eastAsia"/>
          <w:b/>
          <w:color w:val="000000"/>
          <w:sz w:val="18"/>
        </w:rPr>
        <w:t>均值为</w:t>
      </w:r>
      <w:r>
        <w:rPr>
          <w:b/>
          <w:color w:val="000000"/>
          <w:sz w:val="18"/>
        </w:rPr>
        <w:t xml:space="preserve"> </w:t>
      </w:r>
      <w:r>
        <w:rPr>
          <w:rFonts w:hint="eastAsia"/>
          <w:b/>
          <w:color w:val="000000"/>
          <w:sz w:val="18"/>
        </w:rPr>
        <w:t>82.4/100</w:t>
      </w:r>
      <w:r>
        <w:rPr>
          <w:rFonts w:hint="eastAsia"/>
          <w:b/>
          <w:color w:val="000000"/>
          <w:sz w:val="18"/>
        </w:rPr>
        <w:t>，未加权</w:t>
      </w:r>
      <w:r>
        <w:rPr>
          <w:b/>
          <w:color w:val="000000"/>
          <w:sz w:val="18"/>
        </w:rPr>
        <w:t xml:space="preserve"> NASA-TLX </w:t>
      </w:r>
      <w:r>
        <w:rPr>
          <w:rFonts w:hint="eastAsia"/>
          <w:b/>
          <w:color w:val="000000"/>
          <w:sz w:val="18"/>
        </w:rPr>
        <w:t>为</w:t>
      </w:r>
      <w:r>
        <w:rPr>
          <w:b/>
          <w:color w:val="000000"/>
          <w:sz w:val="18"/>
        </w:rPr>
        <w:t xml:space="preserve"> </w:t>
      </w:r>
      <w:r>
        <w:rPr>
          <w:rFonts w:hint="eastAsia"/>
          <w:b/>
          <w:color w:val="000000"/>
          <w:sz w:val="18"/>
        </w:rPr>
        <w:t>32.4/100</w:t>
      </w:r>
      <w:r>
        <w:rPr>
          <w:rFonts w:hint="eastAsia"/>
          <w:b/>
          <w:color w:val="000000"/>
          <w:sz w:val="18"/>
        </w:rPr>
        <w:t>。固定状态后端回归包含</w:t>
      </w:r>
      <w:r>
        <w:rPr>
          <w:b/>
          <w:color w:val="000000"/>
          <w:sz w:val="18"/>
        </w:rPr>
        <w:t xml:space="preserve"> 26 </w:t>
      </w:r>
      <w:r>
        <w:rPr>
          <w:rFonts w:hint="eastAsia"/>
          <w:b/>
          <w:color w:val="000000"/>
          <w:sz w:val="18"/>
        </w:rPr>
        <w:t>例、每例三次：</w:t>
      </w:r>
      <w:r>
        <w:rPr>
          <w:rFonts w:hint="eastAsia"/>
          <w:b/>
          <w:color w:val="000000"/>
          <w:sz w:val="18"/>
        </w:rPr>
        <w:t>42</w:t>
      </w:r>
      <w:r>
        <w:rPr>
          <w:b/>
          <w:color w:val="000000"/>
          <w:sz w:val="18"/>
        </w:rPr>
        <w:t xml:space="preserve"> </w:t>
      </w:r>
      <w:r>
        <w:rPr>
          <w:rFonts w:hint="eastAsia"/>
          <w:b/>
          <w:color w:val="000000"/>
          <w:sz w:val="18"/>
        </w:rPr>
        <w:t>条操作建议均可用，导航目标匹配为</w:t>
      </w:r>
      <w:r>
        <w:rPr>
          <w:b/>
          <w:color w:val="000000"/>
          <w:sz w:val="18"/>
        </w:rPr>
        <w:t xml:space="preserve"> </w:t>
      </w:r>
      <w:r>
        <w:rPr>
          <w:rFonts w:hint="eastAsia"/>
          <w:b/>
          <w:color w:val="000000"/>
          <w:sz w:val="18"/>
        </w:rPr>
        <w:t>12/12</w:t>
      </w:r>
      <w:r>
        <w:rPr>
          <w:rFonts w:hint="eastAsia"/>
          <w:b/>
          <w:color w:val="000000"/>
          <w:sz w:val="18"/>
        </w:rPr>
        <w:t>；后续作者复核认可</w:t>
      </w:r>
      <w:r>
        <w:rPr>
          <w:b/>
          <w:color w:val="000000"/>
          <w:sz w:val="18"/>
        </w:rPr>
        <w:t xml:space="preserve"> 75/78 </w:t>
      </w:r>
      <w:r>
        <w:rPr>
          <w:rFonts w:hint="eastAsia"/>
          <w:b/>
          <w:color w:val="000000"/>
          <w:sz w:val="18"/>
        </w:rPr>
        <w:t>条最终回答（</w:t>
      </w:r>
      <w:r>
        <w:rPr>
          <w:rFonts w:hint="eastAsia"/>
          <w:b/>
          <w:color w:val="000000"/>
          <w:sz w:val="18"/>
        </w:rPr>
        <w:t>96.2%</w:t>
      </w:r>
      <w:r>
        <w:rPr>
          <w:rFonts w:hint="eastAsia"/>
          <w:b/>
          <w:color w:val="000000"/>
          <w:sz w:val="18"/>
        </w:rPr>
        <w:t>），三条</w:t>
      </w:r>
      <w:r>
        <w:rPr>
          <w:b/>
          <w:color w:val="000000"/>
          <w:sz w:val="18"/>
        </w:rPr>
        <w:t xml:space="preserve"> GC01 </w:t>
      </w:r>
      <w:r>
        <w:rPr>
          <w:rFonts w:hint="eastAsia"/>
          <w:b/>
          <w:color w:val="000000"/>
          <w:sz w:val="18"/>
        </w:rPr>
        <w:t>回答在修订后的解释标准下被判定应先澄清。后端延迟中位</w:t>
      </w:r>
      <w:r>
        <w:rPr>
          <w:rFonts w:hint="eastAsia"/>
          <w:b/>
          <w:color w:val="000000"/>
          <w:sz w:val="18"/>
        </w:rPr>
        <w:t>数为</w:t>
      </w:r>
      <w:r>
        <w:rPr>
          <w:b/>
          <w:color w:val="000000"/>
          <w:sz w:val="18"/>
        </w:rPr>
        <w:t xml:space="preserve"> 1.82 </w:t>
      </w:r>
      <w:r>
        <w:rPr>
          <w:rFonts w:hint="eastAsia"/>
          <w:b/>
          <w:color w:val="000000"/>
          <w:sz w:val="18"/>
        </w:rPr>
        <w:t>秒。复用案例与单组研究支持可行性，并揭示动作可用性与指引获认可之间的区别，不据此推断普遍</w:t>
      </w:r>
      <w:r>
        <w:rPr>
          <w:b/>
          <w:color w:val="000000"/>
          <w:sz w:val="18"/>
        </w:rPr>
        <w:t xml:space="preserve"> AI </w:t>
      </w:r>
      <w:r>
        <w:rPr>
          <w:rFonts w:hint="eastAsia"/>
          <w:b/>
          <w:color w:val="000000"/>
          <w:sz w:val="18"/>
        </w:rPr>
        <w:t>准确率或因果学习增益。本文贡献是以共享任务状态连接显微交互、有科学边界的仿真和对话指引。</w:t>
      </w:r>
    </w:p>
    <w:p w14:paraId="35C8CC51" w14:textId="77777777" w:rsidR="00686F00" w:rsidRDefault="003259DA">
      <w:pPr>
        <w:pStyle w:val="a0"/>
        <w:spacing w:after="100"/>
        <w:jc w:val="both"/>
      </w:pPr>
      <w:r>
        <w:rPr>
          <w:rFonts w:hint="eastAsia"/>
          <w:b/>
          <w:bCs/>
          <w:i/>
          <w:color w:val="000000"/>
          <w:sz w:val="18"/>
        </w:rPr>
        <w:t>关键词—</w:t>
      </w:r>
      <w:r>
        <w:rPr>
          <w:rFonts w:hint="eastAsia"/>
          <w:b/>
          <w:color w:val="000000"/>
          <w:sz w:val="18"/>
        </w:rPr>
        <w:t>虚拟现实；显微镜教学；交互式仿真；任务状态感知；大语言模型；语音输入。</w:t>
      </w:r>
    </w:p>
    <w:p w14:paraId="73531E5B" w14:textId="77777777" w:rsidR="00686F00" w:rsidRDefault="003259DA">
      <w:pPr>
        <w:pStyle w:val="a0"/>
        <w:spacing w:after="100"/>
        <w:jc w:val="both"/>
      </w:pPr>
      <w:r>
        <w:rPr>
          <w:b/>
          <w:bCs/>
          <w:color w:val="000000"/>
          <w:sz w:val="18"/>
        </w:rPr>
        <w:t>Abstract—</w:t>
      </w:r>
      <w:r>
        <w:rPr>
          <w:b/>
          <w:color w:val="000000"/>
          <w:sz w:val="18"/>
        </w:rPr>
        <w:t>VRMicroscope integrates interactive microscopy simulation with task-state-aware AI guidance. Its VR labora</w:t>
      </w:r>
      <w:r>
        <w:rPr>
          <w:b/>
          <w:color w:val="000000"/>
          <w:sz w:val="18"/>
        </w:rPr>
        <w:t>tory supports specimen handling, observation, focus, illumination and objective adjustment, component inspection, and instructional modules for numerical aperture, spatial frequency, structured illumination, and THz s-SNOM. Authored visual mappings and sim</w:t>
      </w:r>
      <w:r>
        <w:rPr>
          <w:b/>
          <w:color w:val="000000"/>
          <w:sz w:val="18"/>
        </w:rPr>
        <w:t>plified models are distinguished from calibrated measurement. The assistant combines project knowledge, interface state, and available actions; application code validates guidance and supports spatial markers and user-confirmed Chinese/English speech input</w:t>
      </w:r>
      <w:r>
        <w:rPr>
          <w:b/>
          <w:color w:val="000000"/>
          <w:sz w:val="18"/>
        </w:rPr>
        <w:t>. In an exploratory study, 18 of 19 participants completed the core workflow (94.7%); mean SUS was 82.4/100 and unweighted NASA-TLX was 32.4/100. A fixed-state gateway regression used 26 cases repeated three times. All 42 operating recommendations were ava</w:t>
      </w:r>
      <w:r>
        <w:rPr>
          <w:b/>
          <w:color w:val="000000"/>
          <w:sz w:val="18"/>
        </w:rPr>
        <w:t>ilable and 12/12 navigation targets matched; subsequent author review accepted 75/78 final answers (96.2%), with three GC01 responses judged to require clarification under a revised interpretation. Median gateway latency was 1.82 s. These reused-case and s</w:t>
      </w:r>
      <w:r>
        <w:rPr>
          <w:b/>
          <w:color w:val="000000"/>
          <w:sz w:val="18"/>
        </w:rPr>
        <w:t xml:space="preserve">ingle-group results support feasibility and expose a distinction between available actions and accepted guidance; they do not establish general AI accuracy or causal learning gains. The contribution is a shared state representation connecting interaction, </w:t>
      </w:r>
      <w:r>
        <w:rPr>
          <w:b/>
          <w:color w:val="000000"/>
          <w:sz w:val="18"/>
        </w:rPr>
        <w:t>bounded simulation, and conversational guidance.</w:t>
      </w:r>
    </w:p>
    <w:p w14:paraId="56C08E94" w14:textId="77777777" w:rsidR="00686F00" w:rsidRDefault="003259DA">
      <w:pPr>
        <w:pStyle w:val="2"/>
        <w:spacing w:before="200" w:after="100"/>
        <w:jc w:val="center"/>
      </w:pPr>
      <w:bookmarkStart w:id="1" w:name="引言"/>
      <w:r>
        <w:rPr>
          <w:rFonts w:ascii="Times New Roman" w:eastAsia="SimSun" w:hAnsi="Times New Roman"/>
        </w:rPr>
        <w:t xml:space="preserve">I. </w:t>
      </w:r>
      <w:r>
        <w:rPr>
          <w:rFonts w:ascii="Times New Roman" w:eastAsia="SimSun" w:hAnsi="Times New Roman"/>
        </w:rPr>
        <w:t>引言</w:t>
      </w:r>
    </w:p>
    <w:p w14:paraId="342AB7FB" w14:textId="77777777" w:rsidR="00686F00" w:rsidRDefault="003259DA">
      <w:pPr>
        <w:pStyle w:val="FirstParagraph"/>
        <w:ind w:firstLine="202"/>
        <w:jc w:val="both"/>
      </w:pPr>
      <w:r>
        <w:rPr>
          <w:rFonts w:hint="eastAsia"/>
          <w:color w:val="000000"/>
        </w:rPr>
        <w:t>显微镜实训不仅要求学习者辨认三维仪器，还需要完成放样、调焦、照明调整和物镜切换，并解释观察视野为什么发生变化。虚拟实验室可以为这些操作提供可重复探索的环境，但必须说明哪些反馈对应真实原理，哪些只是为了便于教学而设计的表达。</w:t>
      </w:r>
    </w:p>
    <w:p w14:paraId="65E0E775" w14:textId="77777777" w:rsidR="00686F00" w:rsidRDefault="003259DA">
      <w:pPr>
        <w:pStyle w:val="a0"/>
        <w:ind w:firstLine="202"/>
        <w:jc w:val="both"/>
      </w:pPr>
      <w:r>
        <w:rPr>
          <w:color w:val="000000"/>
        </w:rPr>
        <w:t xml:space="preserve">VRMicroscope </w:t>
      </w:r>
      <w:r>
        <w:rPr>
          <w:rFonts w:hint="eastAsia"/>
          <w:color w:val="000000"/>
        </w:rPr>
        <w:t>将物件、控制、视觉反馈和实验界面与</w:t>
      </w:r>
      <w:r>
        <w:rPr>
          <w:color w:val="000000"/>
        </w:rPr>
        <w:t xml:space="preserve"> AI </w:t>
      </w:r>
      <w:r>
        <w:rPr>
          <w:rFonts w:hint="eastAsia"/>
          <w:color w:val="000000"/>
        </w:rPr>
        <w:t>助手结合，使问题对应项目知识和当前可进入的活动。</w:t>
      </w:r>
      <w:r>
        <w:rPr>
          <w:rFonts w:hint="eastAsia"/>
          <w:color w:val="000000"/>
        </w:rPr>
        <w:t>核心问题是保持界面状态、仿真边界和建议一致：项目未实现的针孔调整或</w:t>
      </w:r>
      <w:r>
        <w:rPr>
          <w:color w:val="000000"/>
        </w:rPr>
        <w:t xml:space="preserve"> Z-stack </w:t>
      </w:r>
      <w:r>
        <w:rPr>
          <w:rFonts w:hint="eastAsia"/>
          <w:color w:val="000000"/>
        </w:rPr>
        <w:t>不能作为操作推荐，当前面板已有的实验入口则应直接使用。</w:t>
      </w:r>
    </w:p>
    <w:p w14:paraId="001C5417" w14:textId="77777777" w:rsidR="00686F00" w:rsidRDefault="003259DA">
      <w:pPr>
        <w:pStyle w:val="a0"/>
        <w:ind w:firstLine="202"/>
        <w:jc w:val="both"/>
      </w:pPr>
      <w:r>
        <w:rPr>
          <w:rFonts w:hint="eastAsia"/>
          <w:color w:val="000000"/>
        </w:rPr>
        <w:t>本文的主要贡献为：</w:t>
      </w:r>
    </w:p>
    <w:p w14:paraId="59D2AF00" w14:textId="77777777" w:rsidR="00686F00" w:rsidRDefault="003259DA">
      <w:pPr>
        <w:pStyle w:val="Compact"/>
        <w:numPr>
          <w:ilvl w:val="0"/>
          <w:numId w:val="2"/>
        </w:numPr>
        <w:ind w:left="346" w:hanging="173"/>
        <w:jc w:val="both"/>
      </w:pPr>
      <w:r>
        <w:rPr>
          <w:rFonts w:hint="eastAsia"/>
          <w:color w:val="000000"/>
        </w:rPr>
        <w:t>构建连接样本</w:t>
      </w:r>
      <w:r>
        <w:rPr>
          <w:rFonts w:hint="eastAsia"/>
          <w:color w:val="000000"/>
        </w:rPr>
        <w:t>操作、调焦与照明反馈、结构认知及三类进阶教学模块的显微实验环境，明确各项输入、输出和建模边界。</w:t>
      </w:r>
    </w:p>
    <w:p w14:paraId="02907922" w14:textId="77777777" w:rsidR="00686F00" w:rsidRDefault="003259DA">
      <w:pPr>
        <w:pStyle w:val="Compact"/>
        <w:numPr>
          <w:ilvl w:val="0"/>
          <w:numId w:val="2"/>
        </w:numPr>
        <w:ind w:left="346" w:hanging="173"/>
        <w:jc w:val="both"/>
      </w:pPr>
      <w:r>
        <w:rPr>
          <w:rFonts w:hint="eastAsia"/>
          <w:color w:val="000000"/>
        </w:rPr>
        <w:t>设计结合项目知识、当前部件说明、可用动作目录、响应校验、空间标记与确认式语音输入的</w:t>
      </w:r>
      <w:r>
        <w:rPr>
          <w:color w:val="000000"/>
        </w:rPr>
        <w:t xml:space="preserve"> AI </w:t>
      </w:r>
      <w:r>
        <w:rPr>
          <w:rFonts w:hint="eastAsia"/>
          <w:color w:val="000000"/>
        </w:rPr>
        <w:t>指引架构。</w:t>
      </w:r>
    </w:p>
    <w:p w14:paraId="7B83BEF3" w14:textId="77777777" w:rsidR="00686F00" w:rsidRDefault="003259DA">
      <w:pPr>
        <w:pStyle w:val="Compact"/>
        <w:numPr>
          <w:ilvl w:val="0"/>
          <w:numId w:val="2"/>
        </w:numPr>
        <w:ind w:left="346" w:hanging="173"/>
        <w:jc w:val="both"/>
      </w:pPr>
      <w:r>
        <w:rPr>
          <w:rFonts w:hint="eastAsia"/>
          <w:color w:val="000000"/>
        </w:rPr>
        <w:t>通过</w:t>
      </w:r>
      <w:r>
        <w:rPr>
          <w:color w:val="000000"/>
        </w:rPr>
        <w:t xml:space="preserve"> 78 </w:t>
      </w:r>
      <w:r>
        <w:rPr>
          <w:rFonts w:hint="eastAsia"/>
          <w:color w:val="000000"/>
        </w:rPr>
        <w:t>次真实模型请求评价动作可用性及人工复核的指引质量，并报告</w:t>
      </w:r>
      <w:r>
        <w:rPr>
          <w:color w:val="000000"/>
        </w:rPr>
        <w:t xml:space="preserve"> 19 </w:t>
      </w:r>
      <w:r>
        <w:rPr>
          <w:rFonts w:hint="eastAsia"/>
          <w:color w:val="000000"/>
        </w:rPr>
        <w:t>名参与者的探索性用户研究，区分后端回归结果、感知可用性、工作负荷及未经对照验证的学习增益。</w:t>
      </w:r>
    </w:p>
    <w:p w14:paraId="084179ED" w14:textId="77777777" w:rsidR="00686F00" w:rsidRDefault="003259DA">
      <w:pPr>
        <w:pStyle w:val="FirstParagraph"/>
        <w:ind w:firstLine="202"/>
        <w:jc w:val="both"/>
      </w:pPr>
      <w:r>
        <w:rPr>
          <w:rFonts w:hint="eastAsia"/>
          <w:color w:val="000000"/>
        </w:rPr>
        <w:t>系统面向操作熟悉与概念探索；真实仪器迁移、定量成像及</w:t>
      </w:r>
      <w:r>
        <w:rPr>
          <w:color w:val="000000"/>
        </w:rPr>
        <w:t xml:space="preserve"> AI </w:t>
      </w:r>
      <w:r>
        <w:rPr>
          <w:rFonts w:hint="eastAsia"/>
          <w:color w:val="000000"/>
        </w:rPr>
        <w:t>的额外学习收益不在现有证据范围内。</w:t>
      </w:r>
    </w:p>
    <w:p w14:paraId="52EF3710" w14:textId="77777777" w:rsidR="00686F00" w:rsidRDefault="003259DA">
      <w:pPr>
        <w:pStyle w:val="2"/>
        <w:spacing w:before="200" w:after="100"/>
        <w:jc w:val="center"/>
      </w:pPr>
      <w:bookmarkStart w:id="2" w:name="相关工作与研究定位"/>
      <w:bookmarkEnd w:id="1"/>
      <w:r>
        <w:rPr>
          <w:rFonts w:ascii="Times New Roman" w:eastAsia="SimSun" w:hAnsi="Times New Roman"/>
        </w:rPr>
        <w:t xml:space="preserve">II. </w:t>
      </w:r>
      <w:r>
        <w:rPr>
          <w:rFonts w:ascii="Times New Roman" w:eastAsia="SimSun" w:hAnsi="Times New Roman"/>
        </w:rPr>
        <w:t>相关工作与研究定位</w:t>
      </w:r>
    </w:p>
    <w:p w14:paraId="3E2042F8" w14:textId="77777777" w:rsidR="00686F00" w:rsidRDefault="003259DA">
      <w:pPr>
        <w:pStyle w:val="FirstParagraph"/>
        <w:ind w:firstLine="202"/>
        <w:jc w:val="both"/>
      </w:pPr>
      <w:r>
        <w:rPr>
          <w:rFonts w:hint="eastAsia"/>
          <w:color w:val="000000"/>
        </w:rPr>
        <w:t>沉浸式教学助手正从通用</w:t>
      </w:r>
      <w:r>
        <w:rPr>
          <w:rFonts w:hint="eastAsia"/>
          <w:color w:val="000000"/>
        </w:rPr>
        <w:t>聊天转向具体学习任务。</w:t>
      </w:r>
      <w:r>
        <w:rPr>
          <w:rFonts w:hint="eastAsia"/>
          <w:color w:val="000000"/>
        </w:rPr>
        <w:t>Chheang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等分别报告</w:t>
      </w:r>
      <w:r>
        <w:rPr>
          <w:color w:val="000000"/>
        </w:rPr>
        <w:t xml:space="preserve"> VR </w:t>
      </w:r>
      <w:r>
        <w:rPr>
          <w:rFonts w:hint="eastAsia"/>
          <w:color w:val="000000"/>
        </w:rPr>
        <w:t>解剖助手的任务表现、</w:t>
      </w:r>
      <w:r>
        <w:rPr>
          <w:rFonts w:hint="eastAsia"/>
          <w:color w:val="000000"/>
        </w:rPr>
        <w:t>SUS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NASA-TLX</w:t>
      </w:r>
      <w:r>
        <w:rPr>
          <w:rFonts w:hint="eastAsia"/>
          <w:color w:val="000000"/>
        </w:rPr>
        <w:t>、存在感和访谈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[1]</w:t>
      </w:r>
      <w:r>
        <w:rPr>
          <w:rFonts w:hint="eastAsia"/>
          <w:color w:val="000000"/>
        </w:rPr>
        <w:t>；</w:t>
      </w:r>
      <w:r>
        <w:rPr>
          <w:rFonts w:hint="eastAsia"/>
          <w:color w:val="000000"/>
        </w:rPr>
        <w:t>Geris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和</w:t>
      </w:r>
      <w:r>
        <w:rPr>
          <w:color w:val="000000"/>
        </w:rPr>
        <w:t xml:space="preserve"> Alce </w:t>
      </w:r>
      <w:r>
        <w:rPr>
          <w:rFonts w:hint="eastAsia"/>
          <w:color w:val="000000"/>
        </w:rPr>
        <w:t>记录语音</w:t>
      </w:r>
      <w:r>
        <w:rPr>
          <w:color w:val="000000"/>
        </w:rPr>
        <w:t xml:space="preserve"> XR </w:t>
      </w:r>
      <w:r>
        <w:rPr>
          <w:rFonts w:hint="eastAsia"/>
          <w:color w:val="000000"/>
        </w:rPr>
        <w:t>辅导的延迟、反馈长度与成本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[2]</w:t>
      </w:r>
      <w:r>
        <w:rPr>
          <w:rFonts w:hint="eastAsia"/>
          <w:color w:val="000000"/>
        </w:rPr>
        <w:t>；</w:t>
      </w:r>
      <w:r>
        <w:rPr>
          <w:rFonts w:hint="eastAsia"/>
          <w:color w:val="000000"/>
        </w:rPr>
        <w:t>SpatialTutor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则结合物体感知、空间提示和</w:t>
      </w:r>
      <w:r>
        <w:rPr>
          <w:color w:val="000000"/>
        </w:rPr>
        <w:t xml:space="preserve"> LLM </w:t>
      </w:r>
      <w:r>
        <w:rPr>
          <w:rFonts w:hint="eastAsia"/>
          <w:color w:val="000000"/>
        </w:rPr>
        <w:t>流程支持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[3]</w:t>
      </w:r>
      <w:r>
        <w:rPr>
          <w:rFonts w:hint="eastAsia"/>
          <w:color w:val="000000"/>
        </w:rPr>
        <w:t>。这些工作说明交互性能、任务结果、主观体验和学习效果应分开评价。</w:t>
      </w:r>
    </w:p>
    <w:p w14:paraId="76B5FBFB" w14:textId="77777777" w:rsidR="00686F00" w:rsidRDefault="003259DA">
      <w:pPr>
        <w:pStyle w:val="a0"/>
        <w:ind w:firstLine="202"/>
        <w:jc w:val="both"/>
      </w:pPr>
      <w:r>
        <w:rPr>
          <w:rFonts w:hint="eastAsia"/>
          <w:color w:val="000000"/>
        </w:rPr>
        <w:t>本文关注显微镜学习活动与指引之间的对应关系。一个操作不仅需要在当前界面中真实可用，其反馈也需要在明确的仿真科学边界内解释。因此，本文将</w:t>
      </w:r>
      <w:r>
        <w:rPr>
          <w:color w:val="000000"/>
        </w:rPr>
        <w:t xml:space="preserve"> AI </w:t>
      </w:r>
      <w:r>
        <w:rPr>
          <w:rFonts w:hint="eastAsia"/>
          <w:color w:val="000000"/>
        </w:rPr>
        <w:t>视为实验环境中的受约束辅</w:t>
      </w:r>
      <w:r>
        <w:rPr>
          <w:rFonts w:hint="eastAsia"/>
          <w:color w:val="000000"/>
        </w:rPr>
        <w:t>导层，而不是能够自主控制仪器的智能体；评价时也将实现级约束行为与用户层面的可用性结果分开报告。</w:t>
      </w:r>
    </w:p>
    <w:p w14:paraId="3E90CEDC" w14:textId="77777777" w:rsidR="00686F00" w:rsidRDefault="003259DA">
      <w:pPr>
        <w:pStyle w:val="a0"/>
        <w:ind w:firstLine="202"/>
        <w:jc w:val="both"/>
      </w:pPr>
      <w:r>
        <w:rPr>
          <w:rFonts w:hint="eastAsia"/>
          <w:color w:val="000000"/>
        </w:rPr>
        <w:t>定量共聚焦显微方法提供科学参照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[4]</w:t>
      </w:r>
      <w:r>
        <w:rPr>
          <w:rFonts w:hint="eastAsia"/>
          <w:color w:val="000000"/>
        </w:rPr>
        <w:t>，数值孔径与空间频率资料支撑概念呈现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[5]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[6]</w:t>
      </w:r>
      <w:r>
        <w:rPr>
          <w:rFonts w:hint="eastAsia"/>
          <w:color w:val="000000"/>
        </w:rPr>
        <w:t>；但项目没有标定的共聚焦采集链路，图形映射也不等同于真实仪器测量。</w:t>
      </w:r>
    </w:p>
    <w:p w14:paraId="545C9F5E" w14:textId="77777777" w:rsidR="00686F00" w:rsidRDefault="003259DA">
      <w:pPr>
        <w:pStyle w:val="2"/>
        <w:spacing w:before="200" w:after="100"/>
        <w:jc w:val="center"/>
      </w:pPr>
      <w:bookmarkStart w:id="3" w:name="vr-实验环境与仿真边界"/>
      <w:bookmarkEnd w:id="2"/>
      <w:r>
        <w:rPr>
          <w:rFonts w:ascii="Times New Roman" w:eastAsia="SimSun" w:hAnsi="Times New Roman"/>
        </w:rPr>
        <w:t xml:space="preserve">III. VR </w:t>
      </w:r>
      <w:r>
        <w:rPr>
          <w:rFonts w:ascii="Times New Roman" w:eastAsia="SimSun" w:hAnsi="Times New Roman"/>
        </w:rPr>
        <w:t>实验环境与仿真边界</w:t>
      </w:r>
    </w:p>
    <w:p w14:paraId="005AC400" w14:textId="77777777" w:rsidR="00686F00" w:rsidRDefault="003259DA">
      <w:pPr>
        <w:pStyle w:val="3"/>
        <w:spacing w:before="140" w:after="60"/>
      </w:pPr>
      <w:bookmarkStart w:id="4" w:name="实验室组织与交互状态"/>
      <w:r>
        <w:rPr>
          <w:rFonts w:eastAsia="SimSun"/>
          <w:i/>
        </w:rPr>
        <w:t xml:space="preserve">A. </w:t>
      </w:r>
      <w:r>
        <w:rPr>
          <w:rFonts w:eastAsia="SimSun"/>
          <w:i/>
        </w:rPr>
        <w:t>实验室组织与交互状态</w:t>
      </w:r>
    </w:p>
    <w:p w14:paraId="351DE83A" w14:textId="77777777" w:rsidR="00686F00" w:rsidRDefault="003259DA">
      <w:pPr>
        <w:pStyle w:val="FirstParagraph"/>
        <w:ind w:firstLine="202"/>
        <w:jc w:val="both"/>
      </w:pPr>
      <w:r>
        <w:rPr>
          <w:color w:val="000000"/>
        </w:rPr>
        <w:t xml:space="preserve">Unity </w:t>
      </w:r>
      <w:r>
        <w:rPr>
          <w:rFonts w:hint="eastAsia"/>
          <w:color w:val="000000"/>
        </w:rPr>
        <w:t>实验室支持桌面和</w:t>
      </w:r>
      <w:r>
        <w:rPr>
          <w:color w:val="000000"/>
        </w:rPr>
        <w:t xml:space="preserve"> XR </w:t>
      </w:r>
      <w:r>
        <w:rPr>
          <w:rFonts w:hint="eastAsia"/>
          <w:color w:val="000000"/>
        </w:rPr>
        <w:t>交互。</w:t>
      </w:r>
      <w:r>
        <w:rPr>
          <w:rStyle w:val="VerbatimChar"/>
          <w:rFonts w:ascii="Times New Roman" w:hAnsi="Times New Roman"/>
          <w:color w:val="000000"/>
          <w:sz w:val="20"/>
        </w:rPr>
        <w:t>Roaming</w:t>
      </w:r>
      <w:r>
        <w:rPr>
          <w:color w:val="000000"/>
        </w:rPr>
        <w:t>、</w:t>
      </w:r>
      <w:r>
        <w:rPr>
          <w:rStyle w:val="VerbatimChar"/>
          <w:rFonts w:ascii="Times New Roman" w:hAnsi="Times New Roman"/>
          <w:color w:val="000000"/>
          <w:sz w:val="20"/>
        </w:rPr>
        <w:t>Observing</w:t>
      </w:r>
      <w:r>
        <w:rPr>
          <w:color w:val="000000"/>
        </w:rPr>
        <w:t>、</w:t>
      </w:r>
      <w:r>
        <w:rPr>
          <w:rStyle w:val="VerbatimChar"/>
          <w:rFonts w:ascii="Times New Roman" w:hAnsi="Times New Roman"/>
          <w:color w:val="000000"/>
          <w:sz w:val="20"/>
        </w:rPr>
        <w:t>Tutorial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与局部实验状态共同决定可用活动；帧边界状态切换和独立教程检查减少输入冲突。</w:t>
      </w:r>
      <w:r>
        <w:rPr>
          <w:rFonts w:hint="eastAsia"/>
          <w:color w:val="000000"/>
        </w:rPr>
        <w:t>AI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对话框打开时阻止实验输入，玩家需关闭后操作。图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>将样本处理、观察、仪器调整、部件查看和关联实验置于同一环境中。</w:t>
      </w:r>
    </w:p>
    <w:p w14:paraId="5762C3B3" w14:textId="77777777" w:rsidR="00686F00" w:rsidRDefault="00686F00">
      <w:pPr>
        <w:spacing w:line="20" w:lineRule="exact"/>
        <w:sectPr w:rsidR="00686F00">
          <w:footnotePr>
            <w:numRestart w:val="eachSect"/>
          </w:footnotePr>
          <w:type w:val="continuous"/>
          <w:pgSz w:w="12240" w:h="15840"/>
          <w:pgMar w:top="1080" w:right="900" w:bottom="1440" w:left="900" w:header="432" w:footer="432" w:gutter="0"/>
          <w:cols w:num="2" w:space="360"/>
        </w:sectPr>
      </w:pPr>
    </w:p>
    <w:p w14:paraId="02FA8EF6" w14:textId="77777777" w:rsidR="00686F00" w:rsidRDefault="003259DA">
      <w:pPr>
        <w:pStyle w:val="a0"/>
        <w:keepNext/>
        <w:spacing w:before="160" w:after="80"/>
        <w:jc w:val="center"/>
      </w:pPr>
      <w:r>
        <w:rPr>
          <w:color w:val="000000"/>
          <w:sz w:val="16"/>
        </w:rPr>
        <w:lastRenderedPageBreak/>
        <w:t>表</w:t>
      </w:r>
      <w:r>
        <w:rPr>
          <w:color w:val="000000"/>
          <w:sz w:val="16"/>
        </w:rPr>
        <w:t xml:space="preserve"> I</w:t>
      </w:r>
      <w:r>
        <w:rPr>
          <w:color w:val="000000"/>
          <w:sz w:val="16"/>
        </w:rPr>
        <w:br/>
      </w:r>
      <w:r>
        <w:rPr>
          <w:color w:val="000000"/>
          <w:sz w:val="16"/>
        </w:rPr>
        <w:t>项目现有活动的输入、输出与教学边界。</w:t>
      </w:r>
    </w:p>
    <w:tbl>
      <w:tblPr>
        <w:tblStyle w:val="Table"/>
        <w:tblW w:w="10440" w:type="dxa"/>
        <w:jc w:val="center"/>
        <w:tblBorders>
          <w:top w:val="single" w:sz="6" w:space="0" w:color="auto"/>
          <w:left w:val="nil"/>
          <w:bottom w:val="single" w:sz="6" w:space="0" w:color="auto"/>
          <w:right w:val="nil"/>
          <w:insideH w:val="nil"/>
          <w:insideV w:val="nil"/>
        </w:tblBorders>
        <w:tblLayout w:type="fixed"/>
        <w:tblLook w:val="0020" w:firstRow="1" w:lastRow="0" w:firstColumn="0" w:lastColumn="0" w:noHBand="0" w:noVBand="0"/>
      </w:tblPr>
      <w:tblGrid>
        <w:gridCol w:w="2610"/>
        <w:gridCol w:w="2610"/>
        <w:gridCol w:w="2610"/>
        <w:gridCol w:w="2610"/>
      </w:tblGrid>
      <w:tr w:rsidR="00686F00" w14:paraId="3092BC1E" w14:textId="77777777" w:rsidTr="00686F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10" w:type="dxa"/>
            <w:tcBorders>
              <w:bottom w:val="single" w:sz="4" w:space="0" w:color="auto"/>
            </w:tcBorders>
            <w:vAlign w:val="top"/>
          </w:tcPr>
          <w:p w14:paraId="614B1A2E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b/>
                <w:color w:val="000000"/>
                <w:sz w:val="16"/>
              </w:rPr>
              <w:t>活动与玩家输入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vAlign w:val="top"/>
          </w:tcPr>
          <w:p w14:paraId="19383400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b/>
                <w:color w:val="000000"/>
                <w:sz w:val="16"/>
              </w:rPr>
              <w:t>实际输出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vAlign w:val="top"/>
          </w:tcPr>
          <w:p w14:paraId="1C2FB3F3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b/>
                <w:color w:val="000000"/>
                <w:sz w:val="16"/>
              </w:rPr>
              <w:t>预期教学联系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vAlign w:val="top"/>
          </w:tcPr>
          <w:p w14:paraId="6D1743D9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b/>
                <w:color w:val="000000"/>
                <w:sz w:val="16"/>
              </w:rPr>
              <w:t>建模边界</w:t>
            </w:r>
          </w:p>
        </w:tc>
      </w:tr>
      <w:tr w:rsidR="00686F00" w14:paraId="127BC691" w14:textId="77777777" w:rsidTr="00686F00">
        <w:trPr>
          <w:cantSplit/>
          <w:jc w:val="center"/>
        </w:trPr>
        <w:tc>
          <w:tcPr>
            <w:tcW w:w="2610" w:type="dxa"/>
          </w:tcPr>
          <w:p w14:paraId="08478E1D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拾取、放置、观察和取出样本</w:t>
            </w:r>
          </w:p>
        </w:tc>
        <w:tc>
          <w:tcPr>
            <w:tcW w:w="2610" w:type="dxa"/>
          </w:tcPr>
          <w:p w14:paraId="3C239F64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运行时样本的父对象、姿态、可见性与观察环境变化</w:t>
            </w:r>
          </w:p>
        </w:tc>
        <w:tc>
          <w:tcPr>
            <w:tcW w:w="2610" w:type="dxa"/>
          </w:tcPr>
          <w:p w14:paraId="3DA6834A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建立样本放置与仪器观察的联系</w:t>
            </w:r>
          </w:p>
        </w:tc>
        <w:tc>
          <w:tcPr>
            <w:tcW w:w="2610" w:type="dxa"/>
          </w:tcPr>
          <w:p w14:paraId="38077E0F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脚本化对象操作，未经接触力学验证</w:t>
            </w:r>
          </w:p>
        </w:tc>
      </w:tr>
      <w:tr w:rsidR="00686F00" w14:paraId="2C7DC563" w14:textId="77777777" w:rsidTr="00686F00">
        <w:trPr>
          <w:cantSplit/>
          <w:jc w:val="center"/>
        </w:trPr>
        <w:tc>
          <w:tcPr>
            <w:tcW w:w="2610" w:type="dxa"/>
          </w:tcPr>
          <w:p w14:paraId="317D563C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粗细调焦与切换物镜</w:t>
            </w:r>
          </w:p>
        </w:tc>
        <w:tc>
          <w:tcPr>
            <w:tcW w:w="2610" w:type="dxa"/>
          </w:tcPr>
          <w:p w14:paraId="3062000F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随焦点参数变化的显隐、透明度、渲染反馈及视野大小</w:t>
            </w:r>
          </w:p>
        </w:tc>
        <w:tc>
          <w:tcPr>
            <w:tcW w:w="2610" w:type="dxa"/>
          </w:tcPr>
          <w:p w14:paraId="3AA90522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先搜索可观察区间，再精细调整</w:t>
            </w:r>
          </w:p>
        </w:tc>
        <w:tc>
          <w:tcPr>
            <w:tcW w:w="2610" w:type="dxa"/>
          </w:tcPr>
          <w:p w14:paraId="0136C059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人工设定焦点区间，没有共聚焦点扩散函数计算</w:t>
            </w:r>
          </w:p>
        </w:tc>
      </w:tr>
      <w:tr w:rsidR="00686F00" w14:paraId="6989AE3B" w14:textId="77777777" w:rsidTr="00686F00">
        <w:trPr>
          <w:cantSplit/>
          <w:jc w:val="center"/>
        </w:trPr>
        <w:tc>
          <w:tcPr>
            <w:tcW w:w="2610" w:type="dxa"/>
          </w:tcPr>
          <w:p w14:paraId="700A4380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调整照明</w:t>
            </w:r>
          </w:p>
        </w:tc>
        <w:tc>
          <w:tcPr>
            <w:tcW w:w="2610" w:type="dxa"/>
          </w:tcPr>
          <w:p w14:paraId="54CC775A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光锥线宽与样本着色器亮度输入变化</w:t>
            </w:r>
          </w:p>
        </w:tc>
        <w:tc>
          <w:tcPr>
            <w:tcW w:w="2610" w:type="dxa"/>
          </w:tcPr>
          <w:p w14:paraId="430BA4DE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比较照明设置与观察效果</w:t>
            </w:r>
          </w:p>
        </w:tc>
        <w:tc>
          <w:tcPr>
            <w:tcW w:w="2610" w:type="dxa"/>
          </w:tcPr>
          <w:p w14:paraId="30C0A514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无量纲显示增益，非标定照度</w:t>
            </w:r>
          </w:p>
        </w:tc>
      </w:tr>
      <w:tr w:rsidR="00686F00" w14:paraId="4718B876" w14:textId="77777777" w:rsidTr="00686F00">
        <w:trPr>
          <w:cantSplit/>
          <w:jc w:val="center"/>
        </w:trPr>
        <w:tc>
          <w:tcPr>
            <w:tcW w:w="2610" w:type="dxa"/>
          </w:tcPr>
          <w:p w14:paraId="61EDEF97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color w:val="000000"/>
                <w:sz w:val="16"/>
              </w:rPr>
              <w:t xml:space="preserve">SuperAssembly </w:t>
            </w:r>
            <w:r>
              <w:rPr>
                <w:rFonts w:hint="eastAsia"/>
                <w:color w:val="000000"/>
                <w:sz w:val="16"/>
              </w:rPr>
              <w:t>与选择部件</w:t>
            </w:r>
          </w:p>
        </w:tc>
        <w:tc>
          <w:tcPr>
            <w:tcW w:w="2610" w:type="dxa"/>
          </w:tcPr>
          <w:p w14:paraId="000D4BC0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展开布局、部件说明及关联实验按钮</w:t>
            </w:r>
          </w:p>
        </w:tc>
        <w:tc>
          <w:tcPr>
            <w:tcW w:w="2610" w:type="dxa"/>
          </w:tcPr>
          <w:p w14:paraId="191FBAB3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连接结构、功能与学习活动</w:t>
            </w:r>
          </w:p>
        </w:tc>
        <w:tc>
          <w:tcPr>
            <w:tcW w:w="2610" w:type="dxa"/>
          </w:tcPr>
          <w:p w14:paraId="714A3679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示意性分离，不评价真实机械装配</w:t>
            </w:r>
          </w:p>
        </w:tc>
      </w:tr>
      <w:tr w:rsidR="00686F00" w14:paraId="572F3DDA" w14:textId="77777777" w:rsidTr="00686F00">
        <w:trPr>
          <w:cantSplit/>
          <w:jc w:val="center"/>
        </w:trPr>
        <w:tc>
          <w:tcPr>
            <w:tcW w:w="2610" w:type="dxa"/>
          </w:tcPr>
          <w:p w14:paraId="1A695BEA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调整数值孔径</w:t>
            </w:r>
          </w:p>
        </w:tc>
        <w:tc>
          <w:tcPr>
            <w:tcW w:w="2610" w:type="dxa"/>
          </w:tcPr>
          <w:p w14:paraId="56F7D9B4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光锥几何与样本外观示意变化</w:t>
            </w:r>
          </w:p>
        </w:tc>
        <w:tc>
          <w:tcPr>
            <w:tcW w:w="2610" w:type="dxa"/>
          </w:tcPr>
          <w:p w14:paraId="7D67A2FB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探索收集角与</w:t>
            </w:r>
            <w:r>
              <w:rPr>
                <w:color w:val="000000"/>
                <w:sz w:val="16"/>
              </w:rPr>
              <w:t xml:space="preserve"> NA</w:t>
            </w:r>
          </w:p>
        </w:tc>
        <w:tc>
          <w:tcPr>
            <w:tcW w:w="2610" w:type="dxa"/>
          </w:tcPr>
          <w:p w14:paraId="0BE47A29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固定介质教学模型，</w:t>
            </w:r>
            <w:r>
              <w:rPr>
                <w:rFonts w:hint="eastAsia"/>
                <w:color w:val="000000"/>
                <w:sz w:val="16"/>
              </w:rPr>
              <w:t>NA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rFonts w:hint="eastAsia"/>
                <w:color w:val="000000"/>
                <w:sz w:val="16"/>
              </w:rPr>
              <w:t>不唯一决定倍率</w:t>
            </w:r>
          </w:p>
        </w:tc>
      </w:tr>
      <w:tr w:rsidR="00686F00" w14:paraId="2A91E6A1" w14:textId="77777777" w:rsidTr="00686F00">
        <w:trPr>
          <w:cantSplit/>
          <w:jc w:val="center"/>
        </w:trPr>
        <w:tc>
          <w:tcPr>
            <w:tcW w:w="2610" w:type="dxa"/>
          </w:tcPr>
          <w:p w14:paraId="4A64AE8F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选择空间频率与照明</w:t>
            </w:r>
          </w:p>
        </w:tc>
        <w:tc>
          <w:tcPr>
            <w:tcW w:w="2610" w:type="dxa"/>
          </w:tcPr>
          <w:p w14:paraId="1389800A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光栅</w:t>
            </w:r>
            <w:r>
              <w:rPr>
                <w:rFonts w:hint="eastAsia"/>
                <w:color w:val="000000"/>
                <w:sz w:val="16"/>
              </w:rPr>
              <w:t>/</w:t>
            </w:r>
            <w:r>
              <w:rPr>
                <w:rFonts w:hint="eastAsia"/>
                <w:color w:val="000000"/>
                <w:sz w:val="16"/>
              </w:rPr>
              <w:t>衍射示意及源于样本纹理的傅里叶显示</w:t>
            </w:r>
          </w:p>
        </w:tc>
        <w:tc>
          <w:tcPr>
            <w:tcW w:w="2610" w:type="dxa"/>
          </w:tcPr>
          <w:p w14:paraId="1D01BC2D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连接周期结构、衍射与频谱支持范围</w:t>
            </w:r>
          </w:p>
        </w:tc>
        <w:tc>
          <w:tcPr>
            <w:tcW w:w="2610" w:type="dxa"/>
          </w:tcPr>
          <w:p w14:paraId="669CDB31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简化结构光说明</w:t>
            </w:r>
          </w:p>
        </w:tc>
      </w:tr>
      <w:tr w:rsidR="00686F00" w14:paraId="45C23E66" w14:textId="77777777" w:rsidTr="00686F00">
        <w:trPr>
          <w:cantSplit/>
          <w:jc w:val="center"/>
        </w:trPr>
        <w:tc>
          <w:tcPr>
            <w:tcW w:w="2610" w:type="dxa"/>
          </w:tcPr>
          <w:p w14:paraId="3A4983AF" w14:textId="77777777" w:rsidR="00686F00" w:rsidRDefault="003259DA">
            <w:pPr>
              <w:pStyle w:val="Compact"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选择</w:t>
            </w:r>
            <w:r>
              <w:rPr>
                <w:color w:val="000000"/>
                <w:sz w:val="16"/>
              </w:rPr>
              <w:t xml:space="preserve"> SNOM </w:t>
            </w:r>
            <w:r>
              <w:rPr>
                <w:rFonts w:hint="eastAsia"/>
                <w:color w:val="000000"/>
                <w:sz w:val="16"/>
              </w:rPr>
              <w:t>探针并控制演示</w:t>
            </w:r>
          </w:p>
        </w:tc>
        <w:tc>
          <w:tcPr>
            <w:tcW w:w="2610" w:type="dxa"/>
          </w:tcPr>
          <w:p w14:paraId="314D9835" w14:textId="77777777" w:rsidR="00686F00" w:rsidRDefault="003259DA">
            <w:pPr>
              <w:pStyle w:val="Compact"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安装、敲击、扫描动画及示意图像</w:t>
            </w:r>
          </w:p>
        </w:tc>
        <w:tc>
          <w:tcPr>
            <w:tcW w:w="2610" w:type="dxa"/>
          </w:tcPr>
          <w:p w14:paraId="08D4F59C" w14:textId="77777777" w:rsidR="00686F00" w:rsidRDefault="003259DA">
            <w:pPr>
              <w:pStyle w:val="Compact"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理解近场显微工作流程</w:t>
            </w:r>
          </w:p>
        </w:tc>
        <w:tc>
          <w:tcPr>
            <w:tcW w:w="2610" w:type="dxa"/>
          </w:tcPr>
          <w:p w14:paraId="6CDF18AB" w14:textId="77777777" w:rsidR="00686F00" w:rsidRDefault="003259DA">
            <w:pPr>
              <w:pStyle w:val="Compact"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使用合成输出的流程演示</w:t>
            </w:r>
          </w:p>
        </w:tc>
      </w:tr>
    </w:tbl>
    <w:p w14:paraId="47E0A6A5" w14:textId="77777777" w:rsidR="00686F00" w:rsidRDefault="00686F00">
      <w:pPr>
        <w:spacing w:line="20" w:lineRule="exact"/>
        <w:sectPr w:rsidR="00686F00">
          <w:footnotePr>
            <w:numRestart w:val="eachSect"/>
          </w:footnotePr>
          <w:type w:val="continuous"/>
          <w:pgSz w:w="12240" w:h="15840"/>
          <w:pgMar w:top="1080" w:right="900" w:bottom="1440" w:left="900" w:header="432" w:footer="432" w:gutter="0"/>
          <w:cols w:space="360"/>
        </w:sectPr>
      </w:pPr>
    </w:p>
    <w:p w14:paraId="1065EEBF" w14:textId="77777777" w:rsidR="00686F00" w:rsidRDefault="003259DA">
      <w:pPr>
        <w:pStyle w:val="3"/>
        <w:spacing w:before="140" w:after="60"/>
      </w:pPr>
      <w:bookmarkStart w:id="5" w:name="样本操作与观察"/>
      <w:bookmarkEnd w:id="4"/>
      <w:r>
        <w:rPr>
          <w:rFonts w:eastAsia="SimSun"/>
          <w:i/>
        </w:rPr>
        <w:t xml:space="preserve">B. </w:t>
      </w:r>
      <w:r>
        <w:rPr>
          <w:rFonts w:eastAsia="SimSun"/>
          <w:i/>
        </w:rPr>
        <w:t>样本操作与观察</w:t>
      </w:r>
    </w:p>
    <w:p w14:paraId="3184D0F5" w14:textId="77777777" w:rsidR="00686F00" w:rsidRDefault="003259DA">
      <w:pPr>
        <w:pStyle w:val="FirstParagraph"/>
        <w:ind w:firstLine="202"/>
        <w:jc w:val="both"/>
      </w:pPr>
      <w:r>
        <w:rPr>
          <w:rFonts w:hint="eastAsia"/>
          <w:color w:val="000000"/>
        </w:rPr>
        <w:t>拾取样本会创建附着于手部的带标签运行时副本；距离和手持对象检查通过后，程序统一姿态与比例并移入观察环境。样本归属、调焦可见性和观察状态独立维护。显微图像相机通过渲染纹理输出到仪器屏幕，切换物镜则改变其正交尺寸。</w:t>
      </w:r>
    </w:p>
    <w:p w14:paraId="4F5109FD" w14:textId="77777777" w:rsidR="00686F00" w:rsidRDefault="003259DA">
      <w:pPr>
        <w:pStyle w:val="3"/>
        <w:spacing w:before="140" w:after="60"/>
      </w:pPr>
      <w:bookmarkStart w:id="6" w:name="调焦物镜与照明反馈"/>
      <w:bookmarkEnd w:id="5"/>
      <w:r>
        <w:rPr>
          <w:rFonts w:eastAsia="SimSun"/>
          <w:i/>
        </w:rPr>
        <w:t xml:space="preserve">C. </w:t>
      </w:r>
      <w:r>
        <w:rPr>
          <w:rFonts w:eastAsia="SimSun"/>
          <w:i/>
        </w:rPr>
        <w:t>调焦、物镜与照明反馈</w:t>
      </w:r>
    </w:p>
    <w:p w14:paraId="72F91795" w14:textId="77777777" w:rsidR="00686F00" w:rsidRDefault="003259DA">
      <w:pPr>
        <w:pStyle w:val="FirstParagraph"/>
        <w:ind w:firstLine="202"/>
        <w:jc w:val="both"/>
      </w:pPr>
      <w:r>
        <w:rPr>
          <w:rFonts w:hint="eastAsia"/>
          <w:color w:val="000000"/>
        </w:rPr>
        <w:t>调焦练习通</w:t>
      </w:r>
      <w:r>
        <w:rPr>
          <w:rFonts w:hint="eastAsia"/>
          <w:color w:val="000000"/>
        </w:rPr>
        <w:t>过较大的粗调步长寻找样本可观察区间，再以细调改善显示。设</w:t>
      </w:r>
      <w:r>
        <w:rPr>
          <w:color w:val="000000"/>
        </w:rPr>
        <w:t xml:space="preserve"> </w:t>
      </w:r>
      <m:oMath>
        <m:r>
          <w:rPr>
            <w:rFonts w:ascii="Cambria Math" w:hAnsi="Cambria Math"/>
          </w:rPr>
          <m:t>v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为无量纲滑块值，</w:t>
      </w:r>
      <m:oMath>
        <m:r>
          <w:rPr>
            <w:rFonts w:ascii="Cambria Math" w:hAnsi="Cambria Math"/>
          </w:rPr>
          <m:t>j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为物镜索引，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分别为该物镜的焦点中心、可见区间半宽和完</w:t>
      </w:r>
      <w:r>
        <w:rPr>
          <w:rFonts w:hint="eastAsia"/>
          <w:color w:val="000000"/>
        </w:rPr>
        <w:t>全不透明区间半宽。定义</w:t>
      </w:r>
      <w:r>
        <w:rPr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=|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hint="eastAsia"/>
          <w:color w:val="000000"/>
        </w:rPr>
        <w:t>，样本在</w:t>
      </w:r>
      <w:r>
        <w:rPr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时激活，其透明度为：</w:t>
      </w:r>
    </w:p>
    <w:p w14:paraId="590AA5D0" w14:textId="77777777" w:rsidR="00686F00" w:rsidRDefault="003259DA">
      <w:pPr>
        <w:pStyle w:val="a0"/>
        <w:spacing w:before="12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088811FB" w14:textId="77777777" w:rsidR="00686F00" w:rsidRDefault="003259DA">
      <w:pPr>
        <w:pStyle w:val="FirstParagraph"/>
        <w:ind w:firstLine="202"/>
        <w:jc w:val="both"/>
      </w:pPr>
      <w:r>
        <w:rPr>
          <w:rFonts w:hint="eastAsia"/>
          <w:color w:val="000000"/>
        </w:rPr>
        <w:t>区间外样本隐藏，区间内以</w:t>
      </w:r>
      <w:r>
        <w:rPr>
          <w:color w:val="000000"/>
        </w:rPr>
        <w:t xml:space="preserve"> </w:t>
      </w:r>
      <m:oMath>
        <m:r>
          <w:rPr>
            <w:rFonts w:ascii="Cambria Math" w:hAnsi="Cambria Math"/>
          </w:rPr>
          <m:t>300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设置渲染焦点参数。物镜标签</w:t>
      </w:r>
      <w:r>
        <w:rPr>
          <w:color w:val="000000"/>
        </w:rPr>
        <w:t xml:space="preserve"> 5</w:t>
      </w:r>
      <w:r>
        <w:rPr>
          <w:color w:val="000000"/>
        </w:rPr>
        <w:t>、</w:t>
      </w:r>
      <w:r>
        <w:rPr>
          <w:color w:val="000000"/>
        </w:rPr>
        <w:t>10</w:t>
      </w:r>
      <w:r>
        <w:rPr>
          <w:color w:val="000000"/>
        </w:rPr>
        <w:t>、</w:t>
      </w:r>
      <w:r>
        <w:rPr>
          <w:color w:val="000000"/>
        </w:rPr>
        <w:t>50</w:t>
      </w:r>
      <w:r>
        <w:rPr>
          <w:color w:val="000000"/>
        </w:rPr>
        <w:t>、</w:t>
      </w:r>
      <w:r>
        <w:rPr>
          <w:color w:val="000000"/>
        </w:rPr>
        <w:t xml:space="preserve">100 </w:t>
      </w:r>
      <w:r>
        <w:rPr>
          <w:rFonts w:hint="eastAsia"/>
          <w:color w:val="000000"/>
        </w:rPr>
        <w:t>的可见半宽为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0.17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0.13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0.07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0.04</w:t>
      </w:r>
      <w:r>
        <w:rPr>
          <w:rFonts w:hint="eastAsia"/>
          <w:color w:val="000000"/>
        </w:rPr>
        <w:t>，粗细调增量比为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25:1</w:t>
      </w:r>
      <w:r>
        <w:rPr>
          <w:rFonts w:hint="eastAsia"/>
          <w:color w:val="000000"/>
        </w:rPr>
        <w:t>。这些值定义视觉反馈和操作灵敏度，并非标定位移或针孔传递函数。</w:t>
      </w:r>
    </w:p>
    <w:p w14:paraId="67266F7F" w14:textId="77777777" w:rsidR="00686F00" w:rsidRDefault="003259DA">
      <w:pPr>
        <w:pStyle w:val="a0"/>
        <w:ind w:firstLine="202"/>
        <w:jc w:val="both"/>
      </w:pPr>
      <w:r>
        <w:rPr>
          <w:rFonts w:hint="eastAsia"/>
          <w:color w:val="000000"/>
        </w:rPr>
        <w:t>切换物镜会旋转转盘并改变观察尺度，照明则改变光束线宽和无量纲着色器输入。焦点中心、显示增益和相机尺寸均为软件配置，物理标定需另行评价。</w:t>
      </w:r>
    </w:p>
    <w:p w14:paraId="48904682" w14:textId="77777777" w:rsidR="00686F00" w:rsidRDefault="00686F00">
      <w:pPr>
        <w:spacing w:line="20" w:lineRule="exact"/>
        <w:sectPr w:rsidR="00686F00">
          <w:footnotePr>
            <w:numRestart w:val="eachSect"/>
          </w:footnotePr>
          <w:type w:val="continuous"/>
          <w:pgSz w:w="12240" w:h="15840"/>
          <w:pgMar w:top="1080" w:right="900" w:bottom="1440" w:left="900" w:header="432" w:footer="432" w:gutter="0"/>
          <w:cols w:num="2" w:space="360"/>
        </w:sectPr>
      </w:pPr>
    </w:p>
    <w:tbl>
      <w:tblPr>
        <w:tblStyle w:val="Table"/>
        <w:tblW w:w="1044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20"/>
        <w:gridCol w:w="5220"/>
      </w:tblGrid>
      <w:tr w:rsidR="00686F00" w14:paraId="1B2F804D" w14:textId="77777777" w:rsidTr="00686F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5220" w:type="dxa"/>
            <w:vAlign w:val="top"/>
          </w:tcPr>
          <w:p w14:paraId="61EDCE3A" w14:textId="77777777" w:rsidR="00686F00" w:rsidRDefault="003259DA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356D584" wp14:editId="154A0677">
                  <wp:extent cx="3136392" cy="170019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1 实验室全景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392" cy="1700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0D8193" w14:textId="77777777" w:rsidR="00686F00" w:rsidRDefault="003259DA">
            <w:pPr>
              <w:keepNext/>
              <w:spacing w:after="100"/>
              <w:jc w:val="center"/>
            </w:pPr>
            <w:r>
              <w:rPr>
                <w:color w:val="000000"/>
                <w:sz w:val="16"/>
              </w:rPr>
              <w:t xml:space="preserve">(a) </w:t>
            </w:r>
            <w:r>
              <w:rPr>
                <w:color w:val="000000"/>
                <w:sz w:val="16"/>
              </w:rPr>
              <w:t>含显微镜、样本区和助手入口的实验室全景。</w:t>
            </w:r>
          </w:p>
        </w:tc>
        <w:tc>
          <w:tcPr>
            <w:tcW w:w="5220" w:type="dxa"/>
            <w:vAlign w:val="top"/>
          </w:tcPr>
          <w:p w14:paraId="5030E3EE" w14:textId="77777777" w:rsidR="00686F00" w:rsidRDefault="003259D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3E6D114" wp14:editId="58EFE1E7">
                  <wp:extent cx="3136392" cy="167497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4 样本区域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392" cy="1674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A5014A" w14:textId="77777777" w:rsidR="00686F00" w:rsidRDefault="003259DA">
            <w:pPr>
              <w:keepNext/>
              <w:spacing w:after="100"/>
              <w:jc w:val="center"/>
            </w:pPr>
            <w:r>
              <w:rPr>
                <w:color w:val="000000"/>
                <w:sz w:val="16"/>
              </w:rPr>
              <w:t xml:space="preserve">(b) </w:t>
            </w:r>
            <w:r>
              <w:rPr>
                <w:color w:val="000000"/>
                <w:sz w:val="16"/>
              </w:rPr>
              <w:t>样本操作区域。</w:t>
            </w:r>
          </w:p>
        </w:tc>
      </w:tr>
      <w:tr w:rsidR="00686F00" w14:paraId="04DFBDBC" w14:textId="77777777" w:rsidTr="00686F00">
        <w:trPr>
          <w:cantSplit/>
          <w:jc w:val="center"/>
        </w:trPr>
        <w:tc>
          <w:tcPr>
            <w:tcW w:w="5220" w:type="dxa"/>
          </w:tcPr>
          <w:p w14:paraId="0859CCBD" w14:textId="77777777" w:rsidR="00686F00" w:rsidRDefault="003259D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5BA3B81" wp14:editId="54897C82">
                  <wp:extent cx="3136392" cy="170770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1 部件拆解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392" cy="170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101C10" w14:textId="77777777" w:rsidR="00686F00" w:rsidRDefault="003259DA">
            <w:pPr>
              <w:keepNext/>
              <w:spacing w:after="100"/>
              <w:jc w:val="center"/>
            </w:pPr>
            <w:r>
              <w:rPr>
                <w:color w:val="000000"/>
                <w:sz w:val="16"/>
              </w:rPr>
              <w:t xml:space="preserve">(c) </w:t>
            </w:r>
            <w:r>
              <w:rPr>
                <w:color w:val="000000"/>
                <w:sz w:val="16"/>
              </w:rPr>
              <w:t>显微镜部件展开查看。</w:t>
            </w:r>
          </w:p>
        </w:tc>
        <w:tc>
          <w:tcPr>
            <w:tcW w:w="5220" w:type="dxa"/>
          </w:tcPr>
          <w:p w14:paraId="1D1194DD" w14:textId="77777777" w:rsidR="00686F00" w:rsidRDefault="003259D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97A6D5B" wp14:editId="28C205A4">
                  <wp:extent cx="3136392" cy="175169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1 SNO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392" cy="1751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88B049" w14:textId="77777777" w:rsidR="00686F00" w:rsidRDefault="003259DA">
            <w:pPr>
              <w:keepNext/>
              <w:spacing w:after="100"/>
              <w:jc w:val="center"/>
            </w:pPr>
            <w:r>
              <w:rPr>
                <w:color w:val="000000"/>
                <w:sz w:val="16"/>
              </w:rPr>
              <w:t xml:space="preserve">(d) SNOM </w:t>
            </w:r>
            <w:r>
              <w:rPr>
                <w:color w:val="000000"/>
                <w:sz w:val="16"/>
              </w:rPr>
              <w:t>探针选择区域。</w:t>
            </w:r>
          </w:p>
        </w:tc>
      </w:tr>
    </w:tbl>
    <w:p w14:paraId="167E8747" w14:textId="77777777" w:rsidR="00686F00" w:rsidRDefault="003259DA">
      <w:pPr>
        <w:pStyle w:val="a0"/>
        <w:keepLines/>
        <w:spacing w:before="60" w:after="160"/>
        <w:jc w:val="both"/>
      </w:pPr>
      <w:r>
        <w:rPr>
          <w:color w:val="000000"/>
          <w:sz w:val="16"/>
        </w:rPr>
        <w:t>图</w:t>
      </w:r>
      <w:r>
        <w:rPr>
          <w:color w:val="000000"/>
          <w:sz w:val="16"/>
        </w:rPr>
        <w:t xml:space="preserve"> 1. </w:t>
      </w:r>
      <w:r>
        <w:rPr>
          <w:color w:val="000000"/>
          <w:sz w:val="16"/>
        </w:rPr>
        <w:t xml:space="preserve">VRMicroscope </w:t>
      </w:r>
      <w:r>
        <w:rPr>
          <w:color w:val="000000"/>
          <w:sz w:val="16"/>
        </w:rPr>
        <w:t>学习环境与核心活动。学习者在同一实验室中进行样本操作、显微观察、部件探索和</w:t>
      </w:r>
      <w:r>
        <w:rPr>
          <w:color w:val="000000"/>
          <w:sz w:val="16"/>
        </w:rPr>
        <w:t xml:space="preserve"> SNOM </w:t>
      </w:r>
      <w:r>
        <w:rPr>
          <w:color w:val="000000"/>
          <w:sz w:val="16"/>
        </w:rPr>
        <w:t>流程演示，并通过助手获取相关解释与指引。各分图为项目运行时的代表性画面。</w:t>
      </w:r>
    </w:p>
    <w:p w14:paraId="0F186831" w14:textId="77777777" w:rsidR="00686F00" w:rsidRDefault="00686F00">
      <w:pPr>
        <w:spacing w:line="20" w:lineRule="exact"/>
        <w:sectPr w:rsidR="00686F00">
          <w:footnotePr>
            <w:numRestart w:val="eachSect"/>
          </w:footnotePr>
          <w:type w:val="continuous"/>
          <w:pgSz w:w="12240" w:h="15840"/>
          <w:pgMar w:top="1080" w:right="900" w:bottom="1440" w:left="900" w:header="432" w:footer="432" w:gutter="0"/>
          <w:cols w:space="360"/>
        </w:sectPr>
      </w:pPr>
    </w:p>
    <w:p w14:paraId="3661D886" w14:textId="77777777" w:rsidR="00686F00" w:rsidRDefault="003259DA">
      <w:pPr>
        <w:pStyle w:val="3"/>
        <w:spacing w:before="140" w:after="60"/>
      </w:pPr>
      <w:bookmarkStart w:id="7" w:name="结构认知与教程限制"/>
      <w:bookmarkEnd w:id="6"/>
      <w:r>
        <w:rPr>
          <w:rFonts w:eastAsia="SimSun"/>
          <w:i/>
        </w:rPr>
        <w:t xml:space="preserve">D. </w:t>
      </w:r>
      <w:r>
        <w:rPr>
          <w:rFonts w:eastAsia="SimSun"/>
          <w:i/>
        </w:rPr>
        <w:t>结构认知与教程限制</w:t>
      </w:r>
    </w:p>
    <w:p w14:paraId="62BC5369" w14:textId="77777777" w:rsidR="00686F00" w:rsidRDefault="003259DA">
      <w:pPr>
        <w:pStyle w:val="FirstParagraph"/>
        <w:ind w:firstLine="202"/>
        <w:jc w:val="both"/>
      </w:pPr>
      <w:r>
        <w:rPr>
          <w:color w:val="000000"/>
        </w:rPr>
        <w:t xml:space="preserve">SuperAssembly </w:t>
      </w:r>
      <w:r>
        <w:rPr>
          <w:rFonts w:hint="eastAsia"/>
          <w:color w:val="000000"/>
        </w:rPr>
        <w:t>从模型中心展开部件，学习者可选择部件并查看名称、功能和关联实验。上部光学组件关联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NA</w:t>
      </w:r>
      <w:r>
        <w:rPr>
          <w:rFonts w:hint="eastAsia"/>
          <w:color w:val="000000"/>
        </w:rPr>
        <w:t>，物镜关联空间频率；说明和可用入口共同构成</w:t>
      </w:r>
      <w:r>
        <w:rPr>
          <w:color w:val="000000"/>
        </w:rPr>
        <w:t xml:space="preserve"> AI </w:t>
      </w:r>
      <w:r>
        <w:rPr>
          <w:rFonts w:hint="eastAsia"/>
          <w:color w:val="000000"/>
        </w:rPr>
        <w:t>上下文。教程完成记录只表示操作要求已满足，不代表概念掌握。</w:t>
      </w:r>
    </w:p>
    <w:p w14:paraId="6DD8CEF7" w14:textId="77777777" w:rsidR="00686F00" w:rsidRDefault="003259DA">
      <w:pPr>
        <w:pStyle w:val="3"/>
        <w:spacing w:before="140" w:after="60"/>
      </w:pPr>
      <w:bookmarkStart w:id="8" w:name="数值孔径实验"/>
      <w:bookmarkEnd w:id="7"/>
      <w:r>
        <w:rPr>
          <w:rFonts w:eastAsia="SimSun"/>
          <w:i/>
        </w:rPr>
        <w:t xml:space="preserve">E. </w:t>
      </w:r>
      <w:r>
        <w:rPr>
          <w:rFonts w:eastAsia="SimSun"/>
          <w:i/>
        </w:rPr>
        <w:t>数值孔径实验</w:t>
      </w:r>
    </w:p>
    <w:p w14:paraId="3188C22F" w14:textId="77777777" w:rsidR="00686F00" w:rsidRDefault="003259DA">
      <w:pPr>
        <w:pStyle w:val="FirstParagraph"/>
        <w:ind w:firstLine="202"/>
        <w:jc w:val="both"/>
      </w:pPr>
      <w:r>
        <w:rPr>
          <w:color w:val="000000"/>
        </w:rPr>
        <w:t xml:space="preserve">NA </w:t>
      </w:r>
      <w:r>
        <w:rPr>
          <w:rFonts w:hint="eastAsia"/>
          <w:color w:val="000000"/>
        </w:rPr>
        <w:t>模块提供</w:t>
      </w:r>
      <w:r>
        <w:rPr>
          <w:color w:val="000000"/>
        </w:rPr>
        <w:t xml:space="preserve"> 0.0</w:t>
      </w:r>
      <w:r>
        <w:rPr>
          <w:color w:val="000000"/>
        </w:rPr>
        <w:t xml:space="preserve">3–0.95 </w:t>
      </w:r>
      <w:r>
        <w:rPr>
          <w:rFonts w:hint="eastAsia"/>
          <w:color w:val="000000"/>
        </w:rPr>
        <w:t>的滑块范围，在固定折射率</w:t>
      </w:r>
      <w:r>
        <w:rPr>
          <w:color w:val="000000"/>
        </w:rP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下使用：</w:t>
      </w:r>
    </w:p>
    <w:p w14:paraId="668E40A4" w14:textId="77777777" w:rsidR="00686F00" w:rsidRDefault="003259DA">
      <w:pPr>
        <w:pStyle w:val="a0"/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NA=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=arcsin(NA/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7A52BCED" w14:textId="77777777" w:rsidR="00686F00" w:rsidRDefault="003259DA">
      <w:pPr>
        <w:pStyle w:val="FirstParagraph"/>
        <w:ind w:firstLine="202"/>
        <w:jc w:val="both"/>
      </w:pPr>
      <m:oMath>
        <m:r>
          <w:rPr>
            <w:rFonts w:ascii="Cambria Math" w:hAnsi="Cambria Math"/>
          </w:rPr>
          <m:t>θ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为光锥半角，界面同步更新角度和光锥几何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[5]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[7]</w:t>
      </w:r>
      <w:r>
        <w:rPr>
          <w:rFonts w:hint="eastAsia"/>
          <w:color w:val="000000"/>
        </w:rPr>
        <w:t>。倍率锚点与外观仅用于示意；</w:t>
      </w:r>
      <w:r>
        <w:rPr>
          <w:rFonts w:hint="eastAsia"/>
          <w:color w:val="000000"/>
        </w:rPr>
        <w:t>NA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不等同于倍率，显示变化也不是亮度、景深或分辨率的定量测量。</w:t>
      </w:r>
    </w:p>
    <w:p w14:paraId="5326B8C6" w14:textId="77777777" w:rsidR="00686F00" w:rsidRDefault="003259DA">
      <w:pPr>
        <w:pStyle w:val="3"/>
        <w:spacing w:before="140" w:after="60"/>
      </w:pPr>
      <w:bookmarkStart w:id="9" w:name="空间频率与结构光教学显示"/>
      <w:bookmarkEnd w:id="8"/>
      <w:r>
        <w:rPr>
          <w:rFonts w:eastAsia="SimSun"/>
          <w:i/>
        </w:rPr>
        <w:t xml:space="preserve">F. </w:t>
      </w:r>
      <w:r>
        <w:rPr>
          <w:rFonts w:eastAsia="SimSun"/>
          <w:i/>
        </w:rPr>
        <w:t>空间频率与结构光教学显示</w:t>
      </w:r>
    </w:p>
    <w:p w14:paraId="0F8B5455" w14:textId="77777777" w:rsidR="00686F00" w:rsidRDefault="003259DA">
      <w:pPr>
        <w:pStyle w:val="FirstParagraph"/>
        <w:ind w:firstLine="202"/>
        <w:jc w:val="both"/>
      </w:pPr>
      <w:r>
        <w:rPr>
          <w:rFonts w:hint="eastAsia"/>
          <w:color w:val="000000"/>
        </w:rPr>
        <w:t>空间频率界面提供</w:t>
      </w:r>
      <w:r>
        <w:rPr>
          <w:color w:val="000000"/>
        </w:rPr>
        <w:t xml:space="preserve"> 250</w:t>
      </w:r>
      <w:r>
        <w:rPr>
          <w:color w:val="000000"/>
        </w:rPr>
        <w:t>、</w:t>
      </w:r>
      <w:r>
        <w:rPr>
          <w:color w:val="000000"/>
        </w:rPr>
        <w:t>125</w:t>
      </w:r>
      <w:r>
        <w:rPr>
          <w:color w:val="000000"/>
        </w:rPr>
        <w:t>、</w:t>
      </w:r>
      <w:r>
        <w:rPr>
          <w:color w:val="000000"/>
        </w:rPr>
        <w:t xml:space="preserve">62.5 </w:t>
      </w:r>
      <w:r>
        <w:rPr>
          <w:rFonts w:hint="eastAsia"/>
          <w:color w:val="000000"/>
        </w:rPr>
        <w:t>线</w:t>
      </w:r>
      <w:r>
        <w:rPr>
          <w:rFonts w:hint="eastAsia"/>
          <w:color w:val="000000"/>
        </w:rPr>
        <w:t>/mm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三档光栅及照明选择。设空间频率为</w:t>
      </w:r>
      <w:r>
        <w:rPr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rPr>
          <w:rFonts w:hint="eastAsia"/>
          <w:color w:val="000000"/>
        </w:rPr>
        <w:t>、示意波长为</w:t>
      </w:r>
      <w:r>
        <w:rPr>
          <w:color w:val="000000"/>
        </w:rPr>
        <w:t xml:space="preserve"> </w:t>
      </w:r>
      <m:oMath>
        <m:r>
          <w:rPr>
            <w:rFonts w:ascii="Cambria Math" w:hAnsi="Cambria Math"/>
          </w:rPr>
          <m:t>λ</m:t>
        </m:r>
      </m:oMath>
      <w:r>
        <w:rPr>
          <w:rFonts w:hint="eastAsia"/>
          <w:color w:val="000000"/>
        </w:rPr>
        <w:t>、示意焦距为</w:t>
      </w:r>
      <w:r>
        <w:rPr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obj</m:t>
            </m:r>
          </m:sub>
        </m:sSub>
      </m:oMath>
      <w:r>
        <w:rPr>
          <w:rFonts w:hint="eastAsia"/>
          <w:color w:val="000000"/>
        </w:rPr>
        <w:t>，图示采用：</w:t>
      </w:r>
    </w:p>
    <w:p w14:paraId="6F2EF088" w14:textId="77777777" w:rsidR="00686F00" w:rsidRDefault="003259DA">
      <w:pPr>
        <w:pStyle w:val="a0"/>
        <w:spacing w:before="120" w:after="12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ψ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obj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ψ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6CE7F53" w14:textId="77777777" w:rsidR="00686F00" w:rsidRDefault="003259DA">
      <w:pPr>
        <w:pStyle w:val="FirstParagraph"/>
        <w:ind w:firstLine="202"/>
        <w:jc w:val="both"/>
      </w:pPr>
      <w:r>
        <w:rPr>
          <w:rFonts w:hint="eastAsia"/>
          <w:color w:val="000000"/>
        </w:rPr>
        <w:t>其中</w:t>
      </w:r>
      <w:r>
        <w:rPr>
          <w:color w:val="000000"/>
        </w:rPr>
        <w:t xml:space="preserve"> </w:t>
      </w:r>
      <m:oMath>
        <m:r>
          <w:rPr>
            <w:rFonts w:ascii="Cambria Math" w:hAnsi="Cambria Math"/>
          </w:rPr>
          <m:t>ρ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表示后焦平面偏移，区别于下文的样本频谱。小角度下</w:t>
      </w:r>
      <w:r>
        <w:rPr>
          <w:color w:val="000000"/>
        </w:rPr>
        <w:t xml:space="preserve"> </w:t>
      </w:r>
      <m:oMath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obj</m:t>
            </m:r>
          </m:sub>
        </m:sSub>
        <m:r>
          <m:rPr>
            <m:sty m:val="p"/>
          </m:rPr>
          <w:rPr>
            <w:rFonts w:ascii="Cambria Math" w:hAnsi="Cambria Math"/>
          </w:rPr>
          <m:t>≃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</m:t>
        </m:r>
      </m:oMath>
      <w:r>
        <w:rPr>
          <w:rFonts w:hint="eastAsia"/>
          <w:color w:val="000000"/>
        </w:rPr>
        <w:t>，可将光栅间距与衍射位置联系起来</w:t>
      </w:r>
      <w:r>
        <w:rPr>
          <w:color w:val="000000"/>
        </w:rPr>
        <w:t xml:space="preserve"> [6], [8], [9]</w:t>
      </w:r>
      <w:r>
        <w:rPr>
          <w:color w:val="000000"/>
        </w:rPr>
        <w:t>。</w:t>
      </w:r>
    </w:p>
    <w:p w14:paraId="6AF77EF9" w14:textId="77777777" w:rsidR="00686F00" w:rsidRDefault="003259DA">
      <w:pPr>
        <w:pStyle w:val="a0"/>
        <w:ind w:firstLine="202"/>
        <w:jc w:val="both"/>
      </w:pPr>
      <w:r>
        <w:rPr>
          <w:rFonts w:hint="eastAsia"/>
          <w:color w:val="000000"/>
        </w:rPr>
        <w:t>样本纹理转为标量场后，经</w:t>
      </w:r>
      <w:r>
        <w:rPr>
          <w:color w:val="000000"/>
        </w:rPr>
        <w:t xml:space="preserve"> Hann </w:t>
      </w:r>
      <w:r>
        <w:rPr>
          <w:rFonts w:hint="eastAsia"/>
          <w:color w:val="000000"/>
        </w:rPr>
        <w:t>窗减弱边界效应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[10]</w:t>
      </w:r>
      <w:r>
        <w:rPr>
          <w:rFonts w:hint="eastAsia"/>
          <w:color w:val="000000"/>
        </w:rPr>
        <w:t>，乘</w:t>
      </w:r>
      <w:r>
        <w:rPr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</m:sup>
        </m:sSup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居中零频，再由行列</w:t>
      </w:r>
      <w:r>
        <w:rPr>
          <w:color w:val="000000"/>
        </w:rPr>
        <w:t xml:space="preserve"> radix-2 FFT </w:t>
      </w:r>
      <w:r>
        <w:rPr>
          <w:rFonts w:hint="eastAsia"/>
          <w:color w:val="000000"/>
        </w:rPr>
        <w:t>计算频谱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[11]</w:t>
      </w:r>
      <w:r>
        <w:rPr>
          <w:rFonts w:hint="eastAsia"/>
          <w:color w:val="000000"/>
        </w:rPr>
        <w:t>。默认尺寸为</w:t>
      </w:r>
      <w:r>
        <w:rPr>
          <w:color w:val="000000"/>
        </w:rPr>
        <w:t xml:space="preserve"> </w:t>
      </w:r>
      <m:oMath>
        <m:r>
          <w:rPr>
            <w:rFonts w:ascii="Cambria Math" w:hAnsi="Cambria Math"/>
          </w:rPr>
          <m:t>128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128</m:t>
        </m:r>
      </m:oMath>
      <w:r>
        <w:rPr>
          <w:rFonts w:hint="eastAsia"/>
          <w:color w:val="000000"/>
        </w:rPr>
        <w:t>（支持</w:t>
      </w:r>
      <w:r>
        <w:rPr>
          <w:color w:val="000000"/>
        </w:rPr>
        <w:t xml:space="preserve"> 64–256 </w:t>
      </w:r>
      <w:r>
        <w:rPr>
          <w:rFonts w:hint="eastAsia"/>
          <w:color w:val="000000"/>
        </w:rPr>
        <w:t>的二次幂），随后进行对数压缩和显示归一化。</w:t>
      </w:r>
    </w:p>
    <w:p w14:paraId="33CEFEFC" w14:textId="77777777" w:rsidR="00686F00" w:rsidRDefault="003259DA">
      <w:pPr>
        <w:pStyle w:val="a0"/>
        <w:ind w:firstLine="202"/>
        <w:jc w:val="both"/>
      </w:pPr>
      <w:r>
        <w:rPr>
          <w:rFonts w:hint="eastAsia"/>
          <w:color w:val="000000"/>
        </w:rPr>
        <w:t>记样本频谱为</w:t>
      </w:r>
      <w:r>
        <w:rPr>
          <w:color w:val="000000"/>
        </w:rPr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  <w:color w:val="000000"/>
        </w:rPr>
        <w:t>，照明载波为</w:t>
      </w:r>
      <w:r>
        <w:rPr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  <w:color w:val="000000"/>
        </w:rPr>
        <w:t>，调制度为</w:t>
      </w:r>
      <w:r>
        <w:rPr>
          <w:color w:val="000000"/>
        </w:rPr>
        <w:t xml:space="preserve"> </w:t>
      </w:r>
      <m:oMath>
        <m:r>
          <w:rPr>
            <w:rFonts w:ascii="Cambria Math" w:hAnsi="Cambria Math"/>
          </w:rPr>
          <m:t>μ</m:t>
        </m:r>
      </m:oMath>
      <w:r>
        <w:rPr>
          <w:rFonts w:hint="eastAsia"/>
          <w:color w:val="000000"/>
        </w:rPr>
        <w:t>，照明相位为</w:t>
      </w:r>
      <w:r>
        <w:rPr>
          <w:color w:val="000000"/>
        </w:rPr>
        <w:t xml:space="preserve"> </w:t>
      </w:r>
      <m:oMath>
        <m:r>
          <w:rPr>
            <w:rFonts w:ascii="Cambria Math" w:hAnsi="Cambria Math"/>
          </w:rPr>
          <m:t>φ</m:t>
        </m:r>
      </m:oMath>
      <w:r>
        <w:rPr>
          <w:rFonts w:hint="eastAsia"/>
          <w:color w:val="000000"/>
        </w:rPr>
        <w:t>。标准</w:t>
      </w:r>
      <w:r>
        <w:rPr>
          <w:color w:val="000000"/>
        </w:rPr>
        <w:t xml:space="preserve"> SIM </w:t>
      </w:r>
      <w:r>
        <w:rPr>
          <w:rFonts w:hint="eastAsia"/>
          <w:color w:val="000000"/>
        </w:rPr>
        <w:t>的理论背景可概括为</w:t>
      </w:r>
      <w:r>
        <w:rPr>
          <w:color w:val="000000"/>
        </w:rPr>
        <w:t xml:space="preserve"> [12], </w:t>
      </w:r>
      <w:r>
        <w:rPr>
          <w:rFonts w:hint="eastAsia"/>
          <w:color w:val="000000"/>
        </w:rPr>
        <w:t>[13]</w:t>
      </w:r>
      <w:r>
        <w:rPr>
          <w:rFonts w:hint="eastAsia"/>
          <w:color w:val="000000"/>
        </w:rPr>
        <w:t>：</w:t>
      </w:r>
    </w:p>
    <w:p w14:paraId="2718CC03" w14:textId="77777777" w:rsidR="00686F00" w:rsidRDefault="003259DA">
      <w:pPr>
        <w:pStyle w:val="a0"/>
        <w:spacing w:before="120" w:after="120"/>
        <w:jc w:val="center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φ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opt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)[</m:t>
                </m:r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μ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iφ</m:t>
                    </m:r>
                  </m:sup>
                </m:sSup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μ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iφ</m:t>
                    </m:r>
                  </m:sup>
                </m:sSup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)].</m:t>
                </m:r>
              </m:e>
            </m:mr>
          </m:m>
        </m:oMath>
      </m:oMathPara>
    </w:p>
    <w:p w14:paraId="7D5746FC" w14:textId="77777777" w:rsidR="00686F00" w:rsidRDefault="003259DA">
      <w:pPr>
        <w:pStyle w:val="FirstParagraph"/>
        <w:ind w:firstLine="202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opt</m:t>
            </m:r>
          </m:sub>
        </m:sSub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为理论光学传递函数。当前混合面板仅演示一对移位侧带，其显示前幅值为：</w:t>
      </w:r>
    </w:p>
    <w:p w14:paraId="184B1EB8" w14:textId="77777777" w:rsidR="00686F00" w:rsidRDefault="003259DA">
      <w:pPr>
        <w:pStyle w:val="a0"/>
        <w:spacing w:before="120" w:after="12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demo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μ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)+</m:t>
                  </m:r>
                  <m:r>
                    <w:rPr>
                      <w:rFonts w:ascii="Cambria Math" w:hAnsi="Cambria Math"/>
                    </w:rPr>
                    <m:t>O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4E64559" w14:textId="77777777" w:rsidR="00686F00" w:rsidRDefault="003259DA">
      <w:pPr>
        <w:pStyle w:val="FirstParagraph"/>
        <w:ind w:firstLine="202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demo</m:t>
            </m:r>
          </m:sub>
        </m:sSub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是代码定义的示意</w:t>
      </w:r>
      <w:r>
        <w:rPr>
          <w:color w:val="000000"/>
        </w:rPr>
        <w:t xml:space="preserve"> pupil </w:t>
      </w:r>
      <w:r>
        <w:rPr>
          <w:rFonts w:hint="eastAsia"/>
          <w:color w:val="000000"/>
        </w:rPr>
        <w:t>权重，并非实测</w:t>
      </w:r>
      <w:r>
        <w:rPr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opt</m:t>
            </m:r>
          </m:sub>
        </m:sSub>
      </m:oMath>
      <w:r>
        <w:rPr>
          <w:rFonts w:hint="eastAsia"/>
          <w:color w:val="000000"/>
        </w:rPr>
        <w:t>；</w:t>
      </w:r>
      <m:oMath>
        <m:r>
          <w:rPr>
            <w:rFonts w:ascii="Cambria Math" w:hAnsi="Cambria Math"/>
          </w:rPr>
          <m:t>B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还会经过显示映射。另一面板组合</w:t>
      </w:r>
      <w:r>
        <w:rPr>
          <w:color w:val="000000"/>
        </w:rPr>
        <w:t xml:space="preserve"> 0°</w:t>
      </w:r>
      <w:r>
        <w:rPr>
          <w:color w:val="000000"/>
        </w:rPr>
        <w:t>、</w:t>
      </w:r>
      <w:r>
        <w:rPr>
          <w:color w:val="000000"/>
        </w:rPr>
        <w:t>60°</w:t>
      </w:r>
      <w:r>
        <w:rPr>
          <w:color w:val="000000"/>
        </w:rPr>
        <w:t>、</w:t>
      </w:r>
      <w:r>
        <w:rPr>
          <w:color w:val="000000"/>
        </w:rPr>
        <w:t xml:space="preserve">120° </w:t>
      </w:r>
      <w:r>
        <w:rPr>
          <w:rFonts w:hint="eastAsia"/>
          <w:color w:val="000000"/>
        </w:rPr>
        <w:t>的中心及移位覆盖。两者用于区分频谱搬移和多方向覆盖，没有执行多相位采集、相位分离或定量重建。</w:t>
      </w:r>
    </w:p>
    <w:p w14:paraId="60FF2C44" w14:textId="77777777" w:rsidR="00686F00" w:rsidRDefault="003259DA">
      <w:pPr>
        <w:pStyle w:val="a0"/>
        <w:ind w:firstLine="202"/>
        <w:jc w:val="both"/>
      </w:pPr>
      <w:r>
        <w:rPr>
          <w:rFonts w:hint="eastAsia"/>
          <w:color w:val="000000"/>
        </w:rPr>
        <w:t>对应的运行时反馈汇总于图</w:t>
      </w:r>
      <w:r>
        <w:rPr>
          <w:color w:val="000000"/>
        </w:rPr>
        <w:t xml:space="preserve"> 2</w:t>
      </w:r>
      <w:r>
        <w:rPr>
          <w:color w:val="000000"/>
        </w:rPr>
        <w:t>。</w:t>
      </w:r>
    </w:p>
    <w:p w14:paraId="38520ABD" w14:textId="77777777" w:rsidR="00686F00" w:rsidRDefault="00686F00">
      <w:pPr>
        <w:spacing w:line="20" w:lineRule="exact"/>
        <w:sectPr w:rsidR="00686F00">
          <w:footnotePr>
            <w:numRestart w:val="eachSect"/>
          </w:footnotePr>
          <w:type w:val="continuous"/>
          <w:pgSz w:w="12240" w:h="15840"/>
          <w:pgMar w:top="1080" w:right="900" w:bottom="1440" w:left="900" w:header="432" w:footer="432" w:gutter="0"/>
          <w:cols w:num="2" w:space="360"/>
        </w:sectPr>
      </w:pPr>
    </w:p>
    <w:tbl>
      <w:tblPr>
        <w:tblStyle w:val="Table"/>
        <w:tblW w:w="1044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480"/>
        <w:gridCol w:w="1740"/>
        <w:gridCol w:w="1740"/>
        <w:gridCol w:w="3480"/>
      </w:tblGrid>
      <w:tr w:rsidR="00686F00" w14:paraId="3C9D6F81" w14:textId="77777777" w:rsidTr="00686F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3480" w:type="dxa"/>
            <w:vAlign w:val="top"/>
          </w:tcPr>
          <w:p w14:paraId="3E72CCED" w14:textId="77777777" w:rsidR="00686F00" w:rsidRDefault="003259DA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65F264B" wp14:editId="7B4CCA2F">
                  <wp:extent cx="2039112" cy="112271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.1 不同调焦状态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9112" cy="112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C78E3" w14:textId="77777777" w:rsidR="00686F00" w:rsidRDefault="003259DA">
            <w:pPr>
              <w:keepNext/>
              <w:spacing w:after="100"/>
              <w:jc w:val="center"/>
            </w:pPr>
            <w:r>
              <w:rPr>
                <w:color w:val="000000"/>
                <w:sz w:val="16"/>
              </w:rPr>
              <w:t xml:space="preserve">(a) </w:t>
            </w:r>
            <w:r>
              <w:rPr>
                <w:color w:val="000000"/>
                <w:sz w:val="16"/>
              </w:rPr>
              <w:t>调焦状态一。</w:t>
            </w:r>
          </w:p>
        </w:tc>
        <w:tc>
          <w:tcPr>
            <w:tcW w:w="3480" w:type="dxa"/>
            <w:gridSpan w:val="2"/>
            <w:vAlign w:val="top"/>
          </w:tcPr>
          <w:p w14:paraId="26267FAC" w14:textId="77777777" w:rsidR="00686F00" w:rsidRDefault="003259D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BF55D17" wp14:editId="1F012A7A">
                  <wp:extent cx="2039112" cy="112425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.2 不同调焦状态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9112" cy="1124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FCAFD8" w14:textId="77777777" w:rsidR="00686F00" w:rsidRDefault="003259DA">
            <w:pPr>
              <w:keepNext/>
              <w:spacing w:after="100"/>
              <w:jc w:val="center"/>
            </w:pPr>
            <w:r>
              <w:rPr>
                <w:color w:val="000000"/>
                <w:sz w:val="16"/>
              </w:rPr>
              <w:t xml:space="preserve">(b) </w:t>
            </w:r>
            <w:r>
              <w:rPr>
                <w:color w:val="000000"/>
                <w:sz w:val="16"/>
              </w:rPr>
              <w:t>调焦状态二。</w:t>
            </w:r>
          </w:p>
        </w:tc>
        <w:tc>
          <w:tcPr>
            <w:tcW w:w="3480" w:type="dxa"/>
            <w:vAlign w:val="top"/>
          </w:tcPr>
          <w:p w14:paraId="51F2BA73" w14:textId="77777777" w:rsidR="00686F00" w:rsidRDefault="003259D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AC74C1C" wp14:editId="1ABF9415">
                  <wp:extent cx="2039112" cy="113434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2 不同NA设置与光锥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9112" cy="11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E7A478" w14:textId="77777777" w:rsidR="00686F00" w:rsidRDefault="003259DA">
            <w:pPr>
              <w:keepNext/>
              <w:spacing w:after="100"/>
              <w:jc w:val="center"/>
            </w:pPr>
            <w:r>
              <w:rPr>
                <w:color w:val="000000"/>
                <w:sz w:val="16"/>
              </w:rPr>
              <w:t xml:space="preserve">(c) </w:t>
            </w:r>
            <w:r>
              <w:rPr>
                <w:color w:val="000000"/>
                <w:sz w:val="16"/>
              </w:rPr>
              <w:t>数值孔径设置与光锥反馈。</w:t>
            </w:r>
          </w:p>
        </w:tc>
      </w:tr>
      <w:tr w:rsidR="00686F00" w14:paraId="31DE13F8" w14:textId="77777777" w:rsidTr="00686F00">
        <w:trPr>
          <w:cantSplit/>
          <w:jc w:val="center"/>
        </w:trPr>
        <w:tc>
          <w:tcPr>
            <w:tcW w:w="5220" w:type="dxa"/>
            <w:gridSpan w:val="2"/>
          </w:tcPr>
          <w:p w14:paraId="7ECB6E84" w14:textId="77777777" w:rsidR="00686F00" w:rsidRDefault="003259D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2A0AF2A" wp14:editId="296CA751">
                  <wp:extent cx="3136392" cy="176389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3.1 不同空间频率下的频谱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392" cy="176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BC92B" w14:textId="77777777" w:rsidR="00686F00" w:rsidRDefault="003259DA">
            <w:pPr>
              <w:keepNext/>
              <w:spacing w:after="100"/>
              <w:jc w:val="center"/>
            </w:pPr>
            <w:r>
              <w:rPr>
                <w:color w:val="000000"/>
                <w:sz w:val="16"/>
              </w:rPr>
              <w:t xml:space="preserve">(d) </w:t>
            </w:r>
            <w:r>
              <w:rPr>
                <w:color w:val="000000"/>
                <w:sz w:val="16"/>
              </w:rPr>
              <w:t>较高载波频率。</w:t>
            </w:r>
          </w:p>
        </w:tc>
        <w:tc>
          <w:tcPr>
            <w:tcW w:w="5220" w:type="dxa"/>
            <w:gridSpan w:val="2"/>
          </w:tcPr>
          <w:p w14:paraId="25416358" w14:textId="77777777" w:rsidR="00686F00" w:rsidRDefault="003259D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85B85B9" wp14:editId="7A25E5FE">
                  <wp:extent cx="3136392" cy="1754517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3.3 不同空间频率下的频谱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392" cy="1754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8CEFF3" w14:textId="77777777" w:rsidR="00686F00" w:rsidRDefault="003259DA">
            <w:pPr>
              <w:keepNext/>
              <w:spacing w:after="100"/>
              <w:jc w:val="center"/>
            </w:pPr>
            <w:r>
              <w:rPr>
                <w:color w:val="000000"/>
                <w:sz w:val="16"/>
              </w:rPr>
              <w:t xml:space="preserve">(e) </w:t>
            </w:r>
            <w:r>
              <w:rPr>
                <w:color w:val="000000"/>
                <w:sz w:val="16"/>
              </w:rPr>
              <w:t>较低载波频率。</w:t>
            </w:r>
          </w:p>
        </w:tc>
      </w:tr>
    </w:tbl>
    <w:p w14:paraId="2FB0F101" w14:textId="77777777" w:rsidR="00686F00" w:rsidRDefault="003259DA">
      <w:pPr>
        <w:pStyle w:val="a0"/>
        <w:keepLines/>
        <w:spacing w:before="60" w:after="160"/>
        <w:jc w:val="both"/>
      </w:pPr>
      <w:r>
        <w:rPr>
          <w:color w:val="000000"/>
          <w:sz w:val="16"/>
        </w:rPr>
        <w:t>图</w:t>
      </w:r>
      <w:r>
        <w:rPr>
          <w:color w:val="000000"/>
          <w:sz w:val="16"/>
        </w:rPr>
        <w:t xml:space="preserve"> 2. </w:t>
      </w:r>
      <w:r>
        <w:rPr>
          <w:color w:val="000000"/>
          <w:sz w:val="16"/>
        </w:rPr>
        <w:t>教学输入与可观察反馈的对应关系。调焦、</w:t>
      </w:r>
      <w:r>
        <w:rPr>
          <w:color w:val="000000"/>
          <w:sz w:val="16"/>
        </w:rPr>
        <w:t xml:space="preserve">NA </w:t>
      </w:r>
      <w:r>
        <w:rPr>
          <w:color w:val="000000"/>
          <w:sz w:val="16"/>
        </w:rPr>
        <w:t>和照明载波分别改变样本显示、光锥几何及侧带</w:t>
      </w:r>
      <w:r>
        <w:rPr>
          <w:color w:val="000000"/>
          <w:sz w:val="16"/>
        </w:rPr>
        <w:t>/</w:t>
      </w:r>
      <w:r>
        <w:rPr>
          <w:color w:val="000000"/>
          <w:sz w:val="16"/>
        </w:rPr>
        <w:t>支持范围；光学反馈包含人工映射和简化数值显示。截图用于说明输入变化及其视觉反馈，不宣称经过标定的光学测量。</w:t>
      </w:r>
    </w:p>
    <w:p w14:paraId="321A7A06" w14:textId="77777777" w:rsidR="00686F00" w:rsidRDefault="00686F00">
      <w:pPr>
        <w:spacing w:line="20" w:lineRule="exact"/>
        <w:sectPr w:rsidR="00686F00">
          <w:footnotePr>
            <w:numRestart w:val="eachSect"/>
          </w:footnotePr>
          <w:type w:val="continuous"/>
          <w:pgSz w:w="12240" w:h="15840"/>
          <w:pgMar w:top="1080" w:right="900" w:bottom="1440" w:left="900" w:header="432" w:footer="432" w:gutter="0"/>
          <w:cols w:space="360"/>
        </w:sectPr>
      </w:pPr>
    </w:p>
    <w:p w14:paraId="3CC7F6AC" w14:textId="77777777" w:rsidR="00686F00" w:rsidRDefault="003259DA">
      <w:pPr>
        <w:pStyle w:val="3"/>
        <w:spacing w:before="140" w:after="60"/>
      </w:pPr>
      <w:bookmarkStart w:id="10" w:name="thz-s-snom-演示"/>
      <w:bookmarkEnd w:id="9"/>
      <w:r>
        <w:rPr>
          <w:rFonts w:eastAsia="SimSun"/>
          <w:i/>
        </w:rPr>
        <w:t xml:space="preserve">G. THz s-SNOM </w:t>
      </w:r>
      <w:r>
        <w:rPr>
          <w:rFonts w:eastAsia="SimSun"/>
          <w:i/>
        </w:rPr>
        <w:t>演示</w:t>
      </w:r>
    </w:p>
    <w:p w14:paraId="5E4EEAB1" w14:textId="77777777" w:rsidR="00686F00" w:rsidRDefault="003259DA">
      <w:pPr>
        <w:pStyle w:val="FirstParagraph"/>
        <w:ind w:firstLine="202"/>
        <w:jc w:val="both"/>
      </w:pPr>
      <w:r>
        <w:rPr>
          <w:color w:val="000000"/>
        </w:rPr>
        <w:t xml:space="preserve">SNOM </w:t>
      </w:r>
      <w:r>
        <w:rPr>
          <w:rFonts w:hint="eastAsia"/>
          <w:color w:val="000000"/>
        </w:rPr>
        <w:t>模块覆盖探针选择、安装、启动、</w:t>
      </w:r>
      <w:r>
        <w:rPr>
          <w:rFonts w:hint="eastAsia"/>
          <w:color w:val="000000"/>
        </w:rPr>
        <w:t>THz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产生与传播、敲击、近场耦合、背景抑制和栅格扫描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[14]</w:t>
      </w:r>
      <w:r>
        <w:rPr>
          <w:rFonts w:hint="eastAsia"/>
          <w:color w:val="000000"/>
        </w:rPr>
        <w:t>–</w:t>
      </w:r>
      <w:r>
        <w:rPr>
          <w:rFonts w:hint="eastAsia"/>
          <w:color w:val="000000"/>
        </w:rPr>
        <w:t>[17]</w:t>
      </w:r>
      <w:r>
        <w:rPr>
          <w:rFonts w:hint="eastAsia"/>
          <w:color w:val="000000"/>
        </w:rPr>
        <w:t>。动画、扫描光标、合成波形和图像连接阶段与输出；高次谐波显示用于说明近场贡献与背景的分离</w:t>
      </w:r>
      <w:r>
        <w:rPr>
          <w:color w:val="000000"/>
        </w:rPr>
        <w:t xml:space="preserve"> [16]</w:t>
      </w:r>
      <w:r>
        <w:rPr>
          <w:color w:val="000000"/>
        </w:rPr>
        <w:t>、</w:t>
      </w:r>
      <w:r>
        <w:rPr>
          <w:color w:val="000000"/>
        </w:rPr>
        <w:t>[17]</w:t>
      </w:r>
      <w:r>
        <w:rPr>
          <w:color w:val="000000"/>
        </w:rPr>
        <w:t>。</w:t>
      </w:r>
      <w:r>
        <w:rPr>
          <w:color w:val="000000"/>
        </w:rPr>
        <w:t>3×</w:t>
      </w:r>
      <w:r>
        <w:rPr>
          <w:color w:val="000000"/>
        </w:rPr>
        <w:t>、</w:t>
      </w:r>
      <w:r>
        <w:rPr>
          <w:color w:val="000000"/>
        </w:rPr>
        <w:t>2×</w:t>
      </w:r>
      <w:r>
        <w:rPr>
          <w:color w:val="000000"/>
        </w:rPr>
        <w:t>、</w:t>
      </w:r>
      <w:r>
        <w:rPr>
          <w:color w:val="000000"/>
        </w:rPr>
        <w:t xml:space="preserve">1× </w:t>
      </w:r>
      <w:r>
        <w:rPr>
          <w:rFonts w:hint="eastAsia"/>
          <w:color w:val="000000"/>
        </w:rPr>
        <w:t>表示相对教学细节，本模块不对实测信号解调，也不执行幅相反演或介电常数求解。</w:t>
      </w:r>
    </w:p>
    <w:p w14:paraId="148E69B6" w14:textId="77777777" w:rsidR="00686F00" w:rsidRDefault="003259DA">
      <w:pPr>
        <w:pStyle w:val="2"/>
        <w:spacing w:before="200" w:after="100"/>
        <w:jc w:val="center"/>
      </w:pPr>
      <w:bookmarkStart w:id="11" w:name="与实验环境结合的-ai-指引"/>
      <w:bookmarkEnd w:id="3"/>
      <w:bookmarkEnd w:id="10"/>
      <w:r>
        <w:rPr>
          <w:rFonts w:ascii="Times New Roman" w:eastAsia="SimSun" w:hAnsi="Times New Roman"/>
        </w:rPr>
        <w:t xml:space="preserve">IV. </w:t>
      </w:r>
      <w:r>
        <w:rPr>
          <w:rFonts w:ascii="Times New Roman" w:eastAsia="SimSun" w:hAnsi="Times New Roman"/>
        </w:rPr>
        <w:t>与实验环境结合的</w:t>
      </w:r>
      <w:r>
        <w:rPr>
          <w:rFonts w:ascii="Times New Roman" w:eastAsia="SimSun" w:hAnsi="Times New Roman"/>
        </w:rPr>
        <w:t xml:space="preserve"> AI </w:t>
      </w:r>
      <w:r>
        <w:rPr>
          <w:rFonts w:ascii="Times New Roman" w:eastAsia="SimSun" w:hAnsi="Times New Roman"/>
        </w:rPr>
        <w:t>指引</w:t>
      </w:r>
    </w:p>
    <w:p w14:paraId="367A23B0" w14:textId="77777777" w:rsidR="00686F00" w:rsidRDefault="003259DA">
      <w:pPr>
        <w:pStyle w:val="3"/>
        <w:spacing w:before="140" w:after="60"/>
      </w:pPr>
      <w:bookmarkStart w:id="12" w:name="对话入口与知识数据流"/>
      <w:r>
        <w:rPr>
          <w:rFonts w:eastAsia="SimSun"/>
          <w:i/>
        </w:rPr>
        <w:t xml:space="preserve">A. </w:t>
      </w:r>
      <w:r>
        <w:rPr>
          <w:rFonts w:eastAsia="SimSun"/>
          <w:i/>
        </w:rPr>
        <w:t>对话入口与知识数据流</w:t>
      </w:r>
    </w:p>
    <w:p w14:paraId="06B7F61A" w14:textId="77777777" w:rsidR="00686F00" w:rsidRDefault="003259DA">
      <w:pPr>
        <w:pStyle w:val="FirstParagraph"/>
        <w:ind w:firstLine="202"/>
        <w:jc w:val="both"/>
      </w:pPr>
      <w:r>
        <w:rPr>
          <w:rFonts w:hint="eastAsia"/>
          <w:color w:val="000000"/>
        </w:rPr>
        <w:t>角落小助手提供本地问候；明确提交的问题经</w:t>
      </w:r>
      <w:r>
        <w:rPr>
          <w:color w:val="000000"/>
        </w:rPr>
        <w:t xml:space="preserve"> Python </w:t>
      </w:r>
      <w:r>
        <w:rPr>
          <w:rFonts w:hint="eastAsia"/>
          <w:color w:val="000000"/>
        </w:rPr>
        <w:t>网关发送到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DeepSeek</w:t>
      </w:r>
      <w:r>
        <w:rPr>
          <w:rFonts w:hint="eastAsia"/>
          <w:color w:val="000000"/>
        </w:rPr>
        <w:t>。网关组合版本化的项目知识、交互描述、状态快照和共享动作目录，模型无需访问项目文件或画面。语音先形成可编辑草稿，用户确认后进入同一问答流程。</w:t>
      </w:r>
    </w:p>
    <w:p w14:paraId="5A68EAC8" w14:textId="77777777" w:rsidR="00686F00" w:rsidRDefault="00686F00">
      <w:pPr>
        <w:spacing w:line="20" w:lineRule="exact"/>
        <w:sectPr w:rsidR="00686F00">
          <w:footnotePr>
            <w:numRestart w:val="eachSect"/>
          </w:footnotePr>
          <w:type w:val="continuous"/>
          <w:pgSz w:w="12240" w:h="15840"/>
          <w:pgMar w:top="1080" w:right="900" w:bottom="1440" w:left="900" w:header="432" w:footer="432" w:gutter="0"/>
          <w:cols w:num="2" w:space="360"/>
        </w:sectPr>
      </w:pPr>
    </w:p>
    <w:p w14:paraId="0603E25C" w14:textId="77777777" w:rsidR="00686F00" w:rsidRDefault="003259D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AF52EAC" wp14:editId="4B0C3774">
            <wp:extent cx="6492240" cy="44658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6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A5E2" w14:textId="77777777" w:rsidR="00686F00" w:rsidRDefault="003259DA">
      <w:pPr>
        <w:pStyle w:val="a0"/>
        <w:keepLines/>
        <w:spacing w:before="60" w:after="160"/>
        <w:jc w:val="both"/>
      </w:pPr>
      <w:r>
        <w:rPr>
          <w:color w:val="000000"/>
          <w:sz w:val="16"/>
        </w:rPr>
        <w:t>图</w:t>
      </w:r>
      <w:r>
        <w:rPr>
          <w:color w:val="000000"/>
          <w:sz w:val="16"/>
        </w:rPr>
        <w:t xml:space="preserve"> 3. </w:t>
      </w:r>
      <w:r>
        <w:rPr>
          <w:color w:val="000000"/>
          <w:sz w:val="16"/>
        </w:rPr>
        <w:t>状态约束的问答架构。模型选择候选解释或指引，程序负责可用性校验、操作文案和响应时效；格式修复保持同一状态权限，实验操作由玩家完成。</w:t>
      </w:r>
    </w:p>
    <w:p w14:paraId="195BAD5D" w14:textId="77777777" w:rsidR="00686F00" w:rsidRDefault="00686F00">
      <w:pPr>
        <w:spacing w:line="20" w:lineRule="exact"/>
        <w:sectPr w:rsidR="00686F00">
          <w:footnotePr>
            <w:numRestart w:val="eachSect"/>
          </w:footnotePr>
          <w:type w:val="continuous"/>
          <w:pgSz w:w="12240" w:h="15840"/>
          <w:pgMar w:top="1080" w:right="900" w:bottom="1440" w:left="900" w:header="432" w:footer="432" w:gutter="0"/>
          <w:cols w:space="360"/>
        </w:sectPr>
      </w:pPr>
    </w:p>
    <w:p w14:paraId="6D168F97" w14:textId="77777777" w:rsidR="00686F00" w:rsidRDefault="003259DA">
      <w:pPr>
        <w:pStyle w:val="3"/>
        <w:spacing w:before="140" w:after="60"/>
      </w:pPr>
      <w:bookmarkStart w:id="13" w:name="任务状态与可用活动"/>
      <w:bookmarkEnd w:id="12"/>
      <w:r>
        <w:rPr>
          <w:rFonts w:eastAsia="SimSun"/>
          <w:i/>
        </w:rPr>
        <w:t xml:space="preserve">B. </w:t>
      </w:r>
      <w:r>
        <w:rPr>
          <w:rFonts w:eastAsia="SimSun"/>
          <w:i/>
        </w:rPr>
        <w:t>任务状态与可用活动</w:t>
      </w:r>
    </w:p>
    <w:p w14:paraId="158F86A6" w14:textId="77777777" w:rsidR="00686F00" w:rsidRDefault="00686F00">
      <w:pPr>
        <w:spacing w:line="20" w:lineRule="exact"/>
        <w:sectPr w:rsidR="00686F00">
          <w:footnotePr>
            <w:numRestart w:val="eachSect"/>
          </w:footnotePr>
          <w:type w:val="continuous"/>
          <w:pgSz w:w="12240" w:h="15840"/>
          <w:pgMar w:top="1080" w:right="900" w:bottom="1440" w:left="900" w:header="432" w:footer="432" w:gutter="0"/>
          <w:cols w:num="2" w:space="360"/>
        </w:sectPr>
      </w:pPr>
    </w:p>
    <w:p w14:paraId="3E2D4C45" w14:textId="77777777" w:rsidR="00686F00" w:rsidRDefault="003259DA">
      <w:pPr>
        <w:pStyle w:val="FirstParagraph"/>
        <w:keepNext/>
        <w:spacing w:before="160" w:after="80"/>
        <w:jc w:val="center"/>
      </w:pPr>
      <w:r>
        <w:rPr>
          <w:color w:val="000000"/>
          <w:sz w:val="16"/>
        </w:rPr>
        <w:t>表</w:t>
      </w:r>
      <w:r>
        <w:rPr>
          <w:color w:val="000000"/>
          <w:sz w:val="16"/>
        </w:rPr>
        <w:t xml:space="preserve"> II</w:t>
      </w:r>
      <w:r>
        <w:rPr>
          <w:color w:val="000000"/>
          <w:sz w:val="16"/>
        </w:rPr>
        <w:br/>
        <w:t xml:space="preserve">VR </w:t>
      </w:r>
      <w:r>
        <w:rPr>
          <w:color w:val="000000"/>
          <w:sz w:val="16"/>
        </w:rPr>
        <w:t>活动与</w:t>
      </w:r>
      <w:r>
        <w:rPr>
          <w:color w:val="000000"/>
          <w:sz w:val="16"/>
        </w:rPr>
        <w:t xml:space="preserve"> AI </w:t>
      </w:r>
      <w:r>
        <w:rPr>
          <w:color w:val="000000"/>
          <w:sz w:val="16"/>
        </w:rPr>
        <w:t>上下文的对应关系。</w:t>
      </w:r>
    </w:p>
    <w:tbl>
      <w:tblPr>
        <w:tblStyle w:val="Table"/>
        <w:tblW w:w="10440" w:type="dxa"/>
        <w:jc w:val="center"/>
        <w:tblBorders>
          <w:top w:val="single" w:sz="6" w:space="0" w:color="auto"/>
          <w:left w:val="nil"/>
          <w:bottom w:val="single" w:sz="6" w:space="0" w:color="auto"/>
          <w:right w:val="nil"/>
          <w:insideH w:val="nil"/>
          <w:insideV w:val="nil"/>
        </w:tblBorders>
        <w:tblLayout w:type="fixed"/>
        <w:tblLook w:val="0020" w:firstRow="1" w:lastRow="0" w:firstColumn="0" w:lastColumn="0" w:noHBand="0" w:noVBand="0"/>
      </w:tblPr>
      <w:tblGrid>
        <w:gridCol w:w="3480"/>
        <w:gridCol w:w="3480"/>
        <w:gridCol w:w="3480"/>
      </w:tblGrid>
      <w:tr w:rsidR="00686F00" w14:paraId="15B72283" w14:textId="77777777" w:rsidTr="00686F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80" w:type="dxa"/>
            <w:tcBorders>
              <w:bottom w:val="single" w:sz="4" w:space="0" w:color="auto"/>
            </w:tcBorders>
            <w:vAlign w:val="top"/>
          </w:tcPr>
          <w:p w14:paraId="6AD3D538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b/>
                <w:color w:val="000000"/>
                <w:sz w:val="16"/>
              </w:rPr>
              <w:t xml:space="preserve">VR </w:t>
            </w:r>
            <w:r>
              <w:rPr>
                <w:rFonts w:hint="eastAsia"/>
                <w:b/>
                <w:color w:val="000000"/>
                <w:sz w:val="16"/>
              </w:rPr>
              <w:t>情境</w:t>
            </w:r>
          </w:p>
        </w:tc>
        <w:tc>
          <w:tcPr>
            <w:tcW w:w="3480" w:type="dxa"/>
            <w:tcBorders>
              <w:bottom w:val="single" w:sz="4" w:space="0" w:color="auto"/>
            </w:tcBorders>
            <w:vAlign w:val="top"/>
          </w:tcPr>
          <w:p w14:paraId="5BA7C399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b/>
                <w:color w:val="000000"/>
                <w:sz w:val="16"/>
              </w:rPr>
              <w:t>提供的信息</w:t>
            </w:r>
          </w:p>
        </w:tc>
        <w:tc>
          <w:tcPr>
            <w:tcW w:w="3480" w:type="dxa"/>
            <w:tcBorders>
              <w:bottom w:val="single" w:sz="4" w:space="0" w:color="auto"/>
            </w:tcBorders>
            <w:vAlign w:val="top"/>
          </w:tcPr>
          <w:p w14:paraId="4E07A0F8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b/>
                <w:color w:val="000000"/>
                <w:sz w:val="16"/>
              </w:rPr>
              <w:t>支持的指引</w:t>
            </w:r>
          </w:p>
        </w:tc>
      </w:tr>
      <w:tr w:rsidR="00686F00" w14:paraId="69BDD1CE" w14:textId="77777777" w:rsidTr="00686F00">
        <w:trPr>
          <w:cantSplit/>
          <w:jc w:val="center"/>
        </w:trPr>
        <w:tc>
          <w:tcPr>
            <w:tcW w:w="3480" w:type="dxa"/>
          </w:tcPr>
          <w:p w14:paraId="2DB3BBF4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样本操作</w:t>
            </w:r>
          </w:p>
        </w:tc>
        <w:tc>
          <w:tcPr>
            <w:tcW w:w="3480" w:type="dxa"/>
          </w:tcPr>
          <w:p w14:paraId="633E5A9A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手持对象、放置状态、可用动作</w:t>
            </w:r>
          </w:p>
        </w:tc>
        <w:tc>
          <w:tcPr>
            <w:tcW w:w="3480" w:type="dxa"/>
          </w:tcPr>
          <w:p w14:paraId="6A26B36A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拾取、放置、观察或取出</w:t>
            </w:r>
          </w:p>
        </w:tc>
      </w:tr>
      <w:tr w:rsidR="00686F00" w14:paraId="3CBBF793" w14:textId="77777777" w:rsidTr="00686F00">
        <w:trPr>
          <w:cantSplit/>
          <w:jc w:val="center"/>
        </w:trPr>
        <w:tc>
          <w:tcPr>
            <w:tcW w:w="3480" w:type="dxa"/>
          </w:tcPr>
          <w:p w14:paraId="3226C60C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显微观察</w:t>
            </w:r>
          </w:p>
        </w:tc>
        <w:tc>
          <w:tcPr>
            <w:tcW w:w="3480" w:type="dxa"/>
          </w:tcPr>
          <w:p w14:paraId="148877A7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模式、观察点、可用控制</w:t>
            </w:r>
          </w:p>
        </w:tc>
        <w:tc>
          <w:tcPr>
            <w:tcW w:w="3480" w:type="dxa"/>
          </w:tcPr>
          <w:p w14:paraId="52630B79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调焦、亮度或物镜操作说明</w:t>
            </w:r>
          </w:p>
        </w:tc>
      </w:tr>
      <w:tr w:rsidR="00686F00" w14:paraId="1A2FF661" w14:textId="77777777" w:rsidTr="00686F00">
        <w:trPr>
          <w:cantSplit/>
          <w:jc w:val="center"/>
        </w:trPr>
        <w:tc>
          <w:tcPr>
            <w:tcW w:w="3480" w:type="dxa"/>
          </w:tcPr>
          <w:p w14:paraId="12159B58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部件查看</w:t>
            </w:r>
          </w:p>
        </w:tc>
        <w:tc>
          <w:tcPr>
            <w:tcW w:w="3480" w:type="dxa"/>
          </w:tcPr>
          <w:p w14:paraId="61F549BF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名称、说明、关联实验、可用启动动作</w:t>
            </w:r>
          </w:p>
        </w:tc>
        <w:tc>
          <w:tcPr>
            <w:tcW w:w="3480" w:type="dxa"/>
          </w:tcPr>
          <w:p w14:paraId="1A1B08DE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部件解释及实验入口</w:t>
            </w:r>
          </w:p>
        </w:tc>
      </w:tr>
      <w:tr w:rsidR="00686F00" w14:paraId="0931056B" w14:textId="77777777" w:rsidTr="00686F00">
        <w:trPr>
          <w:cantSplit/>
          <w:jc w:val="center"/>
        </w:trPr>
        <w:tc>
          <w:tcPr>
            <w:tcW w:w="3480" w:type="dxa"/>
          </w:tcPr>
          <w:p w14:paraId="3D0BB6E3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NA/</w:t>
            </w:r>
            <w:r>
              <w:rPr>
                <w:rFonts w:hint="eastAsia"/>
                <w:color w:val="000000"/>
                <w:sz w:val="16"/>
              </w:rPr>
              <w:t>空间频率</w:t>
            </w:r>
          </w:p>
        </w:tc>
        <w:tc>
          <w:tcPr>
            <w:tcW w:w="3480" w:type="dxa"/>
          </w:tcPr>
          <w:p w14:paraId="0573FF88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当前模块参数和控制</w:t>
            </w:r>
          </w:p>
        </w:tc>
        <w:tc>
          <w:tcPr>
            <w:tcW w:w="3480" w:type="dxa"/>
          </w:tcPr>
          <w:p w14:paraId="4E1EA872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参数含义与当前操作</w:t>
            </w:r>
          </w:p>
        </w:tc>
      </w:tr>
      <w:tr w:rsidR="00686F00" w14:paraId="5A285281" w14:textId="77777777" w:rsidTr="00686F00">
        <w:trPr>
          <w:cantSplit/>
          <w:jc w:val="center"/>
        </w:trPr>
        <w:tc>
          <w:tcPr>
            <w:tcW w:w="3480" w:type="dxa"/>
          </w:tcPr>
          <w:p w14:paraId="38A991D8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color w:val="000000"/>
                <w:sz w:val="16"/>
              </w:rPr>
              <w:t>SNOM</w:t>
            </w:r>
          </w:p>
        </w:tc>
        <w:tc>
          <w:tcPr>
            <w:tcW w:w="3480" w:type="dxa"/>
          </w:tcPr>
          <w:p w14:paraId="5C4CD93E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阶段、探针、播放及部件模式</w:t>
            </w:r>
          </w:p>
        </w:tc>
        <w:tc>
          <w:tcPr>
            <w:tcW w:w="3480" w:type="dxa"/>
          </w:tcPr>
          <w:p w14:paraId="0B370E32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当前流程和前置条件</w:t>
            </w:r>
          </w:p>
        </w:tc>
      </w:tr>
      <w:tr w:rsidR="00686F00" w14:paraId="57A3C42B" w14:textId="77777777" w:rsidTr="00686F00">
        <w:trPr>
          <w:cantSplit/>
          <w:jc w:val="center"/>
        </w:trPr>
        <w:tc>
          <w:tcPr>
            <w:tcW w:w="3480" w:type="dxa"/>
          </w:tcPr>
          <w:p w14:paraId="57F1FD7F" w14:textId="77777777" w:rsidR="00686F00" w:rsidRDefault="003259DA">
            <w:pPr>
              <w:pStyle w:val="Compact"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空间定位</w:t>
            </w:r>
          </w:p>
        </w:tc>
        <w:tc>
          <w:tcPr>
            <w:tcW w:w="3480" w:type="dxa"/>
          </w:tcPr>
          <w:p w14:paraId="7996DAC8" w14:textId="77777777" w:rsidR="00686F00" w:rsidRDefault="003259DA">
            <w:pPr>
              <w:pStyle w:val="Compact"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可用目标、世界位置、玩家朝向及尺度</w:t>
            </w:r>
          </w:p>
        </w:tc>
        <w:tc>
          <w:tcPr>
            <w:tcW w:w="3480" w:type="dxa"/>
          </w:tcPr>
          <w:p w14:paraId="2B542F35" w14:textId="77777777" w:rsidR="00686F00" w:rsidRDefault="003259DA">
            <w:pPr>
              <w:pStyle w:val="Compact"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仪器区域或具体样本标记</w:t>
            </w:r>
          </w:p>
        </w:tc>
      </w:tr>
    </w:tbl>
    <w:p w14:paraId="40A97D23" w14:textId="77777777" w:rsidR="00686F00" w:rsidRDefault="00686F00">
      <w:pPr>
        <w:spacing w:line="20" w:lineRule="exact"/>
        <w:sectPr w:rsidR="00686F00">
          <w:footnotePr>
            <w:numRestart w:val="eachSect"/>
          </w:footnotePr>
          <w:type w:val="continuous"/>
          <w:pgSz w:w="12240" w:h="15840"/>
          <w:pgMar w:top="1080" w:right="900" w:bottom="1440" w:left="900" w:header="432" w:footer="432" w:gutter="0"/>
          <w:cols w:space="360"/>
        </w:sectPr>
      </w:pPr>
    </w:p>
    <w:p w14:paraId="4132878C" w14:textId="77777777" w:rsidR="00686F00" w:rsidRDefault="003259DA">
      <w:pPr>
        <w:pStyle w:val="a0"/>
        <w:ind w:firstLine="202"/>
        <w:jc w:val="both"/>
      </w:pPr>
      <w:r>
        <w:rPr>
          <w:rFonts w:hint="eastAsia"/>
          <w:color w:val="000000"/>
        </w:rPr>
        <w:t>快照不含焦点值、误差、物镜索引或图像质量。因此助手只能说明控制方法与观察目标，不能计算保证改善清晰度的方向；非活动模块的默认值不作为读数。</w:t>
      </w:r>
    </w:p>
    <w:p w14:paraId="4A86EBE9" w14:textId="77777777" w:rsidR="00686F00" w:rsidRDefault="003259DA">
      <w:pPr>
        <w:pStyle w:val="3"/>
        <w:spacing w:before="140" w:after="60"/>
      </w:pPr>
      <w:bookmarkStart w:id="14" w:name="受约束生成与一次格式修复"/>
      <w:bookmarkEnd w:id="13"/>
      <w:r>
        <w:rPr>
          <w:rFonts w:eastAsia="SimSun"/>
          <w:i/>
        </w:rPr>
        <w:t xml:space="preserve">C. </w:t>
      </w:r>
      <w:r>
        <w:rPr>
          <w:rFonts w:eastAsia="SimSun"/>
          <w:i/>
        </w:rPr>
        <w:t>受约束生成与一次格式修复</w:t>
      </w:r>
    </w:p>
    <w:p w14:paraId="3515329F" w14:textId="77777777" w:rsidR="00686F00" w:rsidRDefault="003259DA">
      <w:pPr>
        <w:pStyle w:val="FirstParagraph"/>
        <w:ind w:firstLine="202"/>
        <w:jc w:val="both"/>
      </w:pPr>
      <w:r>
        <w:rPr>
          <w:rFonts w:hint="eastAsia"/>
          <w:color w:val="000000"/>
        </w:rPr>
        <w:t>设</w:t>
      </w:r>
      <w:r>
        <w:rPr>
          <w:color w:val="000000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C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为共享动作目录，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为状态</w:t>
      </w:r>
      <w:r>
        <w:rPr>
          <w:color w:val="000000"/>
        </w:rPr>
        <w:t xml:space="preserve"> </w:t>
      </w:r>
      <m:oMath>
        <m:r>
          <w:rPr>
            <w:rFonts w:ascii="Cambria Math" w:hAnsi="Cambria Math"/>
          </w:rPr>
          <m:t>s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下动作</w:t>
      </w:r>
      <w:r>
        <w:rPr>
          <w:color w:val="000000"/>
        </w:rP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的可用性条件，则：</w:t>
      </w:r>
    </w:p>
    <w:p w14:paraId="0943C399" w14:textId="77777777" w:rsidR="00686F00" w:rsidRDefault="003259DA">
      <w:pPr>
        <w:pStyle w:val="a0"/>
        <w:spacing w:before="120" w:after="120"/>
        <w:jc w:val="center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)={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)}.</m:t>
          </m:r>
        </m:oMath>
      </m:oMathPara>
    </w:p>
    <w:p w14:paraId="07B38327" w14:textId="77777777" w:rsidR="00686F00" w:rsidRDefault="003259DA">
      <w:pPr>
        <w:pStyle w:val="FirstParagraph"/>
        <w:ind w:firstLine="202"/>
        <w:jc w:val="both"/>
      </w:pPr>
      <w:r>
        <w:rPr>
          <w:color w:val="000000"/>
        </w:rPr>
        <w:t xml:space="preserve">Unity </w:t>
      </w:r>
      <w:r>
        <w:rPr>
          <w:rFonts w:hint="eastAsia"/>
          <w:color w:val="000000"/>
        </w:rPr>
        <w:t>根据界面、控制器、距离和绑定生成</w:t>
      </w:r>
      <w:r>
        <w:rPr>
          <w:color w:val="000000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color w:val="000000"/>
        </w:rPr>
        <w:t>。</w:t>
      </w:r>
      <w:r>
        <w:rPr>
          <w:color w:val="000000"/>
        </w:rPr>
        <w:t xml:space="preserve">DeepSeek </w:t>
      </w:r>
      <w:r>
        <w:rPr>
          <w:rFonts w:hint="eastAsia"/>
          <w:color w:val="000000"/>
        </w:rPr>
        <w:t>返回解释、指引、澄清或拒答；操作与位置指引分别选择一个允许动作或目标，后端及客户端在显示前验证。</w:t>
      </w:r>
    </w:p>
    <w:p w14:paraId="0CBB15FC" w14:textId="77777777" w:rsidR="00686F00" w:rsidRDefault="003259DA">
      <w:pPr>
        <w:pStyle w:val="a0"/>
        <w:ind w:firstLine="202"/>
        <w:jc w:val="both"/>
      </w:pPr>
      <w:r>
        <w:rPr>
          <w:rFonts w:hint="eastAsia"/>
          <w:color w:val="000000"/>
        </w:rPr>
        <w:t>合法操作使用目录中的标准步骤。候选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JSON</w:t>
      </w:r>
      <w:r>
        <w:rPr>
          <w:rFonts w:hint="eastAsia"/>
          <w:color w:val="000000"/>
        </w:rPr>
        <w:t>、字段或动作未通过结构检查时，系统按原问题和快照最多重生成一次，权限保持不变；超时和上游异常不按格式错误重试。</w:t>
      </w:r>
    </w:p>
    <w:p w14:paraId="00471B79" w14:textId="77777777" w:rsidR="00686F00" w:rsidRDefault="003259DA">
      <w:pPr>
        <w:pStyle w:val="a0"/>
        <w:ind w:firstLine="202"/>
        <w:jc w:val="both"/>
      </w:pPr>
      <w:r>
        <w:rPr>
          <w:rFonts w:hint="eastAsia"/>
          <w:color w:val="000000"/>
        </w:rPr>
        <w:t>非拒答候选再接受范围、事实支持和目标一致性审核。若范围及事实均通过，但非指引回答夹带直接操作步骤，</w:t>
      </w:r>
      <w:r>
        <w:rPr>
          <w:rFonts w:hint="eastAsia"/>
          <w:color w:val="000000"/>
        </w:rPr>
        <w:lastRenderedPageBreak/>
        <w:t>则允许一次额外重生成，删除步骤或选择合法动作，再次校验和审核。生成与审核使用同一模型，故这只是附加检查而非独立正确性保证；拒答、格式错误、访问异常和超时分别报告</w:t>
      </w:r>
      <w:r>
        <w:rPr>
          <w:rFonts w:hint="eastAsia"/>
          <w:color w:val="000000"/>
        </w:rPr>
        <w:t>。</w:t>
      </w:r>
    </w:p>
    <w:p w14:paraId="42F5A9E7" w14:textId="77777777" w:rsidR="00686F00" w:rsidRDefault="003259DA">
      <w:pPr>
        <w:pStyle w:val="3"/>
        <w:spacing w:before="140" w:after="60"/>
      </w:pPr>
      <w:bookmarkStart w:id="15" w:name="连续学习与响应时效"/>
      <w:bookmarkEnd w:id="14"/>
      <w:r>
        <w:rPr>
          <w:rFonts w:eastAsia="SimSun"/>
          <w:i/>
        </w:rPr>
        <w:t xml:space="preserve">D. </w:t>
      </w:r>
      <w:r>
        <w:rPr>
          <w:rFonts w:eastAsia="SimSun"/>
          <w:i/>
        </w:rPr>
        <w:t>连续学习与响应时效</w:t>
      </w:r>
    </w:p>
    <w:p w14:paraId="6583DE8E" w14:textId="77777777" w:rsidR="00686F00" w:rsidRDefault="003259DA">
      <w:pPr>
        <w:pStyle w:val="FirstParagraph"/>
        <w:ind w:firstLine="202"/>
        <w:jc w:val="both"/>
      </w:pPr>
      <w:r>
        <w:rPr>
          <w:rFonts w:hint="eastAsia"/>
          <w:color w:val="000000"/>
        </w:rPr>
        <w:t>部件指代由当前名称和说明解析；体验请求优先关联实验，下一步请求结合近期目标与可用前置动作。事后复核发现通用下一步问题存在歧义，第</w:t>
      </w:r>
      <w:r>
        <w:rPr>
          <w:color w:val="000000"/>
        </w:rPr>
        <w:t xml:space="preserve"> VI-F </w:t>
      </w:r>
      <w:r>
        <w:rPr>
          <w:rFonts w:hint="eastAsia"/>
          <w:color w:val="000000"/>
        </w:rPr>
        <w:t>节区分受测策略与后续澄清修订。每次请求保存状态与快照标识，客户端显示前复查内容和权限并拒绝过期建议。提示卡可在对话框关闭后保留，但不会执行或标记操作完成。</w:t>
      </w:r>
    </w:p>
    <w:p w14:paraId="0EFDDB6F" w14:textId="77777777" w:rsidR="00686F00" w:rsidRDefault="003259DA">
      <w:pPr>
        <w:pStyle w:val="3"/>
        <w:spacing w:before="140" w:after="60"/>
      </w:pPr>
      <w:bookmarkStart w:id="16" w:name="仪器与样本空间定位"/>
      <w:bookmarkEnd w:id="15"/>
      <w:r>
        <w:rPr>
          <w:rFonts w:eastAsia="SimSun"/>
          <w:i/>
        </w:rPr>
        <w:t xml:space="preserve">E. </w:t>
      </w:r>
      <w:r>
        <w:rPr>
          <w:rFonts w:eastAsia="SimSun"/>
          <w:i/>
        </w:rPr>
        <w:t>仪器与样本空间定位</w:t>
      </w:r>
    </w:p>
    <w:p w14:paraId="3BD7EFBD" w14:textId="77777777" w:rsidR="00686F00" w:rsidRDefault="003259DA">
      <w:pPr>
        <w:pStyle w:val="FirstParagraph"/>
        <w:ind w:firstLine="202"/>
        <w:jc w:val="both"/>
      </w:pPr>
      <w:r>
        <w:rPr>
          <w:rFonts w:hint="eastAsia"/>
          <w:color w:val="000000"/>
        </w:rPr>
        <w:t>部件、</w:t>
      </w:r>
      <w:r>
        <w:rPr>
          <w:rFonts w:hint="eastAsia"/>
          <w:color w:val="000000"/>
        </w:rPr>
        <w:t>NA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和空间频率指向显微镜站，</w:t>
      </w:r>
      <w:r>
        <w:rPr>
          <w:rFonts w:hint="eastAsia"/>
          <w:color w:val="000000"/>
        </w:rPr>
        <w:t>SNOM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指向独立装置；红、绿、蓝、黄样本是不同目标。只有快照提供的对象可被标记，因此这是目标定位而非通用路线规划。</w:t>
      </w:r>
    </w:p>
    <w:p w14:paraId="66150B43" w14:textId="77777777" w:rsidR="00686F00" w:rsidRDefault="003259DA">
      <w:pPr>
        <w:pStyle w:val="a0"/>
        <w:ind w:firstLine="202"/>
        <w:jc w:val="both"/>
      </w:pPr>
      <w:r>
        <w:rPr>
          <w:rFonts w:hint="eastAsia"/>
          <w:color w:val="000000"/>
        </w:rPr>
        <w:t>设目标</w:t>
      </w:r>
      <w:r>
        <w:rPr>
          <w:rFonts w:hint="eastAsia"/>
          <w:color w:val="000000"/>
        </w:rPr>
        <w:t>相对玩家的水平位移为</w:t>
      </w:r>
      <w:r>
        <w:rPr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rPr>
          <w:rFonts w:hint="eastAsia"/>
          <w:color w:val="000000"/>
        </w:rPr>
        <w:t>，每米场景单位为</w:t>
      </w:r>
      <w:r>
        <w:rPr>
          <w:color w:val="000000"/>
        </w:rPr>
        <w:t xml:space="preserve"> </w:t>
      </w:r>
      <m:oMath>
        <m:r>
          <w:rPr>
            <w:rFonts w:ascii="Cambria Math" w:hAnsi="Cambria Math"/>
          </w:rPr>
          <m:t>u</m:t>
        </m:r>
      </m:oMath>
      <w:r>
        <w:rPr>
          <w:rFonts w:hint="eastAsia"/>
          <w:color w:val="000000"/>
        </w:rPr>
        <w:t>，显示距离为：</w:t>
      </w:r>
    </w:p>
    <w:p w14:paraId="505DEEDE" w14:textId="77777777" w:rsidR="00686F00" w:rsidRDefault="003259DA">
      <w:pPr>
        <w:pStyle w:val="a0"/>
        <w:spacing w:before="120" w:after="12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∥/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EA19935" w14:textId="77777777" w:rsidR="00686F00" w:rsidRDefault="003259DA">
      <w:pPr>
        <w:pStyle w:val="FirstParagraph"/>
        <w:ind w:firstLine="202"/>
        <w:jc w:val="both"/>
      </w:pPr>
      <m:oMath>
        <m:r>
          <w:rPr>
            <w:rFonts w:ascii="Cambria Math" w:hAnsi="Cambria Math"/>
          </w:rPr>
          <m:t>β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离散为前（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  <w:color w:val="000000"/>
        </w:rPr>
        <w:t>）、后（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|≥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135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  <w:color w:val="000000"/>
        </w:rPr>
        <w:t>）及左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右，客户端应用时重新计算。轮廓和光柱成功创建后才确认标记；显示距离取包围盒中心，到达判断取最近点并使用</w:t>
      </w:r>
      <w:r>
        <w:rPr>
          <w:color w:val="000000"/>
        </w:rPr>
        <w:t xml:space="preserve"> 1.2 m </w:t>
      </w:r>
      <w:r>
        <w:rPr>
          <w:rFonts w:hint="eastAsia"/>
          <w:color w:val="000000"/>
        </w:rPr>
        <w:t>默认阈值。靠近、取消、超时或状态切换均会清除标记。</w:t>
      </w:r>
    </w:p>
    <w:p w14:paraId="587F68EF" w14:textId="77777777" w:rsidR="00686F00" w:rsidRDefault="003259DA">
      <w:pPr>
        <w:pStyle w:val="3"/>
        <w:spacing w:before="140" w:after="60"/>
      </w:pPr>
      <w:bookmarkStart w:id="17" w:name="确认式中英文语音输入"/>
      <w:bookmarkEnd w:id="16"/>
      <w:r>
        <w:rPr>
          <w:rFonts w:eastAsia="SimSun"/>
          <w:i/>
        </w:rPr>
        <w:t xml:space="preserve">F. </w:t>
      </w:r>
      <w:r>
        <w:rPr>
          <w:rFonts w:eastAsia="SimSun"/>
          <w:i/>
        </w:rPr>
        <w:t>确认式中英文语音输入</w:t>
      </w:r>
    </w:p>
    <w:p w14:paraId="2AE97B22" w14:textId="77777777" w:rsidR="00686F00" w:rsidRDefault="003259DA">
      <w:pPr>
        <w:pStyle w:val="FirstParagraph"/>
        <w:ind w:firstLine="202"/>
        <w:jc w:val="both"/>
      </w:pPr>
      <w:r>
        <w:rPr>
          <w:rFonts w:hint="eastAsia"/>
          <w:color w:val="000000"/>
        </w:rPr>
        <w:t>语音入口通过默认麦克风录制不超过</w:t>
      </w:r>
      <w:r>
        <w:rPr>
          <w:color w:val="000000"/>
        </w:rPr>
        <w:t xml:space="preserve"> 30 </w:t>
      </w:r>
      <w:r>
        <w:rPr>
          <w:rFonts w:hint="eastAsia"/>
          <w:color w:val="000000"/>
        </w:rPr>
        <w:t>秒，转为单声道</w:t>
      </w:r>
      <w:r>
        <w:rPr>
          <w:color w:val="000000"/>
        </w:rPr>
        <w:t xml:space="preserve"> PCM16 </w:t>
      </w:r>
      <w:r>
        <w:rPr>
          <w:rFonts w:hint="eastAsia"/>
          <w:color w:val="000000"/>
        </w:rPr>
        <w:t>WAV</w:t>
      </w:r>
      <w:r>
        <w:rPr>
          <w:rFonts w:hint="eastAsia"/>
          <w:color w:val="000000"/>
        </w:rPr>
        <w:t>（优先</w:t>
      </w:r>
      <w:r>
        <w:rPr>
          <w:color w:val="000000"/>
        </w:rPr>
        <w:t xml:space="preserve"> 16 </w:t>
      </w:r>
      <w:r>
        <w:rPr>
          <w:rFonts w:hint="eastAsia"/>
          <w:color w:val="000000"/>
        </w:rPr>
        <w:t>kHz</w:t>
      </w:r>
      <w:r>
        <w:rPr>
          <w:rFonts w:hint="eastAsia"/>
          <w:color w:val="000000"/>
        </w:rPr>
        <w:t>），并由</w:t>
      </w:r>
      <w:r>
        <w:rPr>
          <w:color w:val="000000"/>
        </w:rPr>
        <w:t xml:space="preserve"> Groq </w:t>
      </w:r>
      <w:r>
        <w:rPr>
          <w:rStyle w:val="VerbatimChar"/>
          <w:rFonts w:ascii="Times New Roman" w:hAnsi="Times New Roman"/>
          <w:color w:val="000000"/>
          <w:sz w:val="20"/>
        </w:rPr>
        <w:t>whisper-large-v3-turbo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转写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[18]</w:t>
      </w:r>
      <w:r>
        <w:rPr>
          <w:rFonts w:hint="eastAsia"/>
          <w:color w:val="000000"/>
        </w:rPr>
        <w:t>。系统不请求翻译；可编辑文本经用户确认后进入同一状态校验链路，准确率和延迟留待后续评价。</w:t>
      </w:r>
    </w:p>
    <w:p w14:paraId="5A2586D1" w14:textId="77777777" w:rsidR="00686F00" w:rsidRDefault="003259DA">
      <w:pPr>
        <w:pStyle w:val="2"/>
        <w:spacing w:before="200" w:after="100"/>
        <w:jc w:val="center"/>
      </w:pPr>
      <w:bookmarkStart w:id="18" w:name="综合学习情境"/>
      <w:bookmarkEnd w:id="11"/>
      <w:bookmarkEnd w:id="17"/>
      <w:r>
        <w:rPr>
          <w:rFonts w:ascii="Times New Roman" w:eastAsia="SimSun" w:hAnsi="Times New Roman"/>
        </w:rPr>
        <w:t xml:space="preserve">V. </w:t>
      </w:r>
      <w:r>
        <w:rPr>
          <w:rFonts w:ascii="Times New Roman" w:eastAsia="SimSun" w:hAnsi="Times New Roman"/>
        </w:rPr>
        <w:t>综合学习情境</w:t>
      </w:r>
    </w:p>
    <w:p w14:paraId="6CB1D3FE" w14:textId="77777777" w:rsidR="00686F00" w:rsidRDefault="003259DA">
      <w:pPr>
        <w:pStyle w:val="3"/>
        <w:spacing w:before="140" w:after="60"/>
      </w:pPr>
      <w:bookmarkStart w:id="19" w:name="样本观察与有限状态下的调焦建议"/>
      <w:r>
        <w:rPr>
          <w:rFonts w:eastAsia="SimSun"/>
          <w:i/>
        </w:rPr>
        <w:t xml:space="preserve">A. </w:t>
      </w:r>
      <w:r>
        <w:rPr>
          <w:rFonts w:eastAsia="SimSun"/>
          <w:i/>
        </w:rPr>
        <w:t>样本观察与有限状态下的调焦建议</w:t>
      </w:r>
    </w:p>
    <w:p w14:paraId="7D1EAFD4" w14:textId="77777777" w:rsidR="00686F00" w:rsidRDefault="003259DA">
      <w:pPr>
        <w:pStyle w:val="FirstParagraph"/>
        <w:ind w:firstLine="202"/>
        <w:jc w:val="both"/>
      </w:pPr>
      <w:r>
        <w:rPr>
          <w:rFonts w:hint="eastAsia"/>
          <w:color w:val="000000"/>
        </w:rPr>
        <w:t>学习者放置样本、进入观察、切换物镜并以粗细调寻找焦点。助手可选择允许的调焦动作并说明观察目标，但不能读取焦点误差、诊断黑屏或从快照缺失的图像计算调整方向。</w:t>
      </w:r>
    </w:p>
    <w:p w14:paraId="1D4C6243" w14:textId="77777777" w:rsidR="00686F00" w:rsidRDefault="003259DA">
      <w:pPr>
        <w:pStyle w:val="3"/>
        <w:spacing w:before="140" w:after="60"/>
      </w:pPr>
      <w:bookmarkStart w:id="20" w:name="从部件提问进入实验"/>
      <w:bookmarkEnd w:id="19"/>
      <w:r>
        <w:rPr>
          <w:rFonts w:eastAsia="SimSun"/>
          <w:i/>
        </w:rPr>
        <w:t xml:space="preserve">B. </w:t>
      </w:r>
      <w:r>
        <w:rPr>
          <w:rFonts w:eastAsia="SimSun"/>
          <w:i/>
        </w:rPr>
        <w:t>从部件提问进入实验</w:t>
      </w:r>
    </w:p>
    <w:p w14:paraId="16625CC4" w14:textId="77777777" w:rsidR="00686F00" w:rsidRDefault="003259DA">
      <w:pPr>
        <w:pStyle w:val="FirstParagraph"/>
        <w:ind w:firstLine="202"/>
        <w:jc w:val="both"/>
      </w:pPr>
      <w:r>
        <w:rPr>
          <w:color w:val="000000"/>
        </w:rPr>
        <w:t xml:space="preserve">SuperAssembly </w:t>
      </w:r>
      <w:r>
        <w:rPr>
          <w:rFonts w:hint="eastAsia"/>
          <w:color w:val="000000"/>
        </w:rPr>
        <w:t>中选中上部光学组件会提供</w:t>
      </w:r>
      <w:r>
        <w:rPr>
          <w:color w:val="000000"/>
        </w:rPr>
        <w:t xml:space="preserve"> NA </w:t>
      </w:r>
      <w:r>
        <w:rPr>
          <w:rFonts w:hint="eastAsia"/>
          <w:color w:val="000000"/>
        </w:rPr>
        <w:t>说明和启动动作；助手解释后，学习者关闭对话框、进入实验并比较光</w:t>
      </w:r>
      <w:r>
        <w:rPr>
          <w:rFonts w:hint="eastAsia"/>
          <w:color w:val="000000"/>
        </w:rPr>
        <w:t>锥变化。物镜同样关联空间频率；若玩家在其他区域，系统标记共享的显微镜站，而不会虚构独立实验台（图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）。</w:t>
      </w:r>
    </w:p>
    <w:p w14:paraId="568D7610" w14:textId="77777777" w:rsidR="00686F00" w:rsidRDefault="003259DA">
      <w:pPr>
        <w:pStyle w:val="3"/>
        <w:spacing w:before="140" w:after="60"/>
      </w:pPr>
      <w:bookmarkStart w:id="21" w:name="snom-前置条件与响应变化"/>
      <w:bookmarkEnd w:id="20"/>
      <w:r>
        <w:rPr>
          <w:rFonts w:eastAsia="SimSun"/>
          <w:i/>
        </w:rPr>
        <w:t xml:space="preserve">C. SNOM </w:t>
      </w:r>
      <w:r>
        <w:rPr>
          <w:rFonts w:eastAsia="SimSun"/>
          <w:i/>
        </w:rPr>
        <w:t>前置条件与响应变化</w:t>
      </w:r>
    </w:p>
    <w:p w14:paraId="0BF719C2" w14:textId="77777777" w:rsidR="00686F00" w:rsidRDefault="003259DA">
      <w:pPr>
        <w:pStyle w:val="FirstParagraph"/>
        <w:ind w:firstLine="202"/>
        <w:jc w:val="both"/>
      </w:pPr>
      <w:r>
        <w:rPr>
          <w:color w:val="000000"/>
        </w:rPr>
        <w:t xml:space="preserve">SNOM </w:t>
      </w:r>
      <w:r>
        <w:rPr>
          <w:rFonts w:hint="eastAsia"/>
          <w:color w:val="000000"/>
        </w:rPr>
        <w:t>助手只建议当前允许的探针选择、安装、等待、退出或启动动作；安装完成后才开放启动，随后进入敲击、耦合和扫描。客户端拒绝不再匹配状态的返回动作。该情境说明流程耦合，不构成对抗鲁棒性结论。</w:t>
      </w:r>
    </w:p>
    <w:p w14:paraId="21A3E811" w14:textId="77777777" w:rsidR="00686F00" w:rsidRDefault="003259DA">
      <w:pPr>
        <w:pStyle w:val="2"/>
        <w:spacing w:before="200" w:after="100"/>
        <w:jc w:val="center"/>
      </w:pPr>
      <w:bookmarkStart w:id="22" w:name="评价方法与结果"/>
      <w:bookmarkEnd w:id="18"/>
      <w:bookmarkEnd w:id="21"/>
      <w:r>
        <w:rPr>
          <w:rFonts w:ascii="Times New Roman" w:eastAsia="SimSun" w:hAnsi="Times New Roman"/>
        </w:rPr>
        <w:t xml:space="preserve">VI. </w:t>
      </w:r>
      <w:r>
        <w:rPr>
          <w:rFonts w:ascii="Times New Roman" w:eastAsia="SimSun" w:hAnsi="Times New Roman"/>
        </w:rPr>
        <w:t>评价方法与结果</w:t>
      </w:r>
    </w:p>
    <w:p w14:paraId="280A9DAF" w14:textId="77777777" w:rsidR="00686F00" w:rsidRDefault="003259DA">
      <w:pPr>
        <w:pStyle w:val="FirstParagraph"/>
        <w:ind w:firstLine="202"/>
        <w:jc w:val="both"/>
      </w:pPr>
      <w:r>
        <w:rPr>
          <w:rFonts w:hint="eastAsia"/>
          <w:color w:val="000000"/>
        </w:rPr>
        <w:t>评价将确定性的实现一致性检查与流程完成、可用性和工作负荷的探索性用户研究分开，避免混淆代码行为、交互结果和学习效果</w:t>
      </w:r>
      <w:r>
        <w:rPr>
          <w:color w:val="000000"/>
        </w:rPr>
        <w:t xml:space="preserve"> [1]</w:t>
      </w:r>
      <w:r>
        <w:rPr>
          <w:color w:val="000000"/>
        </w:rPr>
        <w:t>。</w:t>
      </w:r>
    </w:p>
    <w:p w14:paraId="3A4FFD52" w14:textId="77777777" w:rsidR="00686F00" w:rsidRDefault="003259DA">
      <w:pPr>
        <w:pStyle w:val="3"/>
        <w:spacing w:before="140" w:after="60"/>
      </w:pPr>
      <w:bookmarkStart w:id="23" w:name="评价问题与实现级一致性检查"/>
      <w:r>
        <w:rPr>
          <w:rFonts w:eastAsia="SimSun"/>
          <w:i/>
        </w:rPr>
        <w:t xml:space="preserve">A. </w:t>
      </w:r>
      <w:r>
        <w:rPr>
          <w:rFonts w:eastAsia="SimSun"/>
          <w:i/>
        </w:rPr>
        <w:t>评价问题与实现级一致</w:t>
      </w:r>
      <w:r>
        <w:rPr>
          <w:rFonts w:eastAsia="SimSun"/>
          <w:i/>
        </w:rPr>
        <w:t>性检查</w:t>
      </w:r>
    </w:p>
    <w:p w14:paraId="29B5F5DA" w14:textId="77777777" w:rsidR="00686F00" w:rsidRDefault="003259DA">
      <w:pPr>
        <w:pStyle w:val="FirstParagraph"/>
        <w:ind w:firstLine="202"/>
        <w:jc w:val="both"/>
      </w:pPr>
      <w:r>
        <w:rPr>
          <w:rFonts w:hint="eastAsia"/>
          <w:color w:val="000000"/>
        </w:rPr>
        <w:t>为便于报告，本文将用户研究组织为两个评价问题：</w:t>
      </w:r>
    </w:p>
    <w:p w14:paraId="44A5757A" w14:textId="77777777" w:rsidR="00686F00" w:rsidRDefault="003259DA">
      <w:pPr>
        <w:pStyle w:val="Compact"/>
        <w:numPr>
          <w:ilvl w:val="0"/>
          <w:numId w:val="3"/>
        </w:numPr>
        <w:ind w:left="346" w:hanging="173"/>
        <w:jc w:val="both"/>
      </w:pPr>
      <w:r>
        <w:rPr>
          <w:rFonts w:hint="eastAsia"/>
          <w:b/>
          <w:bCs/>
          <w:color w:val="000000"/>
        </w:rPr>
        <w:t>RQ1</w:t>
      </w:r>
      <w:r>
        <w:rPr>
          <w:rFonts w:hint="eastAsia"/>
          <w:b/>
          <w:bCs/>
          <w:color w:val="000000"/>
        </w:rPr>
        <w:t>（流程可行性）：</w:t>
      </w:r>
      <w:r>
        <w:rPr>
          <w:rFonts w:hint="eastAsia"/>
          <w:color w:val="000000"/>
        </w:rPr>
        <w:t>参与者能否在</w:t>
      </w:r>
      <w:r>
        <w:rPr>
          <w:color w:val="000000"/>
        </w:rPr>
        <w:t xml:space="preserve"> VR </w:t>
      </w:r>
      <w:r>
        <w:rPr>
          <w:rFonts w:hint="eastAsia"/>
          <w:color w:val="000000"/>
        </w:rPr>
        <w:t>环境中完成样本操作、显微观察、调焦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照明调整和结构探索等核心任务？</w:t>
      </w:r>
    </w:p>
    <w:p w14:paraId="1A989586" w14:textId="77777777" w:rsidR="00686F00" w:rsidRDefault="003259DA">
      <w:pPr>
        <w:pStyle w:val="Compact"/>
        <w:numPr>
          <w:ilvl w:val="0"/>
          <w:numId w:val="3"/>
        </w:numPr>
        <w:ind w:left="346" w:hanging="173"/>
        <w:jc w:val="both"/>
      </w:pPr>
      <w:r>
        <w:rPr>
          <w:rFonts w:hint="eastAsia"/>
          <w:b/>
          <w:bCs/>
          <w:color w:val="000000"/>
        </w:rPr>
        <w:t>RQ2</w:t>
      </w:r>
      <w:r>
        <w:rPr>
          <w:rFonts w:hint="eastAsia"/>
          <w:b/>
          <w:bCs/>
          <w:color w:val="000000"/>
        </w:rPr>
        <w:t>（感知体验）：</w:t>
      </w:r>
      <w:r>
        <w:rPr>
          <w:rFonts w:hint="eastAsia"/>
          <w:color w:val="000000"/>
        </w:rPr>
        <w:t>参与者如何评价系统的整体可用性与任务工作负荷？</w:t>
      </w:r>
    </w:p>
    <w:p w14:paraId="6AAD051A" w14:textId="77777777" w:rsidR="00686F00" w:rsidRDefault="003259DA">
      <w:pPr>
        <w:pStyle w:val="FirstParagraph"/>
        <w:ind w:firstLine="202"/>
        <w:jc w:val="both"/>
      </w:pPr>
      <w:r>
        <w:rPr>
          <w:rFonts w:hint="eastAsia"/>
          <w:color w:val="000000"/>
        </w:rPr>
        <w:t>实现检查涉及动作集合生成、目录外或不可用标识拒绝、过期响应保护及空间几何计算。第</w:t>
      </w:r>
      <w:r>
        <w:rPr>
          <w:color w:val="000000"/>
        </w:rPr>
        <w:t xml:space="preserve"> VI-F </w:t>
      </w:r>
      <w:r>
        <w:rPr>
          <w:rFonts w:hint="eastAsia"/>
          <w:color w:val="000000"/>
        </w:rPr>
        <w:t>节另报告固定快照下的模型／后端响应及延迟，未执行实时客户端的时效检查或标记行为。确定性一致性不作为“</w:t>
      </w:r>
      <w:r>
        <w:rPr>
          <w:rFonts w:hint="eastAsia"/>
          <w:color w:val="000000"/>
        </w:rPr>
        <w:t>AI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准确率”，帧率与语音性能仍不属于本次测量。</w:t>
      </w:r>
    </w:p>
    <w:p w14:paraId="0AA9A4F8" w14:textId="77777777" w:rsidR="00686F00" w:rsidRDefault="00686F00">
      <w:pPr>
        <w:spacing w:line="20" w:lineRule="exact"/>
        <w:sectPr w:rsidR="00686F00">
          <w:footnotePr>
            <w:numRestart w:val="eachSect"/>
          </w:footnotePr>
          <w:type w:val="continuous"/>
          <w:pgSz w:w="12240" w:h="15840"/>
          <w:pgMar w:top="1080" w:right="900" w:bottom="1440" w:left="900" w:header="432" w:footer="432" w:gutter="0"/>
          <w:cols w:num="2" w:space="360"/>
        </w:sectPr>
      </w:pPr>
    </w:p>
    <w:tbl>
      <w:tblPr>
        <w:tblStyle w:val="Table"/>
        <w:tblW w:w="1044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20"/>
        <w:gridCol w:w="5220"/>
      </w:tblGrid>
      <w:tr w:rsidR="00686F00" w14:paraId="6B2A46C3" w14:textId="77777777" w:rsidTr="00686F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5220" w:type="dxa"/>
            <w:vAlign w:val="top"/>
          </w:tcPr>
          <w:p w14:paraId="292A6E80" w14:textId="77777777" w:rsidR="00686F00" w:rsidRDefault="003259DA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EB8351C" wp14:editId="6BDA3016">
                  <wp:extent cx="3136392" cy="1764383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2 部件说明介绍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392" cy="1764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DDE503" w14:textId="77777777" w:rsidR="00686F00" w:rsidRDefault="003259DA">
            <w:pPr>
              <w:keepNext/>
              <w:spacing w:after="100"/>
              <w:jc w:val="center"/>
            </w:pPr>
            <w:r>
              <w:rPr>
                <w:color w:val="000000"/>
                <w:sz w:val="16"/>
              </w:rPr>
              <w:t xml:space="preserve">(a) </w:t>
            </w:r>
            <w:r>
              <w:rPr>
                <w:color w:val="000000"/>
                <w:sz w:val="16"/>
              </w:rPr>
              <w:t>部件说明及可用实验入口。</w:t>
            </w:r>
          </w:p>
        </w:tc>
        <w:tc>
          <w:tcPr>
            <w:tcW w:w="5220" w:type="dxa"/>
            <w:vAlign w:val="top"/>
          </w:tcPr>
          <w:p w14:paraId="6AA78CFD" w14:textId="77777777" w:rsidR="00686F00" w:rsidRDefault="003259D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C73AFAF" wp14:editId="6D27916E">
                  <wp:extent cx="3136392" cy="1675678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3 AI解释说明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392" cy="1675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D8AB24" w14:textId="77777777" w:rsidR="00686F00" w:rsidRDefault="003259DA">
            <w:pPr>
              <w:keepNext/>
              <w:spacing w:after="100"/>
              <w:jc w:val="center"/>
            </w:pPr>
            <w:r>
              <w:rPr>
                <w:color w:val="000000"/>
                <w:sz w:val="16"/>
              </w:rPr>
              <w:t xml:space="preserve">(b) </w:t>
            </w:r>
            <w:r>
              <w:rPr>
                <w:color w:val="000000"/>
                <w:sz w:val="16"/>
              </w:rPr>
              <w:t>针对当前模块的上下文解释。</w:t>
            </w:r>
          </w:p>
        </w:tc>
      </w:tr>
      <w:tr w:rsidR="00686F00" w14:paraId="512509C0" w14:textId="77777777" w:rsidTr="00686F00">
        <w:trPr>
          <w:cantSplit/>
          <w:jc w:val="center"/>
        </w:trPr>
        <w:tc>
          <w:tcPr>
            <w:tcW w:w="5220" w:type="dxa"/>
          </w:tcPr>
          <w:p w14:paraId="4FE99A01" w14:textId="77777777" w:rsidR="00686F00" w:rsidRDefault="003259D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2032665" wp14:editId="6DE4A6DD">
                  <wp:extent cx="3136392" cy="176242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4 AI 引路标识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392" cy="1762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5F93F" w14:textId="77777777" w:rsidR="00686F00" w:rsidRDefault="003259DA">
            <w:pPr>
              <w:keepNext/>
              <w:spacing w:after="100"/>
              <w:jc w:val="center"/>
            </w:pPr>
            <w:r>
              <w:rPr>
                <w:color w:val="000000"/>
                <w:sz w:val="16"/>
              </w:rPr>
              <w:t xml:space="preserve">(c) </w:t>
            </w:r>
            <w:r>
              <w:rPr>
                <w:color w:val="000000"/>
                <w:sz w:val="16"/>
              </w:rPr>
              <w:t>带目标标记的空间引导。</w:t>
            </w:r>
          </w:p>
        </w:tc>
        <w:tc>
          <w:tcPr>
            <w:tcW w:w="5220" w:type="dxa"/>
          </w:tcPr>
          <w:p w14:paraId="78F7BA67" w14:textId="77777777" w:rsidR="00686F00" w:rsidRDefault="003259D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7E252A2" wp14:editId="408915D9">
                  <wp:extent cx="3136392" cy="1745606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5 语音转文字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392" cy="1745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B6FD6C" w14:textId="77777777" w:rsidR="00686F00" w:rsidRDefault="003259DA">
            <w:pPr>
              <w:keepNext/>
              <w:spacing w:after="100"/>
              <w:jc w:val="center"/>
            </w:pPr>
            <w:r>
              <w:rPr>
                <w:color w:val="000000"/>
                <w:sz w:val="16"/>
              </w:rPr>
              <w:t xml:space="preserve">(d) </w:t>
            </w:r>
            <w:r>
              <w:rPr>
                <w:color w:val="000000"/>
                <w:sz w:val="16"/>
              </w:rPr>
              <w:t>语音输入界面。</w:t>
            </w:r>
          </w:p>
        </w:tc>
      </w:tr>
    </w:tbl>
    <w:p w14:paraId="14F3EBB6" w14:textId="77777777" w:rsidR="00686F00" w:rsidRDefault="003259DA">
      <w:pPr>
        <w:pStyle w:val="a0"/>
        <w:keepLines/>
        <w:spacing w:before="60" w:after="160"/>
        <w:jc w:val="both"/>
      </w:pPr>
      <w:r>
        <w:rPr>
          <w:color w:val="000000"/>
          <w:sz w:val="16"/>
        </w:rPr>
        <w:t>图</w:t>
      </w:r>
      <w:r>
        <w:rPr>
          <w:color w:val="000000"/>
          <w:sz w:val="16"/>
        </w:rPr>
        <w:t xml:space="preserve"> 4. </w:t>
      </w:r>
      <w:r>
        <w:rPr>
          <w:color w:val="000000"/>
          <w:sz w:val="16"/>
        </w:rPr>
        <w:t>助手的代表性交互界面：</w:t>
      </w:r>
      <w:r>
        <w:rPr>
          <w:color w:val="000000"/>
          <w:sz w:val="16"/>
        </w:rPr>
        <w:t xml:space="preserve">(a) </w:t>
      </w:r>
      <w:r>
        <w:rPr>
          <w:color w:val="000000"/>
          <w:sz w:val="16"/>
        </w:rPr>
        <w:t>部件说明与实验入口；</w:t>
      </w:r>
      <w:r>
        <w:rPr>
          <w:color w:val="000000"/>
          <w:sz w:val="16"/>
        </w:rPr>
        <w:t xml:space="preserve">(b) </w:t>
      </w:r>
      <w:r>
        <w:rPr>
          <w:color w:val="000000"/>
          <w:sz w:val="16"/>
        </w:rPr>
        <w:t>上下文解释；</w:t>
      </w:r>
      <w:r>
        <w:rPr>
          <w:color w:val="000000"/>
          <w:sz w:val="16"/>
        </w:rPr>
        <w:t xml:space="preserve">(c) </w:t>
      </w:r>
      <w:r>
        <w:rPr>
          <w:color w:val="000000"/>
          <w:sz w:val="16"/>
        </w:rPr>
        <w:t>空间目标引导；</w:t>
      </w:r>
      <w:r>
        <w:rPr>
          <w:color w:val="000000"/>
          <w:sz w:val="16"/>
        </w:rPr>
        <w:t xml:space="preserve">(d) </w:t>
      </w:r>
      <w:r>
        <w:rPr>
          <w:color w:val="000000"/>
          <w:sz w:val="16"/>
        </w:rPr>
        <w:t>语音输入。各图表示界面状态，不代表一次连续会话。关联</w:t>
      </w:r>
      <w:r>
        <w:rPr>
          <w:color w:val="000000"/>
          <w:sz w:val="16"/>
        </w:rPr>
        <w:t xml:space="preserve"> NA </w:t>
      </w:r>
      <w:r>
        <w:rPr>
          <w:color w:val="000000"/>
          <w:sz w:val="16"/>
        </w:rPr>
        <w:t>实验的反馈见图</w:t>
      </w:r>
      <w:r>
        <w:rPr>
          <w:color w:val="000000"/>
          <w:sz w:val="16"/>
        </w:rPr>
        <w:t xml:space="preserve"> 2(c)</w:t>
      </w:r>
      <w:r>
        <w:rPr>
          <w:color w:val="000000"/>
          <w:sz w:val="16"/>
        </w:rPr>
        <w:t>。</w:t>
      </w:r>
    </w:p>
    <w:p w14:paraId="6CA65A3D" w14:textId="77777777" w:rsidR="00686F00" w:rsidRDefault="00686F00">
      <w:pPr>
        <w:spacing w:line="20" w:lineRule="exact"/>
        <w:sectPr w:rsidR="00686F00">
          <w:footnotePr>
            <w:numRestart w:val="eachSect"/>
          </w:footnotePr>
          <w:type w:val="continuous"/>
          <w:pgSz w:w="12240" w:h="15840"/>
          <w:pgMar w:top="1080" w:right="900" w:bottom="1440" w:left="900" w:header="432" w:footer="432" w:gutter="0"/>
          <w:cols w:space="360"/>
        </w:sectPr>
      </w:pPr>
    </w:p>
    <w:p w14:paraId="44E0CE0C" w14:textId="77777777" w:rsidR="00686F00" w:rsidRDefault="003259DA">
      <w:pPr>
        <w:pStyle w:val="3"/>
        <w:spacing w:before="140" w:after="60"/>
      </w:pPr>
      <w:bookmarkStart w:id="24" w:name="参与者与实验流程"/>
      <w:bookmarkEnd w:id="23"/>
      <w:r>
        <w:rPr>
          <w:rFonts w:eastAsia="SimSun"/>
          <w:i/>
        </w:rPr>
        <w:t xml:space="preserve">B. </w:t>
      </w:r>
      <w:r>
        <w:rPr>
          <w:rFonts w:eastAsia="SimSun"/>
          <w:i/>
        </w:rPr>
        <w:t>参与者与实验流程</w:t>
      </w:r>
    </w:p>
    <w:p w14:paraId="7F4D6DCF" w14:textId="77777777" w:rsidR="00686F00" w:rsidRDefault="003259DA">
      <w:pPr>
        <w:pStyle w:val="FirstParagraph"/>
        <w:ind w:firstLine="202"/>
        <w:jc w:val="both"/>
      </w:pPr>
      <w:r>
        <w:rPr>
          <w:rFonts w:hint="eastAsia"/>
          <w:color w:val="000000"/>
        </w:rPr>
        <w:t>研究包含</w:t>
      </w:r>
      <w:r>
        <w:rPr>
          <w:color w:val="000000"/>
        </w:rPr>
        <w:t xml:space="preserve"> 19 </w:t>
      </w:r>
      <w:r>
        <w:rPr>
          <w:rFonts w:hint="eastAsia"/>
          <w:color w:val="000000"/>
        </w:rPr>
        <w:t>名参与者，专业背景仅描述样本构成，不作为实验组或光学水平依据。</w:t>
      </w:r>
    </w:p>
    <w:p w14:paraId="587A9B07" w14:textId="77777777" w:rsidR="00686F00" w:rsidRDefault="003259DA">
      <w:pPr>
        <w:pStyle w:val="a0"/>
        <w:keepNext/>
        <w:spacing w:before="160" w:after="80"/>
        <w:jc w:val="center"/>
      </w:pPr>
      <w:r>
        <w:rPr>
          <w:color w:val="000000"/>
          <w:sz w:val="16"/>
        </w:rPr>
        <w:t>表</w:t>
      </w:r>
      <w:r>
        <w:rPr>
          <w:color w:val="000000"/>
          <w:sz w:val="16"/>
        </w:rPr>
        <w:t xml:space="preserve"> III</w:t>
      </w:r>
      <w:r>
        <w:rPr>
          <w:color w:val="000000"/>
          <w:sz w:val="16"/>
        </w:rPr>
        <w:br/>
      </w:r>
      <w:r>
        <w:rPr>
          <w:color w:val="000000"/>
          <w:sz w:val="16"/>
        </w:rPr>
        <w:t>参与者专业背景构成（</w:t>
      </w:r>
      <w:r>
        <w:rPr>
          <w:color w:val="000000"/>
          <w:sz w:val="16"/>
        </w:rPr>
        <w:t>N = 19</w:t>
      </w:r>
      <w:r>
        <w:rPr>
          <w:color w:val="000000"/>
          <w:sz w:val="16"/>
        </w:rPr>
        <w:t>）。</w:t>
      </w:r>
    </w:p>
    <w:tbl>
      <w:tblPr>
        <w:tblStyle w:val="Table"/>
        <w:tblW w:w="5040" w:type="dxa"/>
        <w:jc w:val="center"/>
        <w:tblBorders>
          <w:top w:val="single" w:sz="6" w:space="0" w:color="auto"/>
          <w:left w:val="nil"/>
          <w:bottom w:val="single" w:sz="6" w:space="0" w:color="auto"/>
          <w:right w:val="nil"/>
          <w:insideH w:val="nil"/>
          <w:insideV w:val="nil"/>
        </w:tblBorders>
        <w:tblLayout w:type="fixed"/>
        <w:tblLook w:val="0020" w:firstRow="1" w:lastRow="0" w:firstColumn="0" w:lastColumn="0" w:noHBand="0" w:noVBand="0"/>
      </w:tblPr>
      <w:tblGrid>
        <w:gridCol w:w="3377"/>
        <w:gridCol w:w="1663"/>
      </w:tblGrid>
      <w:tr w:rsidR="00686F00" w14:paraId="075A866C" w14:textId="77777777" w:rsidTr="00686F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77" w:type="dxa"/>
            <w:tcBorders>
              <w:bottom w:val="single" w:sz="4" w:space="0" w:color="auto"/>
            </w:tcBorders>
            <w:vAlign w:val="top"/>
          </w:tcPr>
          <w:p w14:paraId="729A4D0E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b/>
                <w:color w:val="000000"/>
                <w:sz w:val="16"/>
              </w:rPr>
              <w:t>专业背景</w:t>
            </w:r>
          </w:p>
        </w:tc>
        <w:tc>
          <w:tcPr>
            <w:tcW w:w="1663" w:type="dxa"/>
            <w:tcBorders>
              <w:bottom w:val="single" w:sz="4" w:space="0" w:color="auto"/>
            </w:tcBorders>
            <w:vAlign w:val="top"/>
          </w:tcPr>
          <w:p w14:paraId="248B1969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b/>
                <w:color w:val="000000"/>
                <w:sz w:val="16"/>
              </w:rPr>
              <w:t>人数</w:t>
            </w:r>
          </w:p>
        </w:tc>
      </w:tr>
      <w:tr w:rsidR="00686F00" w14:paraId="44C28F92" w14:textId="77777777" w:rsidTr="00686F00">
        <w:trPr>
          <w:cantSplit/>
          <w:jc w:val="center"/>
        </w:trPr>
        <w:tc>
          <w:tcPr>
            <w:tcW w:w="3377" w:type="dxa"/>
          </w:tcPr>
          <w:p w14:paraId="36E39655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物理学</w:t>
            </w:r>
          </w:p>
        </w:tc>
        <w:tc>
          <w:tcPr>
            <w:tcW w:w="1663" w:type="dxa"/>
          </w:tcPr>
          <w:p w14:paraId="540AFE17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color w:val="000000"/>
                <w:sz w:val="16"/>
              </w:rPr>
              <w:t>6</w:t>
            </w:r>
          </w:p>
        </w:tc>
      </w:tr>
      <w:tr w:rsidR="00686F00" w14:paraId="13F82FA2" w14:textId="77777777" w:rsidTr="00686F00">
        <w:trPr>
          <w:cantSplit/>
          <w:jc w:val="center"/>
        </w:trPr>
        <w:tc>
          <w:tcPr>
            <w:tcW w:w="3377" w:type="dxa"/>
          </w:tcPr>
          <w:p w14:paraId="770ABE5C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软件工程</w:t>
            </w:r>
          </w:p>
        </w:tc>
        <w:tc>
          <w:tcPr>
            <w:tcW w:w="1663" w:type="dxa"/>
          </w:tcPr>
          <w:p w14:paraId="7235C5F5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color w:val="000000"/>
                <w:sz w:val="16"/>
              </w:rPr>
              <w:t>10</w:t>
            </w:r>
          </w:p>
        </w:tc>
      </w:tr>
      <w:tr w:rsidR="00686F00" w14:paraId="669EB404" w14:textId="77777777" w:rsidTr="00686F00">
        <w:trPr>
          <w:cantSplit/>
          <w:jc w:val="center"/>
        </w:trPr>
        <w:tc>
          <w:tcPr>
            <w:tcW w:w="3377" w:type="dxa"/>
          </w:tcPr>
          <w:p w14:paraId="3348156C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商学</w:t>
            </w:r>
          </w:p>
        </w:tc>
        <w:tc>
          <w:tcPr>
            <w:tcW w:w="1663" w:type="dxa"/>
          </w:tcPr>
          <w:p w14:paraId="6F6A9338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color w:val="000000"/>
                <w:sz w:val="16"/>
              </w:rPr>
              <w:t>2</w:t>
            </w:r>
          </w:p>
        </w:tc>
      </w:tr>
      <w:tr w:rsidR="00686F00" w14:paraId="1D5C9F8F" w14:textId="77777777" w:rsidTr="00686F00">
        <w:trPr>
          <w:cantSplit/>
          <w:jc w:val="center"/>
        </w:trPr>
        <w:tc>
          <w:tcPr>
            <w:tcW w:w="3377" w:type="dxa"/>
          </w:tcPr>
          <w:p w14:paraId="716CF436" w14:textId="77777777" w:rsidR="00686F00" w:rsidRDefault="003259DA">
            <w:pPr>
              <w:pStyle w:val="Compact"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哲学</w:t>
            </w:r>
          </w:p>
        </w:tc>
        <w:tc>
          <w:tcPr>
            <w:tcW w:w="1663" w:type="dxa"/>
          </w:tcPr>
          <w:p w14:paraId="7BE1B7FF" w14:textId="77777777" w:rsidR="00686F00" w:rsidRDefault="003259DA">
            <w:pPr>
              <w:pStyle w:val="Compact"/>
              <w:spacing w:before="40" w:after="40"/>
            </w:pPr>
            <w:r>
              <w:rPr>
                <w:color w:val="000000"/>
                <w:sz w:val="16"/>
              </w:rPr>
              <w:t>1</w:t>
            </w:r>
          </w:p>
        </w:tc>
      </w:tr>
    </w:tbl>
    <w:p w14:paraId="0561F669" w14:textId="77777777" w:rsidR="00686F00" w:rsidRDefault="003259DA">
      <w:pPr>
        <w:pStyle w:val="a0"/>
        <w:ind w:firstLine="202"/>
        <w:jc w:val="both"/>
      </w:pPr>
      <w:r>
        <w:rPr>
          <w:rFonts w:hint="eastAsia"/>
          <w:color w:val="000000"/>
        </w:rPr>
        <w:t>安静室内实验使用</w:t>
      </w:r>
      <w:r>
        <w:rPr>
          <w:color w:val="000000"/>
        </w:rPr>
        <w:t xml:space="preserve"> Meta Quest 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。约</w:t>
      </w:r>
      <w:r>
        <w:rPr>
          <w:color w:val="000000"/>
        </w:rPr>
        <w:t xml:space="preserve"> 3 </w:t>
      </w:r>
      <w:r>
        <w:rPr>
          <w:rFonts w:hint="eastAsia"/>
          <w:color w:val="000000"/>
        </w:rPr>
        <w:t>分钟控制器熟悉后，参与者完成样本拾取放置、观察、粗细调焦、物镜和照明调整、</w:t>
      </w:r>
      <w:r>
        <w:rPr>
          <w:rFonts w:hint="eastAsia"/>
          <w:color w:val="000000"/>
        </w:rPr>
        <w:t>SuperAssembly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探索，并可选使用</w:t>
      </w:r>
      <w:r>
        <w:rPr>
          <w:color w:val="000000"/>
        </w:rPr>
        <w:t xml:space="preserve"> AI</w:t>
      </w:r>
      <w:r>
        <w:rPr>
          <w:color w:val="000000"/>
        </w:rPr>
        <w:t>。</w:t>
      </w:r>
      <w:r>
        <w:rPr>
          <w:color w:val="000000"/>
        </w:rPr>
        <w:t xml:space="preserve">AI </w:t>
      </w:r>
      <w:r>
        <w:rPr>
          <w:rFonts w:hint="eastAsia"/>
          <w:color w:val="000000"/>
        </w:rPr>
        <w:t>并非独立条件，故不能比较有无</w:t>
      </w:r>
      <w:r>
        <w:rPr>
          <w:color w:val="000000"/>
        </w:rPr>
        <w:t xml:space="preserve"> AI </w:t>
      </w:r>
      <w:r>
        <w:rPr>
          <w:rFonts w:hint="eastAsia"/>
          <w:color w:val="000000"/>
        </w:rPr>
        <w:t>的因果差异。</w:t>
      </w:r>
    </w:p>
    <w:p w14:paraId="1A36DC3C" w14:textId="77777777" w:rsidR="00686F00" w:rsidRDefault="003259DA">
      <w:pPr>
        <w:pStyle w:val="a0"/>
        <w:ind w:firstLine="202"/>
        <w:jc w:val="both"/>
      </w:pPr>
      <w:r>
        <w:rPr>
          <w:rFonts w:hint="eastAsia"/>
          <w:color w:val="000000"/>
        </w:rPr>
        <w:t>任务后填写</w:t>
      </w:r>
      <w:r>
        <w:rPr>
          <w:color w:val="000000"/>
        </w:rPr>
        <w:t xml:space="preserve"> SUS [19]</w:t>
      </w:r>
      <w:r>
        <w:rPr>
          <w:color w:val="000000"/>
        </w:rPr>
        <w:t>、</w:t>
      </w:r>
      <w:r>
        <w:rPr>
          <w:color w:val="000000"/>
        </w:rPr>
        <w:t xml:space="preserve">NASA-TLX [20] </w:t>
      </w:r>
      <w:r>
        <w:rPr>
          <w:rFonts w:hint="eastAsia"/>
          <w:color w:val="000000"/>
        </w:rPr>
        <w:t>并完成约</w:t>
      </w:r>
      <w:r>
        <w:rPr>
          <w:color w:val="000000"/>
        </w:rPr>
        <w:t xml:space="preserve"> 10 </w:t>
      </w:r>
      <w:r>
        <w:rPr>
          <w:rFonts w:hint="eastAsia"/>
          <w:color w:val="000000"/>
        </w:rPr>
        <w:t>分钟访谈。定量分析使用任务完成和量表，访谈仅作形成性反馈，不统计主题频率。</w:t>
      </w:r>
    </w:p>
    <w:p w14:paraId="45ABA537" w14:textId="77777777" w:rsidR="00686F00" w:rsidRDefault="003259DA">
      <w:pPr>
        <w:pStyle w:val="3"/>
        <w:spacing w:before="140" w:after="60"/>
      </w:pPr>
      <w:bookmarkStart w:id="25" w:name="指标与分析方法"/>
      <w:bookmarkEnd w:id="24"/>
      <w:r>
        <w:rPr>
          <w:rFonts w:eastAsia="SimSun"/>
          <w:i/>
        </w:rPr>
        <w:t xml:space="preserve">C. </w:t>
      </w:r>
      <w:r>
        <w:rPr>
          <w:rFonts w:eastAsia="SimSun"/>
          <w:i/>
        </w:rPr>
        <w:t>指标与分析方法</w:t>
      </w:r>
    </w:p>
    <w:p w14:paraId="64EE0A64" w14:textId="77777777" w:rsidR="00686F00" w:rsidRDefault="003259DA">
      <w:pPr>
        <w:pStyle w:val="FirstParagraph"/>
        <w:ind w:firstLine="202"/>
        <w:jc w:val="both"/>
      </w:pPr>
      <w:r>
        <w:rPr>
          <w:rFonts w:hint="eastAsia"/>
          <w:color w:val="000000"/>
        </w:rPr>
        <w:t>完成率为完成规定流程的比例。</w:t>
      </w:r>
      <w:r>
        <w:rPr>
          <w:rFonts w:hint="eastAsia"/>
          <w:color w:val="000000"/>
        </w:rPr>
        <w:t>SUS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测量感知可用性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[19]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NASA-TLX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采用六维未加权</w:t>
      </w:r>
      <w:r>
        <w:rPr>
          <w:color w:val="000000"/>
        </w:rPr>
        <w:t xml:space="preserve"> Raw TLX </w:t>
      </w:r>
      <w:r>
        <w:rPr>
          <w:rFonts w:hint="eastAsia"/>
          <w:color w:val="000000"/>
        </w:rPr>
        <w:t>[20]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Performance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低分表示更高的自我表现认可。各项仅作描述性报告，</w:t>
      </w:r>
      <w:r>
        <w:rPr>
          <w:rFonts w:hint="eastAsia"/>
          <w:color w:val="000000"/>
        </w:rPr>
        <w:t>SUS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不作为知识分数</w:t>
      </w:r>
      <w:r>
        <w:rPr>
          <w:color w:val="000000"/>
        </w:rPr>
        <w:t xml:space="preserve"> [21]</w:t>
      </w:r>
      <w:r>
        <w:rPr>
          <w:color w:val="000000"/>
        </w:rPr>
        <w:t>、</w:t>
      </w:r>
      <w:r>
        <w:rPr>
          <w:color w:val="000000"/>
        </w:rPr>
        <w:t>[22]</w:t>
      </w:r>
      <w:r>
        <w:rPr>
          <w:color w:val="000000"/>
        </w:rPr>
        <w:t>。</w:t>
      </w:r>
    </w:p>
    <w:p w14:paraId="1B118F3F" w14:textId="77777777" w:rsidR="00686F00" w:rsidRDefault="003259DA">
      <w:pPr>
        <w:pStyle w:val="3"/>
        <w:spacing w:before="140" w:after="60"/>
      </w:pPr>
      <w:bookmarkStart w:id="26" w:name="用户研究结果"/>
      <w:bookmarkEnd w:id="25"/>
      <w:r>
        <w:rPr>
          <w:rFonts w:eastAsia="SimSun"/>
          <w:i/>
        </w:rPr>
        <w:t xml:space="preserve">D. </w:t>
      </w:r>
      <w:r>
        <w:rPr>
          <w:rFonts w:eastAsia="SimSun"/>
          <w:i/>
        </w:rPr>
        <w:t>用户研究结果</w:t>
      </w:r>
    </w:p>
    <w:p w14:paraId="0BB13377" w14:textId="77777777" w:rsidR="00686F00" w:rsidRDefault="003259DA">
      <w:pPr>
        <w:pStyle w:val="FirstParagraph"/>
        <w:keepNext/>
        <w:spacing w:before="160" w:after="80"/>
        <w:jc w:val="center"/>
      </w:pPr>
      <w:r>
        <w:rPr>
          <w:color w:val="000000"/>
          <w:sz w:val="16"/>
        </w:rPr>
        <w:t>表</w:t>
      </w:r>
      <w:r>
        <w:rPr>
          <w:color w:val="000000"/>
          <w:sz w:val="16"/>
        </w:rPr>
        <w:t xml:space="preserve"> IV</w:t>
      </w:r>
      <w:r>
        <w:rPr>
          <w:color w:val="000000"/>
          <w:sz w:val="16"/>
        </w:rPr>
        <w:br/>
      </w:r>
      <w:r>
        <w:rPr>
          <w:color w:val="000000"/>
          <w:sz w:val="16"/>
        </w:rPr>
        <w:t>全体参与者的描述性结果（</w:t>
      </w:r>
      <w:r>
        <w:rPr>
          <w:color w:val="000000"/>
          <w:sz w:val="16"/>
        </w:rPr>
        <w:t>N = 19</w:t>
      </w:r>
      <w:r>
        <w:rPr>
          <w:color w:val="000000"/>
          <w:sz w:val="16"/>
        </w:rPr>
        <w:t>）。</w:t>
      </w:r>
    </w:p>
    <w:tbl>
      <w:tblPr>
        <w:tblStyle w:val="Table"/>
        <w:tblW w:w="5040" w:type="dxa"/>
        <w:jc w:val="center"/>
        <w:tblBorders>
          <w:top w:val="single" w:sz="6" w:space="0" w:color="auto"/>
          <w:left w:val="nil"/>
          <w:bottom w:val="single" w:sz="6" w:space="0" w:color="auto"/>
          <w:right w:val="nil"/>
          <w:insideH w:val="nil"/>
          <w:insideV w:val="nil"/>
        </w:tblBorders>
        <w:tblLayout w:type="fixed"/>
        <w:tblLook w:val="0020" w:firstRow="1" w:lastRow="0" w:firstColumn="0" w:lastColumn="0" w:noHBand="0" w:noVBand="0"/>
      </w:tblPr>
      <w:tblGrid>
        <w:gridCol w:w="3377"/>
        <w:gridCol w:w="1663"/>
      </w:tblGrid>
      <w:tr w:rsidR="00686F00" w14:paraId="5D53D474" w14:textId="77777777" w:rsidTr="00686F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77" w:type="dxa"/>
            <w:tcBorders>
              <w:bottom w:val="single" w:sz="4" w:space="0" w:color="auto"/>
            </w:tcBorders>
            <w:vAlign w:val="top"/>
          </w:tcPr>
          <w:p w14:paraId="28100BF6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b/>
                <w:color w:val="000000"/>
                <w:sz w:val="16"/>
              </w:rPr>
              <w:t>指标</w:t>
            </w:r>
          </w:p>
        </w:tc>
        <w:tc>
          <w:tcPr>
            <w:tcW w:w="1663" w:type="dxa"/>
            <w:tcBorders>
              <w:bottom w:val="single" w:sz="4" w:space="0" w:color="auto"/>
            </w:tcBorders>
            <w:vAlign w:val="top"/>
          </w:tcPr>
          <w:p w14:paraId="0AA7AAE5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b/>
                <w:color w:val="000000"/>
                <w:sz w:val="16"/>
              </w:rPr>
              <w:t>结果</w:t>
            </w:r>
          </w:p>
        </w:tc>
      </w:tr>
      <w:tr w:rsidR="00686F00" w14:paraId="3DD05A53" w14:textId="77777777" w:rsidTr="00686F00">
        <w:trPr>
          <w:cantSplit/>
          <w:jc w:val="center"/>
        </w:trPr>
        <w:tc>
          <w:tcPr>
            <w:tcW w:w="3377" w:type="dxa"/>
          </w:tcPr>
          <w:p w14:paraId="740A47FE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核心任务完成率</w:t>
            </w:r>
          </w:p>
        </w:tc>
        <w:tc>
          <w:tcPr>
            <w:tcW w:w="1663" w:type="dxa"/>
          </w:tcPr>
          <w:p w14:paraId="4978E404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18/19</w:t>
            </w:r>
            <w:r>
              <w:rPr>
                <w:rFonts w:hint="eastAsia"/>
                <w:color w:val="000000"/>
                <w:sz w:val="16"/>
              </w:rPr>
              <w:t>（</w:t>
            </w:r>
            <w:r>
              <w:rPr>
                <w:rFonts w:hint="eastAsia"/>
                <w:color w:val="000000"/>
                <w:sz w:val="16"/>
              </w:rPr>
              <w:t>94.7%</w:t>
            </w:r>
            <w:r>
              <w:rPr>
                <w:rFonts w:hint="eastAsia"/>
                <w:color w:val="000000"/>
                <w:sz w:val="16"/>
              </w:rPr>
              <w:t>）</w:t>
            </w:r>
          </w:p>
        </w:tc>
      </w:tr>
      <w:tr w:rsidR="00686F00" w14:paraId="4F79CBA4" w14:textId="77777777" w:rsidTr="00686F00">
        <w:trPr>
          <w:cantSplit/>
          <w:jc w:val="center"/>
        </w:trPr>
        <w:tc>
          <w:tcPr>
            <w:tcW w:w="3377" w:type="dxa"/>
          </w:tcPr>
          <w:p w14:paraId="7D25F911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SUS</w:t>
            </w:r>
            <w:r>
              <w:rPr>
                <w:rFonts w:hint="eastAsia"/>
                <w:color w:val="000000"/>
                <w:sz w:val="16"/>
              </w:rPr>
              <w:t>（</w:t>
            </w:r>
            <w:r>
              <w:rPr>
                <w:rFonts w:hint="eastAsia"/>
                <w:color w:val="000000"/>
                <w:sz w:val="16"/>
              </w:rPr>
              <w:t>0</w:t>
            </w:r>
            <w:r>
              <w:rPr>
                <w:rFonts w:hint="eastAsia"/>
                <w:color w:val="000000"/>
                <w:sz w:val="16"/>
              </w:rPr>
              <w:t>–</w:t>
            </w:r>
            <w:r>
              <w:rPr>
                <w:rFonts w:hint="eastAsia"/>
                <w:color w:val="000000"/>
                <w:sz w:val="16"/>
              </w:rPr>
              <w:t>100</w:t>
            </w:r>
            <w:r>
              <w:rPr>
                <w:rFonts w:hint="eastAsia"/>
                <w:color w:val="000000"/>
                <w:sz w:val="16"/>
              </w:rPr>
              <w:t>）</w:t>
            </w:r>
          </w:p>
        </w:tc>
        <w:tc>
          <w:tcPr>
            <w:tcW w:w="1663" w:type="dxa"/>
          </w:tcPr>
          <w:p w14:paraId="34D0F5FD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color w:val="000000"/>
                <w:sz w:val="16"/>
              </w:rPr>
              <w:t>82.4</w:t>
            </w:r>
          </w:p>
        </w:tc>
      </w:tr>
      <w:tr w:rsidR="00686F00" w14:paraId="5EF0E601" w14:textId="77777777" w:rsidTr="00686F00">
        <w:trPr>
          <w:cantSplit/>
          <w:jc w:val="center"/>
        </w:trPr>
        <w:tc>
          <w:tcPr>
            <w:tcW w:w="3377" w:type="dxa"/>
          </w:tcPr>
          <w:p w14:paraId="0E863F87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NASA-TLX</w:t>
            </w:r>
            <w:r>
              <w:rPr>
                <w:rFonts w:hint="eastAsia"/>
                <w:color w:val="000000"/>
                <w:sz w:val="16"/>
              </w:rPr>
              <w:t>：心理需求（</w:t>
            </w:r>
            <w:r>
              <w:rPr>
                <w:rFonts w:hint="eastAsia"/>
                <w:color w:val="000000"/>
                <w:sz w:val="16"/>
              </w:rPr>
              <w:t>0</w:t>
            </w:r>
            <w:r>
              <w:rPr>
                <w:rFonts w:hint="eastAsia"/>
                <w:color w:val="000000"/>
                <w:sz w:val="16"/>
              </w:rPr>
              <w:t>–</w:t>
            </w:r>
            <w:r>
              <w:rPr>
                <w:rFonts w:hint="eastAsia"/>
                <w:color w:val="000000"/>
                <w:sz w:val="16"/>
              </w:rPr>
              <w:t>100</w:t>
            </w:r>
            <w:r>
              <w:rPr>
                <w:rFonts w:hint="eastAsia"/>
                <w:color w:val="000000"/>
                <w:sz w:val="16"/>
              </w:rPr>
              <w:t>）</w:t>
            </w:r>
          </w:p>
        </w:tc>
        <w:tc>
          <w:tcPr>
            <w:tcW w:w="1663" w:type="dxa"/>
          </w:tcPr>
          <w:p w14:paraId="4F3FD590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color w:val="000000"/>
                <w:sz w:val="16"/>
              </w:rPr>
              <w:t>42.9</w:t>
            </w:r>
          </w:p>
        </w:tc>
      </w:tr>
      <w:tr w:rsidR="00686F00" w14:paraId="51C84D34" w14:textId="77777777" w:rsidTr="00686F00">
        <w:trPr>
          <w:cantSplit/>
          <w:jc w:val="center"/>
        </w:trPr>
        <w:tc>
          <w:tcPr>
            <w:tcW w:w="3377" w:type="dxa"/>
          </w:tcPr>
          <w:p w14:paraId="5AB49565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NASA-TLX</w:t>
            </w:r>
            <w:r>
              <w:rPr>
                <w:rFonts w:hint="eastAsia"/>
                <w:color w:val="000000"/>
                <w:sz w:val="16"/>
              </w:rPr>
              <w:t>：身体需求（</w:t>
            </w:r>
            <w:r>
              <w:rPr>
                <w:rFonts w:hint="eastAsia"/>
                <w:color w:val="000000"/>
                <w:sz w:val="16"/>
              </w:rPr>
              <w:t>0</w:t>
            </w:r>
            <w:r>
              <w:rPr>
                <w:rFonts w:hint="eastAsia"/>
                <w:color w:val="000000"/>
                <w:sz w:val="16"/>
              </w:rPr>
              <w:t>–</w:t>
            </w:r>
            <w:r>
              <w:rPr>
                <w:rFonts w:hint="eastAsia"/>
                <w:color w:val="000000"/>
                <w:sz w:val="16"/>
              </w:rPr>
              <w:t>100</w:t>
            </w:r>
            <w:r>
              <w:rPr>
                <w:rFonts w:hint="eastAsia"/>
                <w:color w:val="000000"/>
                <w:sz w:val="16"/>
              </w:rPr>
              <w:t>）</w:t>
            </w:r>
          </w:p>
        </w:tc>
        <w:tc>
          <w:tcPr>
            <w:tcW w:w="1663" w:type="dxa"/>
          </w:tcPr>
          <w:p w14:paraId="5CD42625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color w:val="000000"/>
                <w:sz w:val="16"/>
              </w:rPr>
              <w:t>27.9</w:t>
            </w:r>
          </w:p>
        </w:tc>
      </w:tr>
      <w:tr w:rsidR="00686F00" w14:paraId="70A2E229" w14:textId="77777777" w:rsidTr="00686F00">
        <w:trPr>
          <w:cantSplit/>
          <w:jc w:val="center"/>
        </w:trPr>
        <w:tc>
          <w:tcPr>
            <w:tcW w:w="3377" w:type="dxa"/>
          </w:tcPr>
          <w:p w14:paraId="0C46B616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NASA-TLX</w:t>
            </w:r>
            <w:r>
              <w:rPr>
                <w:rFonts w:hint="eastAsia"/>
                <w:color w:val="000000"/>
                <w:sz w:val="16"/>
              </w:rPr>
              <w:t>：时间压力（</w:t>
            </w:r>
            <w:r>
              <w:rPr>
                <w:rFonts w:hint="eastAsia"/>
                <w:color w:val="000000"/>
                <w:sz w:val="16"/>
              </w:rPr>
              <w:t>0</w:t>
            </w:r>
            <w:r>
              <w:rPr>
                <w:rFonts w:hint="eastAsia"/>
                <w:color w:val="000000"/>
                <w:sz w:val="16"/>
              </w:rPr>
              <w:t>–</w:t>
            </w:r>
            <w:r>
              <w:rPr>
                <w:rFonts w:hint="eastAsia"/>
                <w:color w:val="000000"/>
                <w:sz w:val="16"/>
              </w:rPr>
              <w:t>100</w:t>
            </w:r>
            <w:r>
              <w:rPr>
                <w:rFonts w:hint="eastAsia"/>
                <w:color w:val="000000"/>
                <w:sz w:val="16"/>
              </w:rPr>
              <w:t>）</w:t>
            </w:r>
          </w:p>
        </w:tc>
        <w:tc>
          <w:tcPr>
            <w:tcW w:w="1663" w:type="dxa"/>
          </w:tcPr>
          <w:p w14:paraId="0FC41694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color w:val="000000"/>
                <w:sz w:val="16"/>
              </w:rPr>
              <w:t>30.8</w:t>
            </w:r>
          </w:p>
        </w:tc>
      </w:tr>
      <w:tr w:rsidR="00686F00" w14:paraId="30811F97" w14:textId="77777777" w:rsidTr="00686F00">
        <w:trPr>
          <w:cantSplit/>
          <w:jc w:val="center"/>
        </w:trPr>
        <w:tc>
          <w:tcPr>
            <w:tcW w:w="3377" w:type="dxa"/>
          </w:tcPr>
          <w:p w14:paraId="33CB3A27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NASA-TLX</w:t>
            </w:r>
            <w:r>
              <w:rPr>
                <w:rFonts w:hint="eastAsia"/>
                <w:color w:val="000000"/>
                <w:sz w:val="16"/>
              </w:rPr>
              <w:t>：自我表现（</w:t>
            </w:r>
            <w:r>
              <w:rPr>
                <w:rFonts w:hint="eastAsia"/>
                <w:color w:val="000000"/>
                <w:sz w:val="16"/>
              </w:rPr>
              <w:t>0</w:t>
            </w:r>
            <w:r>
              <w:rPr>
                <w:rFonts w:hint="eastAsia"/>
                <w:color w:val="000000"/>
                <w:sz w:val="16"/>
              </w:rPr>
              <w:t>–</w:t>
            </w:r>
            <w:r>
              <w:rPr>
                <w:rFonts w:hint="eastAsia"/>
                <w:color w:val="000000"/>
                <w:sz w:val="16"/>
              </w:rPr>
              <w:t>100</w:t>
            </w:r>
            <w:r>
              <w:rPr>
                <w:rFonts w:hint="eastAsia"/>
                <w:color w:val="000000"/>
                <w:sz w:val="16"/>
              </w:rPr>
              <w:t>）</w:t>
            </w:r>
            <w:r>
              <w:rPr>
                <w:rFonts w:hint="eastAsia"/>
                <w:color w:val="000000"/>
                <w:sz w:val="16"/>
              </w:rPr>
              <w:t>*</w:t>
            </w:r>
          </w:p>
        </w:tc>
        <w:tc>
          <w:tcPr>
            <w:tcW w:w="1663" w:type="dxa"/>
          </w:tcPr>
          <w:p w14:paraId="1682BC5E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color w:val="000000"/>
                <w:sz w:val="16"/>
              </w:rPr>
              <w:t>23.7</w:t>
            </w:r>
          </w:p>
        </w:tc>
      </w:tr>
      <w:tr w:rsidR="00686F00" w14:paraId="2B1D52B2" w14:textId="77777777" w:rsidTr="00686F00">
        <w:trPr>
          <w:cantSplit/>
          <w:jc w:val="center"/>
        </w:trPr>
        <w:tc>
          <w:tcPr>
            <w:tcW w:w="3377" w:type="dxa"/>
          </w:tcPr>
          <w:p w14:paraId="64A5BB98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NASA-TLX</w:t>
            </w:r>
            <w:r>
              <w:rPr>
                <w:rFonts w:hint="eastAsia"/>
                <w:color w:val="000000"/>
                <w:sz w:val="16"/>
              </w:rPr>
              <w:t>：付出努力（</w:t>
            </w:r>
            <w:r>
              <w:rPr>
                <w:rFonts w:hint="eastAsia"/>
                <w:color w:val="000000"/>
                <w:sz w:val="16"/>
              </w:rPr>
              <w:t>0</w:t>
            </w:r>
            <w:r>
              <w:rPr>
                <w:rFonts w:hint="eastAsia"/>
                <w:color w:val="000000"/>
                <w:sz w:val="16"/>
              </w:rPr>
              <w:t>–</w:t>
            </w:r>
            <w:r>
              <w:rPr>
                <w:rFonts w:hint="eastAsia"/>
                <w:color w:val="000000"/>
                <w:sz w:val="16"/>
              </w:rPr>
              <w:t>100</w:t>
            </w:r>
            <w:r>
              <w:rPr>
                <w:rFonts w:hint="eastAsia"/>
                <w:color w:val="000000"/>
                <w:sz w:val="16"/>
              </w:rPr>
              <w:t>）</w:t>
            </w:r>
          </w:p>
        </w:tc>
        <w:tc>
          <w:tcPr>
            <w:tcW w:w="1663" w:type="dxa"/>
          </w:tcPr>
          <w:p w14:paraId="451AAAF5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color w:val="000000"/>
                <w:sz w:val="16"/>
              </w:rPr>
              <w:t>44.7</w:t>
            </w:r>
          </w:p>
        </w:tc>
      </w:tr>
      <w:tr w:rsidR="00686F00" w14:paraId="77E7F969" w14:textId="77777777" w:rsidTr="00686F00">
        <w:trPr>
          <w:cantSplit/>
          <w:jc w:val="center"/>
        </w:trPr>
        <w:tc>
          <w:tcPr>
            <w:tcW w:w="3377" w:type="dxa"/>
          </w:tcPr>
          <w:p w14:paraId="1EFA3A67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NASA-TLX</w:t>
            </w:r>
            <w:r>
              <w:rPr>
                <w:rFonts w:hint="eastAsia"/>
                <w:color w:val="000000"/>
                <w:sz w:val="16"/>
              </w:rPr>
              <w:t>：挫败感（</w:t>
            </w:r>
            <w:r>
              <w:rPr>
                <w:rFonts w:hint="eastAsia"/>
                <w:color w:val="000000"/>
                <w:sz w:val="16"/>
              </w:rPr>
              <w:t>0</w:t>
            </w:r>
            <w:r>
              <w:rPr>
                <w:rFonts w:hint="eastAsia"/>
                <w:color w:val="000000"/>
                <w:sz w:val="16"/>
              </w:rPr>
              <w:t>–</w:t>
            </w:r>
            <w:r>
              <w:rPr>
                <w:rFonts w:hint="eastAsia"/>
                <w:color w:val="000000"/>
                <w:sz w:val="16"/>
              </w:rPr>
              <w:t>100</w:t>
            </w:r>
            <w:r>
              <w:rPr>
                <w:rFonts w:hint="eastAsia"/>
                <w:color w:val="000000"/>
                <w:sz w:val="16"/>
              </w:rPr>
              <w:t>）</w:t>
            </w:r>
          </w:p>
        </w:tc>
        <w:tc>
          <w:tcPr>
            <w:tcW w:w="1663" w:type="dxa"/>
          </w:tcPr>
          <w:p w14:paraId="009F3CB1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color w:val="000000"/>
                <w:sz w:val="16"/>
              </w:rPr>
              <w:t>24.2</w:t>
            </w:r>
          </w:p>
        </w:tc>
      </w:tr>
      <w:tr w:rsidR="00686F00" w14:paraId="6ACBAAFC" w14:textId="77777777" w:rsidTr="00686F00">
        <w:trPr>
          <w:cantSplit/>
          <w:jc w:val="center"/>
        </w:trPr>
        <w:tc>
          <w:tcPr>
            <w:tcW w:w="3377" w:type="dxa"/>
          </w:tcPr>
          <w:p w14:paraId="19582A4F" w14:textId="77777777" w:rsidR="00686F00" w:rsidRDefault="003259DA">
            <w:pPr>
              <w:pStyle w:val="Compact"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NASA-TLX</w:t>
            </w:r>
            <w:r>
              <w:rPr>
                <w:rFonts w:hint="eastAsia"/>
                <w:color w:val="000000"/>
                <w:sz w:val="16"/>
              </w:rPr>
              <w:t>：总体负荷（</w:t>
            </w:r>
            <w:r>
              <w:rPr>
                <w:rFonts w:hint="eastAsia"/>
                <w:color w:val="000000"/>
                <w:sz w:val="16"/>
              </w:rPr>
              <w:t>R-TLX</w:t>
            </w:r>
            <w:r>
              <w:rPr>
                <w:rFonts w:hint="eastAsia"/>
                <w:color w:val="000000"/>
                <w:sz w:val="16"/>
              </w:rPr>
              <w:t>，</w:t>
            </w:r>
            <w:r>
              <w:rPr>
                <w:rFonts w:hint="eastAsia"/>
                <w:color w:val="000000"/>
                <w:sz w:val="16"/>
              </w:rPr>
              <w:t>0</w:t>
            </w:r>
            <w:r>
              <w:rPr>
                <w:rFonts w:hint="eastAsia"/>
                <w:color w:val="000000"/>
                <w:sz w:val="16"/>
              </w:rPr>
              <w:t>–</w:t>
            </w:r>
            <w:r>
              <w:rPr>
                <w:rFonts w:hint="eastAsia"/>
                <w:color w:val="000000"/>
                <w:sz w:val="16"/>
              </w:rPr>
              <w:t>100</w:t>
            </w:r>
            <w:r>
              <w:rPr>
                <w:rFonts w:hint="eastAsia"/>
                <w:color w:val="000000"/>
                <w:sz w:val="16"/>
              </w:rPr>
              <w:t>）</w:t>
            </w:r>
          </w:p>
        </w:tc>
        <w:tc>
          <w:tcPr>
            <w:tcW w:w="1663" w:type="dxa"/>
          </w:tcPr>
          <w:p w14:paraId="665BCCC6" w14:textId="77777777" w:rsidR="00686F00" w:rsidRDefault="003259DA">
            <w:pPr>
              <w:pStyle w:val="Compact"/>
              <w:spacing w:before="40" w:after="40"/>
            </w:pPr>
            <w:r>
              <w:rPr>
                <w:color w:val="000000"/>
                <w:sz w:val="16"/>
              </w:rPr>
              <w:t>32.4</w:t>
            </w:r>
          </w:p>
        </w:tc>
      </w:tr>
    </w:tbl>
    <w:p w14:paraId="226B6455" w14:textId="77777777" w:rsidR="00686F00" w:rsidRDefault="003259DA">
      <w:pPr>
        <w:pStyle w:val="a0"/>
        <w:spacing w:before="40" w:after="120"/>
        <w:jc w:val="both"/>
      </w:pPr>
      <w:r>
        <w:rPr>
          <w:rFonts w:hint="eastAsia"/>
          <w:i/>
          <w:color w:val="000000"/>
          <w:sz w:val="16"/>
        </w:rPr>
        <w:t>*</w:t>
      </w:r>
      <w:r>
        <w:rPr>
          <w:rFonts w:hint="eastAsia"/>
          <w:i/>
          <w:color w:val="000000"/>
          <w:sz w:val="16"/>
        </w:rPr>
        <w:t>注：依据标准</w:t>
      </w:r>
      <w:r>
        <w:rPr>
          <w:i/>
          <w:color w:val="000000"/>
          <w:sz w:val="16"/>
        </w:rPr>
        <w:t xml:space="preserve"> NASA-TLX </w:t>
      </w:r>
      <w:r>
        <w:rPr>
          <w:rFonts w:hint="eastAsia"/>
          <w:i/>
          <w:color w:val="000000"/>
          <w:sz w:val="16"/>
        </w:rPr>
        <w:t>负荷导向计分规范</w:t>
      </w:r>
      <w:r>
        <w:rPr>
          <w:i/>
          <w:color w:val="000000"/>
          <w:sz w:val="16"/>
        </w:rPr>
        <w:t xml:space="preserve"> </w:t>
      </w:r>
      <w:r>
        <w:rPr>
          <w:rFonts w:hint="eastAsia"/>
          <w:i/>
          <w:color w:val="000000"/>
          <w:sz w:val="16"/>
        </w:rPr>
        <w:t>[20]</w:t>
      </w:r>
      <w:r>
        <w:rPr>
          <w:rFonts w:hint="eastAsia"/>
          <w:i/>
          <w:color w:val="000000"/>
          <w:sz w:val="16"/>
        </w:rPr>
        <w:t>，自我表现（</w:t>
      </w:r>
      <w:r>
        <w:rPr>
          <w:rFonts w:hint="eastAsia"/>
          <w:i/>
          <w:color w:val="000000"/>
          <w:sz w:val="16"/>
        </w:rPr>
        <w:t>Performance</w:t>
      </w:r>
      <w:r>
        <w:rPr>
          <w:rFonts w:hint="eastAsia"/>
          <w:i/>
          <w:color w:val="000000"/>
          <w:sz w:val="16"/>
        </w:rPr>
        <w:t>）维度中</w:t>
      </w:r>
      <w:r>
        <w:rPr>
          <w:i/>
          <w:color w:val="000000"/>
          <w:sz w:val="16"/>
        </w:rPr>
        <w:t xml:space="preserve"> 0 </w:t>
      </w:r>
      <w:r>
        <w:rPr>
          <w:rFonts w:hint="eastAsia"/>
          <w:i/>
          <w:color w:val="000000"/>
          <w:sz w:val="16"/>
        </w:rPr>
        <w:t>代表优秀</w:t>
      </w:r>
      <w:r>
        <w:rPr>
          <w:rFonts w:hint="eastAsia"/>
          <w:i/>
          <w:color w:val="000000"/>
          <w:sz w:val="16"/>
        </w:rPr>
        <w:t>/</w:t>
      </w:r>
      <w:r>
        <w:rPr>
          <w:rFonts w:hint="eastAsia"/>
          <w:i/>
          <w:color w:val="000000"/>
          <w:sz w:val="16"/>
        </w:rPr>
        <w:t>表现极好，</w:t>
      </w:r>
      <w:r>
        <w:rPr>
          <w:rFonts w:hint="eastAsia"/>
          <w:i/>
          <w:color w:val="000000"/>
          <w:sz w:val="16"/>
        </w:rPr>
        <w:t>100</w:t>
      </w:r>
      <w:r>
        <w:rPr>
          <w:i/>
          <w:color w:val="000000"/>
          <w:sz w:val="16"/>
        </w:rPr>
        <w:t xml:space="preserve"> </w:t>
      </w:r>
      <w:r>
        <w:rPr>
          <w:rFonts w:hint="eastAsia"/>
          <w:i/>
          <w:color w:val="000000"/>
          <w:sz w:val="16"/>
        </w:rPr>
        <w:t>代表较差</w:t>
      </w:r>
      <w:r>
        <w:rPr>
          <w:rFonts w:hint="eastAsia"/>
          <w:i/>
          <w:color w:val="000000"/>
          <w:sz w:val="16"/>
        </w:rPr>
        <w:t>/</w:t>
      </w:r>
      <w:r>
        <w:rPr>
          <w:rFonts w:hint="eastAsia"/>
          <w:i/>
          <w:color w:val="000000"/>
          <w:sz w:val="16"/>
        </w:rPr>
        <w:t>失败，较低数值反映参与者对自身任务完成的满意度高。总体负荷为全部</w:t>
      </w:r>
      <w:r>
        <w:rPr>
          <w:i/>
          <w:color w:val="000000"/>
          <w:sz w:val="16"/>
        </w:rPr>
        <w:t xml:space="preserve"> 6 </w:t>
      </w:r>
      <w:r>
        <w:rPr>
          <w:rFonts w:hint="eastAsia"/>
          <w:i/>
          <w:color w:val="000000"/>
          <w:sz w:val="16"/>
        </w:rPr>
        <w:t>个维度的未加权均值（</w:t>
      </w:r>
      <w:r>
        <w:rPr>
          <w:rFonts w:hint="eastAsia"/>
          <w:i/>
          <w:color w:val="000000"/>
          <w:sz w:val="16"/>
        </w:rPr>
        <w:t>Raw</w:t>
      </w:r>
      <w:r>
        <w:rPr>
          <w:i/>
          <w:color w:val="000000"/>
          <w:sz w:val="16"/>
        </w:rPr>
        <w:t xml:space="preserve"> </w:t>
      </w:r>
      <w:r>
        <w:rPr>
          <w:rFonts w:hint="eastAsia"/>
          <w:i/>
          <w:color w:val="000000"/>
          <w:sz w:val="16"/>
        </w:rPr>
        <w:t>TLX</w:t>
      </w:r>
      <w:r>
        <w:rPr>
          <w:rFonts w:hint="eastAsia"/>
          <w:i/>
          <w:color w:val="000000"/>
          <w:sz w:val="16"/>
        </w:rPr>
        <w:t>）。</w:t>
      </w:r>
    </w:p>
    <w:p w14:paraId="0CF4E22E" w14:textId="77777777" w:rsidR="00686F00" w:rsidRDefault="003259DA">
      <w:pPr>
        <w:pStyle w:val="a0"/>
        <w:ind w:firstLine="202"/>
        <w:jc w:val="both"/>
      </w:pPr>
      <w:r>
        <w:rPr>
          <w:color w:val="000000"/>
        </w:rPr>
        <w:t xml:space="preserve">18 </w:t>
      </w:r>
      <w:r>
        <w:rPr>
          <w:rFonts w:hint="eastAsia"/>
          <w:color w:val="000000"/>
        </w:rPr>
        <w:t>人完成核心流程，支持流程可行性而非光学掌握。</w:t>
      </w:r>
      <w:r>
        <w:rPr>
          <w:rFonts w:hint="eastAsia"/>
          <w:color w:val="000000"/>
        </w:rPr>
        <w:t>SUS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均值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82.4</w:t>
      </w:r>
      <w:r>
        <w:rPr>
          <w:rFonts w:hint="eastAsia"/>
          <w:color w:val="000000"/>
        </w:rPr>
        <w:t>，符合较高感知可用性</w:t>
      </w:r>
      <w:r>
        <w:rPr>
          <w:color w:val="000000"/>
        </w:rPr>
        <w:t xml:space="preserve"> [22]</w:t>
      </w:r>
      <w:r>
        <w:rPr>
          <w:color w:val="000000"/>
        </w:rPr>
        <w:t>。</w:t>
      </w:r>
      <w:r>
        <w:rPr>
          <w:color w:val="000000"/>
        </w:rPr>
        <w:t xml:space="preserve">R-TLX </w:t>
      </w:r>
      <w:r>
        <w:rPr>
          <w:rFonts w:hint="eastAsia"/>
          <w:color w:val="000000"/>
        </w:rPr>
        <w:t>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32.4/100</w:t>
      </w:r>
      <w:r>
        <w:rPr>
          <w:rFonts w:hint="eastAsia"/>
          <w:color w:val="000000"/>
        </w:rPr>
        <w:t>；付出努力（</w:t>
      </w:r>
      <w:r>
        <w:rPr>
          <w:rFonts w:hint="eastAsia"/>
          <w:color w:val="000000"/>
        </w:rPr>
        <w:t>44.7</w:t>
      </w:r>
      <w:r>
        <w:rPr>
          <w:rFonts w:hint="eastAsia"/>
          <w:color w:val="000000"/>
        </w:rPr>
        <w:t>）和心理需求（</w:t>
      </w:r>
      <w:r>
        <w:rPr>
          <w:rFonts w:hint="eastAsia"/>
          <w:color w:val="000000"/>
        </w:rPr>
        <w:t>42.9</w:t>
      </w:r>
      <w:r>
        <w:rPr>
          <w:rFonts w:hint="eastAsia"/>
          <w:color w:val="000000"/>
        </w:rPr>
        <w:t>）最高，时间压力（</w:t>
      </w:r>
      <w:r>
        <w:rPr>
          <w:rFonts w:hint="eastAsia"/>
          <w:color w:val="000000"/>
        </w:rPr>
        <w:t>30.8</w:t>
      </w:r>
      <w:r>
        <w:rPr>
          <w:rFonts w:hint="eastAsia"/>
          <w:color w:val="000000"/>
        </w:rPr>
        <w:t>）、身体需求（</w:t>
      </w:r>
      <w:r>
        <w:rPr>
          <w:rFonts w:hint="eastAsia"/>
          <w:color w:val="000000"/>
        </w:rPr>
        <w:t>27.9</w:t>
      </w:r>
      <w:r>
        <w:rPr>
          <w:rFonts w:hint="eastAsia"/>
          <w:color w:val="000000"/>
        </w:rPr>
        <w:t>）、挫败感（</w:t>
      </w:r>
      <w:r>
        <w:rPr>
          <w:rFonts w:hint="eastAsia"/>
          <w:color w:val="000000"/>
        </w:rPr>
        <w:t>24.2</w:t>
      </w:r>
      <w:r>
        <w:rPr>
          <w:rFonts w:hint="eastAsia"/>
          <w:color w:val="000000"/>
        </w:rPr>
        <w:t>）和表现（</w:t>
      </w:r>
      <w:r>
        <w:rPr>
          <w:rFonts w:hint="eastAsia"/>
          <w:color w:val="000000"/>
        </w:rPr>
        <w:t>23.7</w:t>
      </w:r>
      <w:r>
        <w:rPr>
          <w:rFonts w:hint="eastAsia"/>
          <w:color w:val="000000"/>
        </w:rPr>
        <w:t>）较低。因无对照和预设维度假设，这一分布仅作描述。</w:t>
      </w:r>
    </w:p>
    <w:p w14:paraId="2995B543" w14:textId="77777777" w:rsidR="00686F00" w:rsidRDefault="003259DA">
      <w:pPr>
        <w:pStyle w:val="3"/>
        <w:spacing w:before="140" w:after="60"/>
      </w:pPr>
      <w:bookmarkStart w:id="27" w:name="结果解释与效度边界"/>
      <w:bookmarkEnd w:id="26"/>
      <w:r>
        <w:rPr>
          <w:rFonts w:eastAsia="SimSun"/>
          <w:i/>
        </w:rPr>
        <w:lastRenderedPageBreak/>
        <w:t xml:space="preserve">E. </w:t>
      </w:r>
      <w:r>
        <w:rPr>
          <w:rFonts w:eastAsia="SimSun"/>
          <w:i/>
        </w:rPr>
        <w:t>结果解释与效度边界</w:t>
      </w:r>
    </w:p>
    <w:p w14:paraId="6F5787CE" w14:textId="77777777" w:rsidR="00686F00" w:rsidRDefault="003259DA">
      <w:pPr>
        <w:pStyle w:val="FirstParagraph"/>
        <w:ind w:firstLine="202"/>
        <w:jc w:val="both"/>
      </w:pPr>
      <w:r>
        <w:rPr>
          <w:rFonts w:hint="eastAsia"/>
          <w:color w:val="000000"/>
        </w:rPr>
        <w:t>单组评价支持可行性与感知可用性，不证明</w:t>
      </w:r>
      <w:r>
        <w:rPr>
          <w:color w:val="000000"/>
        </w:rPr>
        <w:t xml:space="preserve"> AI </w:t>
      </w:r>
      <w:r>
        <w:rPr>
          <w:rFonts w:hint="eastAsia"/>
          <w:color w:val="000000"/>
        </w:rPr>
        <w:t>的因果学习增益或真实仪器迁移效果。专业样本不均，不作组间比较。语音、帧率和对抗鲁棒性需单独测试；第</w:t>
      </w:r>
      <w:r>
        <w:rPr>
          <w:color w:val="000000"/>
        </w:rPr>
        <w:t xml:space="preserve"> VI-F </w:t>
      </w:r>
      <w:r>
        <w:rPr>
          <w:rFonts w:hint="eastAsia"/>
          <w:color w:val="000000"/>
        </w:rPr>
        <w:t>节评价模型／后端回答</w:t>
      </w:r>
      <w:r>
        <w:rPr>
          <w:rFonts w:hint="eastAsia"/>
          <w:color w:val="000000"/>
        </w:rPr>
        <w:t>。</w:t>
      </w:r>
    </w:p>
    <w:p w14:paraId="0C01DA15" w14:textId="77777777" w:rsidR="00686F00" w:rsidRDefault="003259DA">
      <w:pPr>
        <w:pStyle w:val="3"/>
        <w:spacing w:before="140" w:after="60"/>
      </w:pPr>
      <w:bookmarkStart w:id="28" w:name="固定状态-ai-指引基准测试"/>
      <w:bookmarkEnd w:id="27"/>
      <w:r>
        <w:rPr>
          <w:rFonts w:eastAsia="SimSun"/>
          <w:i/>
        </w:rPr>
        <w:t xml:space="preserve">F. </w:t>
      </w:r>
      <w:r>
        <w:rPr>
          <w:rFonts w:eastAsia="SimSun"/>
          <w:i/>
        </w:rPr>
        <w:t>固定状态</w:t>
      </w:r>
      <w:r>
        <w:rPr>
          <w:rFonts w:eastAsia="SimSun"/>
          <w:i/>
        </w:rPr>
        <w:t xml:space="preserve"> AI </w:t>
      </w:r>
      <w:r>
        <w:rPr>
          <w:rFonts w:eastAsia="SimSun"/>
          <w:i/>
        </w:rPr>
        <w:t>指引基准测试</w:t>
      </w:r>
    </w:p>
    <w:p w14:paraId="3E180F00" w14:textId="77777777" w:rsidR="00686F00" w:rsidRDefault="003259DA">
      <w:pPr>
        <w:pStyle w:val="FirstParagraph"/>
        <w:ind w:firstLine="202"/>
        <w:jc w:val="both"/>
      </w:pPr>
      <w:r>
        <w:rPr>
          <w:rFonts w:hint="eastAsia"/>
          <w:color w:val="000000"/>
        </w:rPr>
        <w:t>本实验通过实际后端回放</w:t>
      </w:r>
      <w:r>
        <w:rPr>
          <w:color w:val="000000"/>
        </w:rPr>
        <w:t xml:space="preserve"> 26 </w:t>
      </w:r>
      <w:r>
        <w:rPr>
          <w:rFonts w:hint="eastAsia"/>
          <w:color w:val="000000"/>
        </w:rPr>
        <w:t>个从实现推导的固定“问题—状态”案例，每例三次，共</w:t>
      </w:r>
      <w:r>
        <w:rPr>
          <w:color w:val="000000"/>
        </w:rPr>
        <w:t xml:space="preserve"> 78 </w:t>
      </w:r>
      <w:r>
        <w:rPr>
          <w:rFonts w:hint="eastAsia"/>
          <w:color w:val="000000"/>
        </w:rPr>
        <w:t>次请求：动作可用性</w:t>
      </w:r>
      <w:r>
        <w:rPr>
          <w:color w:val="000000"/>
        </w:rPr>
        <w:t xml:space="preserve"> 8 </w:t>
      </w:r>
      <w:r>
        <w:rPr>
          <w:rFonts w:hint="eastAsia"/>
          <w:color w:val="000000"/>
        </w:rPr>
        <w:t>例、目标对应性</w:t>
      </w:r>
      <w:r>
        <w:rPr>
          <w:color w:val="000000"/>
        </w:rPr>
        <w:t xml:space="preserve"> 8 </w:t>
      </w:r>
      <w:r>
        <w:rPr>
          <w:rFonts w:hint="eastAsia"/>
          <w:color w:val="000000"/>
        </w:rPr>
        <w:t>例、能力与范围边界</w:t>
      </w:r>
      <w:r>
        <w:rPr>
          <w:color w:val="000000"/>
        </w:rPr>
        <w:t xml:space="preserve"> 6 </w:t>
      </w:r>
      <w:r>
        <w:rPr>
          <w:rFonts w:hint="eastAsia"/>
          <w:color w:val="000000"/>
        </w:rPr>
        <w:t>例、空间导航</w:t>
      </w:r>
      <w:r>
        <w:rPr>
          <w:color w:val="000000"/>
        </w:rPr>
        <w:t xml:space="preserve"> 4 </w:t>
      </w:r>
      <w:r>
        <w:rPr>
          <w:rFonts w:hint="eastAsia"/>
          <w:color w:val="000000"/>
        </w:rPr>
        <w:t>例。快照采用桌面绑定和人工设定的几何，并非实时</w:t>
      </w:r>
      <w:r>
        <w:rPr>
          <w:color w:val="000000"/>
        </w:rPr>
        <w:t xml:space="preserve"> Unity </w:t>
      </w:r>
      <w:r>
        <w:rPr>
          <w:rFonts w:hint="eastAsia"/>
          <w:color w:val="000000"/>
        </w:rPr>
        <w:t>采集。对于状态</w:t>
      </w:r>
      <w:r>
        <w:rPr>
          <w:color w:val="000000"/>
        </w:rPr>
        <w:t xml:space="preserve"> </w:t>
      </w:r>
      <m:oMath>
        <m:r>
          <w:rPr>
            <w:rFonts w:ascii="Cambria Math" w:hAnsi="Cambria Math"/>
          </w:rPr>
          <m:t>s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和问题</w:t>
      </w:r>
      <w:r>
        <w:rPr>
          <w:color w:val="000000"/>
        </w:rP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rFonts w:hint="eastAsia"/>
          <w:color w:val="000000"/>
        </w:rPr>
        <w:t>，</w:t>
      </w:r>
      <m:oMath>
        <m:r>
          <m:rPr>
            <m:scr m:val="script"/>
            <m:sty m:val="p"/>
          </m:rP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)⊆</m:t>
        </m:r>
        <m:r>
          <m:rPr>
            <m:scr m:val="script"/>
            <m:sty m:val="p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表示可用动作中符合目标的子集。原评分规则要求</w:t>
      </w:r>
      <w:r>
        <w:rPr>
          <w:color w:val="000000"/>
        </w:rPr>
        <w:t xml:space="preserve"> 14 </w:t>
      </w:r>
      <w:r>
        <w:rPr>
          <w:rFonts w:hint="eastAsia"/>
          <w:color w:val="000000"/>
        </w:rPr>
        <w:t>例给出操作，共</w:t>
      </w:r>
      <w:r>
        <w:rPr>
          <w:color w:val="000000"/>
        </w:rPr>
        <w:t xml:space="preserve"> 42 </w:t>
      </w:r>
      <w:r>
        <w:rPr>
          <w:rFonts w:hint="eastAsia"/>
          <w:color w:val="000000"/>
        </w:rPr>
        <w:t>次请求；导航以另外</w:t>
      </w:r>
      <w:r>
        <w:rPr>
          <w:color w:val="000000"/>
        </w:rPr>
        <w:t xml:space="preserve"> 12 </w:t>
      </w:r>
      <w:r>
        <w:rPr>
          <w:rFonts w:hint="eastAsia"/>
          <w:color w:val="000000"/>
        </w:rPr>
        <w:t>次请求计分。</w:t>
      </w:r>
    </w:p>
    <w:p w14:paraId="3C0455C2" w14:textId="77777777" w:rsidR="00686F00" w:rsidRDefault="003259DA">
      <w:pPr>
        <w:pStyle w:val="a0"/>
        <w:ind w:firstLine="202"/>
        <w:jc w:val="both"/>
      </w:pPr>
      <w:r>
        <w:rPr>
          <w:color w:val="000000"/>
        </w:rPr>
        <w:t xml:space="preserve">2026 </w:t>
      </w:r>
      <w:r>
        <w:rPr>
          <w:rFonts w:hint="eastAsia"/>
          <w:color w:val="000000"/>
        </w:rPr>
        <w:t>年</w:t>
      </w:r>
      <w:r>
        <w:rPr>
          <w:color w:val="000000"/>
        </w:rPr>
        <w:t xml:space="preserve"> 9 </w:t>
      </w:r>
      <w:r>
        <w:rPr>
          <w:rFonts w:hint="eastAsia"/>
          <w:color w:val="000000"/>
        </w:rPr>
        <w:t>月</w:t>
      </w:r>
      <w:r>
        <w:rPr>
          <w:color w:val="000000"/>
        </w:rPr>
        <w:t xml:space="preserve"> 19 </w:t>
      </w:r>
      <w:r>
        <w:rPr>
          <w:rFonts w:hint="eastAsia"/>
          <w:color w:val="000000"/>
        </w:rPr>
        <w:t>日的运行使用</w:t>
      </w:r>
      <w:r>
        <w:rPr>
          <w:color w:val="000000"/>
        </w:rPr>
        <w:t xml:space="preserve"> DeepSeek </w:t>
      </w:r>
      <w:r>
        <w:rPr>
          <w:rStyle w:val="VerbatimChar"/>
          <w:rFonts w:ascii="Times New Roman" w:hAnsi="Times New Roman"/>
          <w:color w:val="000000"/>
          <w:sz w:val="20"/>
        </w:rPr>
        <w:t>deepseek-flash</w:t>
      </w:r>
      <w:r>
        <w:rPr>
          <w:rFonts w:hint="eastAsia"/>
          <w:color w:val="000000"/>
        </w:rPr>
        <w:t>，协议</w:t>
      </w:r>
      <w:r>
        <w:rPr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  <w:sz w:val="20"/>
        </w:rPr>
        <w:t>assistant-chat-v4-guidance</w:t>
      </w:r>
      <w:r>
        <w:rPr>
          <w:rFonts w:hint="eastAsia"/>
          <w:color w:val="000000"/>
        </w:rPr>
        <w:t>，知识版本</w:t>
      </w:r>
      <w:r>
        <w:rPr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  <w:sz w:val="20"/>
        </w:rPr>
        <w:t>0a594b7b56cbda74</w:t>
      </w:r>
      <w:r>
        <w:rPr>
          <w:rFonts w:hint="eastAsia"/>
          <w:color w:val="000000"/>
        </w:rPr>
        <w:t>。配置为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temperature=0.2</w:t>
      </w:r>
      <w:r>
        <w:rPr>
          <w:rFonts w:hint="eastAsia"/>
          <w:color w:val="000000"/>
        </w:rPr>
        <w:t>、输出上限</w:t>
      </w:r>
      <w:r>
        <w:rPr>
          <w:color w:val="000000"/>
        </w:rPr>
        <w:t xml:space="preserve"> 1,500 </w:t>
      </w:r>
      <w:r>
        <w:rPr>
          <w:rFonts w:hint="eastAsia"/>
          <w:color w:val="000000"/>
        </w:rPr>
        <w:t>tokens</w:t>
      </w:r>
      <w:r>
        <w:rPr>
          <w:rFonts w:hint="eastAsia"/>
          <w:color w:val="000000"/>
        </w:rPr>
        <w:t>、关闭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thinking</w:t>
      </w:r>
      <w:r>
        <w:rPr>
          <w:rFonts w:hint="eastAsia"/>
          <w:color w:val="000000"/>
        </w:rPr>
        <w:t>、非流式</w:t>
      </w:r>
      <w:r>
        <w:rPr>
          <w:color w:val="000000"/>
        </w:rPr>
        <w:t xml:space="preserve"> JSON </w:t>
      </w:r>
      <w:r>
        <w:rPr>
          <w:rFonts w:hint="eastAsia"/>
          <w:color w:val="000000"/>
        </w:rPr>
        <w:t>和</w:t>
      </w:r>
      <w:r>
        <w:rPr>
          <w:color w:val="000000"/>
        </w:rPr>
        <w:t xml:space="preserve"> 18 </w:t>
      </w:r>
      <w:r>
        <w:rPr>
          <w:rFonts w:hint="eastAsia"/>
          <w:color w:val="000000"/>
        </w:rPr>
        <w:t>秒服务商超时。种子</w:t>
      </w:r>
      <w:r>
        <w:rPr>
          <w:color w:val="000000"/>
        </w:rPr>
        <w:t xml:space="preserve"> 2027 </w:t>
      </w:r>
      <w:r>
        <w:rPr>
          <w:rFonts w:hint="eastAsia"/>
          <w:color w:val="000000"/>
        </w:rPr>
        <w:t>仅打乱串行请求顺序，不控制模型采样；模型别名不代表不可变修订版本。</w:t>
      </w:r>
    </w:p>
    <w:p w14:paraId="0D5AB664" w14:textId="77777777" w:rsidR="00686F00" w:rsidRDefault="003259DA">
      <w:pPr>
        <w:pStyle w:val="a0"/>
        <w:ind w:firstLine="202"/>
        <w:jc w:val="both"/>
      </w:pPr>
      <w:r>
        <w:rPr>
          <w:rFonts w:hint="eastAsia"/>
          <w:color w:val="000000"/>
        </w:rPr>
        <w:t>自动检查显示，</w:t>
      </w:r>
      <w:r>
        <w:rPr>
          <w:rFonts w:hint="eastAsia"/>
          <w:color w:val="000000"/>
        </w:rPr>
        <w:t>42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条原始及最终操作均可用且匹配原目标标签，</w:t>
      </w:r>
      <w:r>
        <w:rPr>
          <w:rFonts w:hint="eastAsia"/>
          <w:color w:val="000000"/>
        </w:rPr>
        <w:t>12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次导航均选中预期目标。随后，作者对中文翻译的问答对进行一次二元人工</w:t>
      </w:r>
      <w:r>
        <w:rPr>
          <w:rFonts w:hint="eastAsia"/>
          <w:color w:val="000000"/>
        </w:rPr>
        <w:t>复核，</w:t>
      </w:r>
      <w:r>
        <w:rPr>
          <w:rFonts w:hint="eastAsia"/>
          <w:color w:val="000000"/>
        </w:rPr>
        <w:t>75/78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条被标为正确（</w:t>
      </w:r>
      <w:r>
        <w:rPr>
          <w:rFonts w:hint="eastAsia"/>
          <w:color w:val="000000"/>
        </w:rPr>
        <w:t>96.2%</w:t>
      </w:r>
      <w:r>
        <w:rPr>
          <w:rFonts w:hint="eastAsia"/>
          <w:color w:val="000000"/>
        </w:rPr>
        <w:t>）。该复核未设置独立评分者或评分者间一致性分析，评价对象为最终后端回答，其中操作指引使用动作目录中的标准说明。</w:t>
      </w:r>
    </w:p>
    <w:p w14:paraId="6C13D5AB" w14:textId="77777777" w:rsidR="00686F00" w:rsidRDefault="003259DA">
      <w:pPr>
        <w:pStyle w:val="a0"/>
        <w:keepNext/>
        <w:spacing w:before="160" w:after="80"/>
        <w:jc w:val="center"/>
      </w:pPr>
      <w:r>
        <w:rPr>
          <w:color w:val="000000"/>
          <w:sz w:val="16"/>
        </w:rPr>
        <w:t>表</w:t>
      </w:r>
      <w:r>
        <w:rPr>
          <w:color w:val="000000"/>
          <w:sz w:val="16"/>
        </w:rPr>
        <w:t xml:space="preserve"> V</w:t>
      </w:r>
      <w:r>
        <w:rPr>
          <w:color w:val="000000"/>
          <w:sz w:val="16"/>
        </w:rPr>
        <w:br/>
      </w:r>
      <w:r>
        <w:rPr>
          <w:color w:val="000000"/>
          <w:sz w:val="16"/>
        </w:rPr>
        <w:t>后端回放与后续人工复核。操作决策保留原</w:t>
      </w:r>
      <w:r>
        <w:rPr>
          <w:color w:val="000000"/>
          <w:sz w:val="16"/>
        </w:rPr>
        <w:t xml:space="preserve"> 42 </w:t>
      </w:r>
      <w:r>
        <w:rPr>
          <w:color w:val="000000"/>
          <w:sz w:val="16"/>
        </w:rPr>
        <w:t>次请求作为分母。</w:t>
      </w:r>
    </w:p>
    <w:tbl>
      <w:tblPr>
        <w:tblStyle w:val="Table"/>
        <w:tblW w:w="5040" w:type="dxa"/>
        <w:jc w:val="center"/>
        <w:tblBorders>
          <w:top w:val="single" w:sz="6" w:space="0" w:color="auto"/>
          <w:left w:val="nil"/>
          <w:bottom w:val="single" w:sz="6" w:space="0" w:color="auto"/>
          <w:right w:val="nil"/>
          <w:insideH w:val="nil"/>
          <w:insideV w:val="nil"/>
        </w:tblBorders>
        <w:tblLayout w:type="fixed"/>
        <w:tblLook w:val="0020" w:firstRow="1" w:lastRow="0" w:firstColumn="0" w:lastColumn="0" w:noHBand="0" w:noVBand="0"/>
      </w:tblPr>
      <w:tblGrid>
        <w:gridCol w:w="3377"/>
        <w:gridCol w:w="1663"/>
      </w:tblGrid>
      <w:tr w:rsidR="00686F00" w14:paraId="0E72F5CA" w14:textId="77777777" w:rsidTr="00686F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77" w:type="dxa"/>
            <w:tcBorders>
              <w:bottom w:val="single" w:sz="4" w:space="0" w:color="auto"/>
            </w:tcBorders>
            <w:vAlign w:val="top"/>
          </w:tcPr>
          <w:p w14:paraId="4FF8FBEE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b/>
                <w:color w:val="000000"/>
                <w:sz w:val="16"/>
              </w:rPr>
              <w:t>指标</w:t>
            </w:r>
          </w:p>
        </w:tc>
        <w:tc>
          <w:tcPr>
            <w:tcW w:w="1663" w:type="dxa"/>
            <w:tcBorders>
              <w:bottom w:val="single" w:sz="4" w:space="0" w:color="auto"/>
            </w:tcBorders>
            <w:vAlign w:val="top"/>
          </w:tcPr>
          <w:p w14:paraId="1DE5A837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b/>
                <w:color w:val="000000"/>
                <w:sz w:val="16"/>
              </w:rPr>
              <w:t>结果</w:t>
            </w:r>
          </w:p>
        </w:tc>
      </w:tr>
      <w:tr w:rsidR="00686F00" w14:paraId="672328F3" w14:textId="77777777" w:rsidTr="00686F00">
        <w:trPr>
          <w:cantSplit/>
          <w:jc w:val="center"/>
        </w:trPr>
        <w:tc>
          <w:tcPr>
            <w:tcW w:w="3377" w:type="dxa"/>
          </w:tcPr>
          <w:p w14:paraId="6B4BF583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请求完成／首次候选契约检查通过</w:t>
            </w:r>
          </w:p>
        </w:tc>
        <w:tc>
          <w:tcPr>
            <w:tcW w:w="1663" w:type="dxa"/>
          </w:tcPr>
          <w:p w14:paraId="5C168618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各</w:t>
            </w:r>
            <w:r>
              <w:rPr>
                <w:color w:val="000000"/>
                <w:sz w:val="16"/>
              </w:rPr>
              <w:t xml:space="preserve"> 78/78</w:t>
            </w:r>
          </w:p>
        </w:tc>
      </w:tr>
      <w:tr w:rsidR="00686F00" w14:paraId="468CAD1A" w14:textId="77777777" w:rsidTr="00686F00">
        <w:trPr>
          <w:cantSplit/>
          <w:jc w:val="center"/>
        </w:trPr>
        <w:tc>
          <w:tcPr>
            <w:tcW w:w="3377" w:type="dxa"/>
          </w:tcPr>
          <w:p w14:paraId="4AE6D123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原始／最终操作动作可用</w:t>
            </w:r>
          </w:p>
        </w:tc>
        <w:tc>
          <w:tcPr>
            <w:tcW w:w="1663" w:type="dxa"/>
          </w:tcPr>
          <w:p w14:paraId="13F203E9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各</w:t>
            </w:r>
            <w:r>
              <w:rPr>
                <w:color w:val="000000"/>
                <w:sz w:val="16"/>
              </w:rPr>
              <w:t xml:space="preserve"> 42/42</w:t>
            </w:r>
          </w:p>
        </w:tc>
      </w:tr>
      <w:tr w:rsidR="00686F00" w14:paraId="00147784" w14:textId="77777777" w:rsidTr="00686F00">
        <w:trPr>
          <w:cantSplit/>
          <w:jc w:val="center"/>
        </w:trPr>
        <w:tc>
          <w:tcPr>
            <w:tcW w:w="3377" w:type="dxa"/>
          </w:tcPr>
          <w:p w14:paraId="1DD9A5C6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原始／最终目标标签匹配（原规则）</w:t>
            </w:r>
          </w:p>
        </w:tc>
        <w:tc>
          <w:tcPr>
            <w:tcW w:w="1663" w:type="dxa"/>
          </w:tcPr>
          <w:p w14:paraId="41B962EA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各</w:t>
            </w:r>
            <w:r>
              <w:rPr>
                <w:color w:val="000000"/>
                <w:sz w:val="16"/>
              </w:rPr>
              <w:t xml:space="preserve"> 42/42</w:t>
            </w:r>
          </w:p>
        </w:tc>
      </w:tr>
      <w:tr w:rsidR="00686F00" w14:paraId="3E28A562" w14:textId="77777777" w:rsidTr="00686F00">
        <w:trPr>
          <w:cantSplit/>
          <w:jc w:val="center"/>
        </w:trPr>
        <w:tc>
          <w:tcPr>
            <w:tcW w:w="3377" w:type="dxa"/>
          </w:tcPr>
          <w:p w14:paraId="2C39A187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最终操作决策获人工认可</w:t>
            </w:r>
          </w:p>
        </w:tc>
        <w:tc>
          <w:tcPr>
            <w:tcW w:w="1663" w:type="dxa"/>
          </w:tcPr>
          <w:p w14:paraId="39F66FB7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39/42</w:t>
            </w:r>
            <w:r>
              <w:rPr>
                <w:rFonts w:hint="eastAsia"/>
                <w:color w:val="000000"/>
                <w:sz w:val="16"/>
              </w:rPr>
              <w:t>（</w:t>
            </w:r>
            <w:r>
              <w:rPr>
                <w:rFonts w:hint="eastAsia"/>
                <w:color w:val="000000"/>
                <w:sz w:val="16"/>
              </w:rPr>
              <w:t>92.9%</w:t>
            </w:r>
            <w:r>
              <w:rPr>
                <w:rFonts w:hint="eastAsia"/>
                <w:color w:val="000000"/>
                <w:sz w:val="16"/>
              </w:rPr>
              <w:t>）</w:t>
            </w:r>
          </w:p>
        </w:tc>
      </w:tr>
      <w:tr w:rsidR="00686F00" w14:paraId="0E54BADA" w14:textId="77777777" w:rsidTr="00686F00">
        <w:trPr>
          <w:cantSplit/>
          <w:jc w:val="center"/>
        </w:trPr>
        <w:tc>
          <w:tcPr>
            <w:tcW w:w="3377" w:type="dxa"/>
          </w:tcPr>
          <w:p w14:paraId="385D7BA4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原始／最终导航目标匹配</w:t>
            </w:r>
          </w:p>
        </w:tc>
        <w:tc>
          <w:tcPr>
            <w:tcW w:w="1663" w:type="dxa"/>
          </w:tcPr>
          <w:p w14:paraId="755D10A7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各</w:t>
            </w:r>
            <w:r>
              <w:rPr>
                <w:color w:val="000000"/>
                <w:sz w:val="16"/>
              </w:rPr>
              <w:t xml:space="preserve"> 12/12</w:t>
            </w:r>
          </w:p>
        </w:tc>
      </w:tr>
      <w:tr w:rsidR="00686F00" w14:paraId="1049E404" w14:textId="77777777" w:rsidTr="00686F00">
        <w:trPr>
          <w:cantSplit/>
          <w:jc w:val="center"/>
        </w:trPr>
        <w:tc>
          <w:tcPr>
            <w:tcW w:w="3377" w:type="dxa"/>
          </w:tcPr>
          <w:p w14:paraId="6390EB20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最终回答获人工认可</w:t>
            </w:r>
          </w:p>
        </w:tc>
        <w:tc>
          <w:tcPr>
            <w:tcW w:w="1663" w:type="dxa"/>
          </w:tcPr>
          <w:p w14:paraId="499911BA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75/78</w:t>
            </w:r>
            <w:r>
              <w:rPr>
                <w:rFonts w:hint="eastAsia"/>
                <w:color w:val="000000"/>
                <w:sz w:val="16"/>
              </w:rPr>
              <w:t>（</w:t>
            </w:r>
            <w:r>
              <w:rPr>
                <w:rFonts w:hint="eastAsia"/>
                <w:color w:val="000000"/>
                <w:sz w:val="16"/>
              </w:rPr>
              <w:t>96.2%</w:t>
            </w:r>
            <w:r>
              <w:rPr>
                <w:rFonts w:hint="eastAsia"/>
                <w:color w:val="000000"/>
                <w:sz w:val="16"/>
              </w:rPr>
              <w:t>）</w:t>
            </w:r>
          </w:p>
        </w:tc>
      </w:tr>
      <w:tr w:rsidR="00686F00" w14:paraId="4EA1BD3D" w14:textId="77777777" w:rsidTr="00686F00">
        <w:trPr>
          <w:cantSplit/>
          <w:jc w:val="center"/>
        </w:trPr>
        <w:tc>
          <w:tcPr>
            <w:tcW w:w="3377" w:type="dxa"/>
          </w:tcPr>
          <w:p w14:paraId="7DBD1FF4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color w:val="000000"/>
                <w:sz w:val="16"/>
              </w:rPr>
              <w:t xml:space="preserve">GC01 </w:t>
            </w:r>
            <w:r>
              <w:rPr>
                <w:rFonts w:hint="eastAsia"/>
                <w:color w:val="000000"/>
                <w:sz w:val="16"/>
              </w:rPr>
              <w:t>未先澄清（人工判定）</w:t>
            </w:r>
          </w:p>
        </w:tc>
        <w:tc>
          <w:tcPr>
            <w:tcW w:w="1663" w:type="dxa"/>
          </w:tcPr>
          <w:p w14:paraId="5B7FBDD0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color w:val="000000"/>
                <w:sz w:val="16"/>
              </w:rPr>
              <w:t>3/3</w:t>
            </w:r>
          </w:p>
        </w:tc>
      </w:tr>
      <w:tr w:rsidR="00686F00" w14:paraId="4F8123C2" w14:textId="77777777" w:rsidTr="00686F00">
        <w:trPr>
          <w:cantSplit/>
          <w:jc w:val="center"/>
        </w:trPr>
        <w:tc>
          <w:tcPr>
            <w:tcW w:w="3377" w:type="dxa"/>
          </w:tcPr>
          <w:p w14:paraId="2DE59D7C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内部语义审核通过</w:t>
            </w:r>
          </w:p>
        </w:tc>
        <w:tc>
          <w:tcPr>
            <w:tcW w:w="1663" w:type="dxa"/>
          </w:tcPr>
          <w:p w14:paraId="5CD76D18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color w:val="000000"/>
                <w:sz w:val="16"/>
              </w:rPr>
              <w:t>66/66</w:t>
            </w:r>
          </w:p>
        </w:tc>
      </w:tr>
      <w:tr w:rsidR="00686F00" w14:paraId="18E05EE4" w14:textId="77777777" w:rsidTr="00686F00">
        <w:trPr>
          <w:cantSplit/>
          <w:jc w:val="center"/>
        </w:trPr>
        <w:tc>
          <w:tcPr>
            <w:tcW w:w="3377" w:type="dxa"/>
          </w:tcPr>
          <w:p w14:paraId="2845B4DA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结构／语义修复次数</w:t>
            </w:r>
          </w:p>
        </w:tc>
        <w:tc>
          <w:tcPr>
            <w:tcW w:w="1663" w:type="dxa"/>
          </w:tcPr>
          <w:p w14:paraId="1537CDD7" w14:textId="77777777" w:rsidR="00686F00" w:rsidRDefault="003259DA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0/78</w:t>
            </w:r>
            <w:r>
              <w:rPr>
                <w:rFonts w:hint="eastAsia"/>
                <w:color w:val="000000"/>
                <w:sz w:val="16"/>
              </w:rPr>
              <w:t>／</w:t>
            </w:r>
            <w:r>
              <w:rPr>
                <w:rFonts w:hint="eastAsia"/>
                <w:color w:val="000000"/>
                <w:sz w:val="16"/>
              </w:rPr>
              <w:t>0/78</w:t>
            </w:r>
          </w:p>
        </w:tc>
      </w:tr>
      <w:tr w:rsidR="00686F00" w14:paraId="094ACB2E" w14:textId="77777777" w:rsidTr="00686F00">
        <w:trPr>
          <w:cantSplit/>
          <w:jc w:val="center"/>
        </w:trPr>
        <w:tc>
          <w:tcPr>
            <w:tcW w:w="3377" w:type="dxa"/>
          </w:tcPr>
          <w:p w14:paraId="72A503A0" w14:textId="77777777" w:rsidR="00686F00" w:rsidRDefault="003259DA">
            <w:pPr>
              <w:pStyle w:val="Compact"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后端延迟，中位数／</w:t>
            </w:r>
            <w:r>
              <w:rPr>
                <w:rFonts w:hint="eastAsia"/>
                <w:color w:val="000000"/>
                <w:sz w:val="16"/>
              </w:rPr>
              <w:t>P95</w:t>
            </w:r>
          </w:p>
        </w:tc>
        <w:tc>
          <w:tcPr>
            <w:tcW w:w="1663" w:type="dxa"/>
          </w:tcPr>
          <w:p w14:paraId="3F89172C" w14:textId="77777777" w:rsidR="00686F00" w:rsidRDefault="003259DA">
            <w:pPr>
              <w:pStyle w:val="Compact"/>
              <w:spacing w:before="40" w:after="40"/>
            </w:pPr>
            <w:r>
              <w:rPr>
                <w:color w:val="000000"/>
                <w:sz w:val="16"/>
              </w:rPr>
              <w:t xml:space="preserve">1.82 </w:t>
            </w:r>
            <w:r>
              <w:rPr>
                <w:rFonts w:hint="eastAsia"/>
                <w:color w:val="000000"/>
                <w:sz w:val="16"/>
              </w:rPr>
              <w:t>秒／</w:t>
            </w:r>
            <w:r>
              <w:rPr>
                <w:rFonts w:hint="eastAsia"/>
                <w:color w:val="000000"/>
                <w:sz w:val="16"/>
              </w:rPr>
              <w:t>2.30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rFonts w:hint="eastAsia"/>
                <w:color w:val="000000"/>
                <w:sz w:val="16"/>
              </w:rPr>
              <w:t>秒</w:t>
            </w:r>
          </w:p>
        </w:tc>
      </w:tr>
    </w:tbl>
    <w:p w14:paraId="15614F2C" w14:textId="77777777" w:rsidR="00686F00" w:rsidRDefault="003259DA">
      <w:pPr>
        <w:pStyle w:val="a0"/>
        <w:ind w:firstLine="202"/>
        <w:jc w:val="both"/>
      </w:pPr>
      <w:r>
        <w:rPr>
          <w:rFonts w:hint="eastAsia"/>
          <w:color w:val="000000"/>
        </w:rPr>
        <w:t>三条人工判错均来自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GC01</w:t>
      </w:r>
      <w:r>
        <w:rPr>
          <w:rFonts w:hint="eastAsia"/>
          <w:color w:val="000000"/>
        </w:rPr>
        <w:t>：“下一步该做什么？”，助手在</w:t>
      </w:r>
      <w:r>
        <w:rPr>
          <w:color w:val="000000"/>
        </w:rPr>
        <w:t xml:space="preserve"> PreAssembly </w:t>
      </w:r>
      <w:r>
        <w:rPr>
          <w:rFonts w:hint="eastAsia"/>
          <w:color w:val="000000"/>
        </w:rPr>
        <w:t>状态下给出了展开模型的指引。原请求还包含学习</w:t>
      </w:r>
      <w:r>
        <w:rPr>
          <w:color w:val="000000"/>
        </w:rPr>
        <w:t xml:space="preserve"> NA </w:t>
      </w:r>
      <w:r>
        <w:rPr>
          <w:rFonts w:hint="eastAsia"/>
          <w:color w:val="000000"/>
        </w:rPr>
        <w:t>的前文目标，以及助手关于上部光学组件关联</w:t>
      </w:r>
      <w:r>
        <w:rPr>
          <w:color w:val="000000"/>
        </w:rPr>
        <w:t xml:space="preserve"> NA </w:t>
      </w:r>
      <w:r>
        <w:rPr>
          <w:rFonts w:hint="eastAsia"/>
          <w:color w:val="000000"/>
        </w:rPr>
        <w:t>的说明；问答复核表未呈现这些历史。原规则将展开模型视为符合目标的前置步骤，复核者则要求先澄清用户所指的下一步。因此，这属于事后解释与评分规则修订，不能写成三个不可用动作或违反原标签的错误。保留</w:t>
      </w:r>
      <w:r>
        <w:rPr>
          <w:color w:val="000000"/>
        </w:rPr>
        <w:t xml:space="preserve"> GC01 </w:t>
      </w:r>
      <w:r>
        <w:rPr>
          <w:rFonts w:hint="eastAsia"/>
          <w:color w:val="000000"/>
        </w:rPr>
        <w:t>在原操作请求集合中，人工认可决策为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39/42</w:t>
      </w:r>
      <w:r>
        <w:rPr>
          <w:rFonts w:hint="eastAsia"/>
          <w:color w:val="000000"/>
        </w:rPr>
        <w:t>；剔除它会掩盖这一分歧。三条回答也均通过了内部语义审核，说明该审核不能替代人工判断。</w:t>
      </w:r>
    </w:p>
    <w:p w14:paraId="51270BF2" w14:textId="77777777" w:rsidR="00686F00" w:rsidRDefault="003259DA">
      <w:pPr>
        <w:pStyle w:val="a0"/>
        <w:ind w:firstLine="202"/>
        <w:jc w:val="both"/>
      </w:pPr>
      <w:r>
        <w:rPr>
          <w:rFonts w:hint="eastAsia"/>
          <w:color w:val="000000"/>
        </w:rPr>
        <w:t>本轮返回</w:t>
      </w:r>
      <w:r>
        <w:rPr>
          <w:color w:val="000000"/>
        </w:rPr>
        <w:t xml:space="preserve"> 42 </w:t>
      </w:r>
      <w:r>
        <w:rPr>
          <w:rFonts w:hint="eastAsia"/>
          <w:color w:val="000000"/>
        </w:rPr>
        <w:t>条操作指引、</w:t>
      </w:r>
      <w:r>
        <w:rPr>
          <w:rFonts w:hint="eastAsia"/>
          <w:color w:val="000000"/>
        </w:rPr>
        <w:t>12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条位置指引、</w:t>
      </w:r>
      <w:r>
        <w:rPr>
          <w:rFonts w:hint="eastAsia"/>
          <w:color w:val="000000"/>
        </w:rPr>
        <w:t>12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条解释和</w:t>
      </w:r>
      <w:r>
        <w:rPr>
          <w:color w:val="000000"/>
        </w:rPr>
        <w:t xml:space="preserve"> 12 </w:t>
      </w:r>
      <w:r>
        <w:rPr>
          <w:rFonts w:hint="eastAsia"/>
          <w:color w:val="000000"/>
        </w:rPr>
        <w:t>条拒答。拒答跳过审核，共调用服务商</w:t>
      </w:r>
      <w:r>
        <w:rPr>
          <w:color w:val="000000"/>
        </w:rPr>
        <w:t xml:space="preserve"> 144 </w:t>
      </w:r>
      <w:r>
        <w:rPr>
          <w:rFonts w:hint="eastAsia"/>
          <w:color w:val="000000"/>
        </w:rPr>
        <w:t>次（</w:t>
      </w:r>
      <w:r>
        <w:rPr>
          <w:rFonts w:hint="eastAsia"/>
          <w:color w:val="000000"/>
        </w:rPr>
        <w:t>78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次生成、</w:t>
      </w:r>
      <w:r>
        <w:rPr>
          <w:rFonts w:hint="eastAsia"/>
          <w:color w:val="000000"/>
        </w:rPr>
        <w:t>66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次审核），未出现超时或修复。延迟从请求发出计至编辑器处理后端结果，包含生成、审核与网络开销，不含语音和可见渲染；</w:t>
      </w:r>
      <w:r>
        <w:rPr>
          <w:rFonts w:hint="eastAsia"/>
          <w:color w:val="000000"/>
        </w:rPr>
        <w:t>P95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采用最近秩法。</w:t>
      </w:r>
    </w:p>
    <w:p w14:paraId="62022F42" w14:textId="77777777" w:rsidR="00686F00" w:rsidRDefault="003259DA">
      <w:pPr>
        <w:pStyle w:val="a0"/>
        <w:ind w:firstLine="202"/>
        <w:jc w:val="both"/>
      </w:pPr>
      <w:r>
        <w:rPr>
          <w:rFonts w:hint="eastAsia"/>
          <w:color w:val="000000"/>
        </w:rPr>
        <w:t>复核后已修改提示词及</w:t>
      </w:r>
      <w:r>
        <w:rPr>
          <w:color w:val="000000"/>
        </w:rPr>
        <w:t xml:space="preserve"> GC01 </w:t>
      </w:r>
      <w:r>
        <w:rPr>
          <w:rFonts w:hint="eastAsia"/>
          <w:color w:val="000000"/>
        </w:rPr>
        <w:t>预期，要求先澄清，但本文不报告修改后的新一轮真实模型结果。这是复用开发案例上的回归和事后作者判断，不能视为留出集准确率；</w:t>
      </w:r>
      <w:r>
        <w:rPr>
          <w:rFonts w:hint="eastAsia"/>
          <w:color w:val="000000"/>
        </w:rPr>
        <w:t>78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次请求仅对应</w:t>
      </w:r>
      <w:r>
        <w:rPr>
          <w:color w:val="000000"/>
        </w:rPr>
        <w:t xml:space="preserve"> 26 </w:t>
      </w:r>
      <w:r>
        <w:rPr>
          <w:rFonts w:hint="eastAsia"/>
          <w:color w:val="000000"/>
        </w:rPr>
        <w:t>个情境。翻译与复核上下文缺失限制了结论，后续需基于完整状态和历史开展独立复核。实时客户端显示、标记、过期响应拒绝及去除状态信息的对照尚未评价。</w:t>
      </w:r>
    </w:p>
    <w:p w14:paraId="08DBE9D8" w14:textId="77777777" w:rsidR="00686F00" w:rsidRDefault="003259DA">
      <w:pPr>
        <w:pStyle w:val="2"/>
        <w:spacing w:before="200" w:after="100"/>
        <w:jc w:val="center"/>
      </w:pPr>
      <w:bookmarkStart w:id="29" w:name="讨论与局限性"/>
      <w:bookmarkEnd w:id="22"/>
      <w:bookmarkEnd w:id="28"/>
      <w:r>
        <w:rPr>
          <w:rFonts w:ascii="Times New Roman" w:eastAsia="SimSun" w:hAnsi="Times New Roman"/>
        </w:rPr>
        <w:t xml:space="preserve">VII. </w:t>
      </w:r>
      <w:r>
        <w:rPr>
          <w:rFonts w:ascii="Times New Roman" w:eastAsia="SimSun" w:hAnsi="Times New Roman"/>
        </w:rPr>
        <w:t>讨论与局限性</w:t>
      </w:r>
    </w:p>
    <w:p w14:paraId="77A6C866" w14:textId="77777777" w:rsidR="00686F00" w:rsidRDefault="003259DA">
      <w:pPr>
        <w:pStyle w:val="FirstParagraph"/>
        <w:ind w:firstLine="202"/>
        <w:jc w:val="both"/>
      </w:pPr>
      <w:r>
        <w:rPr>
          <w:color w:val="000000"/>
        </w:rPr>
        <w:t xml:space="preserve">VRMicroscope </w:t>
      </w:r>
      <w:r>
        <w:rPr>
          <w:rFonts w:hint="eastAsia"/>
          <w:color w:val="000000"/>
        </w:rPr>
        <w:t>显式</w:t>
      </w:r>
      <w:r>
        <w:rPr>
          <w:rFonts w:hint="eastAsia"/>
          <w:color w:val="000000"/>
        </w:rPr>
        <w:t>关联当前部件、可用控制和可观察结果；</w:t>
      </w:r>
      <w:r>
        <w:rPr>
          <w:rFonts w:hint="eastAsia"/>
          <w:color w:val="000000"/>
        </w:rPr>
        <w:t>AI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在</w:t>
      </w:r>
      <w:r>
        <w:rPr>
          <w:color w:val="000000"/>
        </w:rPr>
        <w:t xml:space="preserve"> VR </w:t>
      </w:r>
      <w:r>
        <w:rPr>
          <w:rFonts w:hint="eastAsia"/>
          <w:color w:val="000000"/>
        </w:rPr>
        <w:t>状态之上解释和指引，而不控制显微镜。</w:t>
      </w:r>
      <w:r>
        <w:rPr>
          <w:rFonts w:hint="eastAsia"/>
          <w:color w:val="000000"/>
        </w:rPr>
        <w:t>GC01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复核显示，合法动作在意图含糊时仍可能被认为推荐过早。状态快照、动作目录和客户端复核降低不存在或过期指令的风险，但不能保证每条自然语言解释均正确。</w:t>
      </w:r>
    </w:p>
    <w:p w14:paraId="5462F574" w14:textId="77777777" w:rsidR="00686F00" w:rsidRDefault="003259DA">
      <w:pPr>
        <w:pStyle w:val="a0"/>
        <w:ind w:firstLine="202"/>
        <w:jc w:val="both"/>
      </w:pPr>
      <w:r>
        <w:rPr>
          <w:rFonts w:hint="eastAsia"/>
          <w:color w:val="000000"/>
        </w:rPr>
        <w:t>人工调焦与亮度映射、简化参数、合成图像及支持范围可视化使本系统属于教学仿真，而非数字孪生。科学真实性需由领域专家审查，并将可比较变量与真实仪器数据标定。</w:t>
      </w:r>
    </w:p>
    <w:p w14:paraId="736F3B7A" w14:textId="77777777" w:rsidR="00686F00" w:rsidRDefault="003259DA">
      <w:pPr>
        <w:pStyle w:val="a0"/>
        <w:ind w:firstLine="202"/>
        <w:jc w:val="both"/>
      </w:pPr>
      <w:r>
        <w:rPr>
          <w:rFonts w:hint="eastAsia"/>
          <w:color w:val="000000"/>
        </w:rPr>
        <w:t>单组研究适于评价可行性，不足以隔离辅导效果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[1]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[21]</w:t>
      </w:r>
      <w:r>
        <w:rPr>
          <w:rFonts w:hint="eastAsia"/>
          <w:color w:val="000000"/>
        </w:rPr>
        <w:t>。后续应加入</w:t>
      </w:r>
      <w:r>
        <w:rPr>
          <w:color w:val="000000"/>
        </w:rPr>
        <w:t xml:space="preserve"> AI-on/off </w:t>
      </w:r>
      <w:r>
        <w:rPr>
          <w:rFonts w:hint="eastAsia"/>
          <w:color w:val="000000"/>
        </w:rPr>
        <w:t>或其他辅导对照、概念</w:t>
      </w:r>
      <w:r>
        <w:rPr>
          <w:rFonts w:hint="eastAsia"/>
          <w:color w:val="000000"/>
        </w:rPr>
        <w:t>前后测、专家评分迁移任务，以及</w:t>
      </w:r>
      <w:r>
        <w:rPr>
          <w:color w:val="000000"/>
        </w:rPr>
        <w:t xml:space="preserve"> AI </w:t>
      </w:r>
      <w:r>
        <w:rPr>
          <w:rFonts w:hint="eastAsia"/>
          <w:color w:val="000000"/>
        </w:rPr>
        <w:t>使用、语音错误和延迟日志。</w:t>
      </w:r>
    </w:p>
    <w:p w14:paraId="0D49BD72" w14:textId="77777777" w:rsidR="00686F00" w:rsidRDefault="003259DA">
      <w:pPr>
        <w:pStyle w:val="2"/>
        <w:spacing w:before="200" w:after="100"/>
        <w:jc w:val="center"/>
      </w:pPr>
      <w:bookmarkStart w:id="30" w:name="结论与后续工作"/>
      <w:bookmarkEnd w:id="29"/>
      <w:r>
        <w:rPr>
          <w:rFonts w:ascii="Times New Roman" w:eastAsia="SimSun" w:hAnsi="Times New Roman"/>
        </w:rPr>
        <w:t xml:space="preserve">VIII. </w:t>
      </w:r>
      <w:r>
        <w:rPr>
          <w:rFonts w:ascii="Times New Roman" w:eastAsia="SimSun" w:hAnsi="Times New Roman"/>
        </w:rPr>
        <w:t>结论与后续工作</w:t>
      </w:r>
    </w:p>
    <w:p w14:paraId="60F57748" w14:textId="77777777" w:rsidR="00686F00" w:rsidRDefault="003259DA">
      <w:pPr>
        <w:pStyle w:val="FirstParagraph"/>
        <w:ind w:firstLine="202"/>
        <w:jc w:val="both"/>
      </w:pPr>
      <w:r>
        <w:rPr>
          <w:color w:val="000000"/>
        </w:rPr>
        <w:t xml:space="preserve">VRMicroscope </w:t>
      </w:r>
      <w:r>
        <w:rPr>
          <w:rFonts w:hint="eastAsia"/>
          <w:color w:val="000000"/>
        </w:rPr>
        <w:t>连接交互式显微实验、有科学边界的光学演示和任务状态感知指引。</w:t>
      </w:r>
      <w:r>
        <w:rPr>
          <w:rFonts w:hint="eastAsia"/>
          <w:color w:val="000000"/>
        </w:rPr>
        <w:t>19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人研究支持流程可行性与感知可用性。</w:t>
      </w:r>
      <w:r>
        <w:rPr>
          <w:rFonts w:hint="eastAsia"/>
          <w:color w:val="000000"/>
        </w:rPr>
        <w:t>78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次固定状态请求中，</w:t>
      </w:r>
      <w:r>
        <w:rPr>
          <w:rFonts w:hint="eastAsia"/>
          <w:color w:val="000000"/>
        </w:rPr>
        <w:t>42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条操作建议均可用，导航目标匹配为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12/12</w:t>
      </w:r>
      <w:r>
        <w:rPr>
          <w:rFonts w:hint="eastAsia"/>
          <w:color w:val="000000"/>
        </w:rPr>
        <w:t>；作者复核认可</w:t>
      </w:r>
      <w:r>
        <w:rPr>
          <w:color w:val="000000"/>
        </w:rPr>
        <w:t xml:space="preserve"> 75/78 </w:t>
      </w:r>
      <w:r>
        <w:rPr>
          <w:rFonts w:hint="eastAsia"/>
          <w:color w:val="000000"/>
        </w:rPr>
        <w:t>条回答（</w:t>
      </w:r>
      <w:r>
        <w:rPr>
          <w:rFonts w:hint="eastAsia"/>
          <w:color w:val="000000"/>
        </w:rPr>
        <w:t>96.2%</w:t>
      </w:r>
      <w:r>
        <w:rPr>
          <w:rFonts w:hint="eastAsia"/>
          <w:color w:val="000000"/>
        </w:rPr>
        <w:t>），三条</w:t>
      </w:r>
      <w:r>
        <w:rPr>
          <w:color w:val="000000"/>
        </w:rPr>
        <w:t xml:space="preserve"> GC01 </w:t>
      </w:r>
      <w:r>
        <w:rPr>
          <w:rFonts w:hint="eastAsia"/>
          <w:color w:val="000000"/>
        </w:rPr>
        <w:t>回答暴露了何时需要澄清的判定分歧。后端延迟中位数为</w:t>
      </w:r>
      <w:r>
        <w:rPr>
          <w:color w:val="000000"/>
        </w:rPr>
        <w:t xml:space="preserve"> 1.82 </w:t>
      </w:r>
      <w:r>
        <w:rPr>
          <w:rFonts w:hint="eastAsia"/>
          <w:color w:val="000000"/>
        </w:rPr>
        <w:t>秒。动作可用性和内部审核不能单独证明指引质量。后续将以留出案例验证修订策略，基于完整上下文</w:t>
      </w:r>
      <w:r>
        <w:rPr>
          <w:rFonts w:hint="eastAsia"/>
          <w:color w:val="000000"/>
        </w:rPr>
        <w:t>开展独立评分，并评价实时客户端可靠性及受控学习与迁移效果。</w:t>
      </w:r>
    </w:p>
    <w:p w14:paraId="43EE0030" w14:textId="77777777" w:rsidR="00686F00" w:rsidRDefault="003259DA">
      <w:pPr>
        <w:pStyle w:val="2"/>
        <w:spacing w:before="200" w:after="100"/>
        <w:jc w:val="center"/>
      </w:pPr>
      <w:bookmarkStart w:id="31" w:name="研究伦理与生成式-ai-使用说明"/>
      <w:bookmarkEnd w:id="30"/>
      <w:r>
        <w:rPr>
          <w:rFonts w:ascii="Times New Roman" w:eastAsia="SimSun" w:hAnsi="Times New Roman"/>
        </w:rPr>
        <w:t>研究伦理与生成式</w:t>
      </w:r>
      <w:r>
        <w:rPr>
          <w:rFonts w:ascii="Times New Roman" w:eastAsia="SimSun" w:hAnsi="Times New Roman"/>
        </w:rPr>
        <w:t xml:space="preserve"> AI </w:t>
      </w:r>
      <w:r>
        <w:rPr>
          <w:rFonts w:ascii="Times New Roman" w:eastAsia="SimSun" w:hAnsi="Times New Roman"/>
        </w:rPr>
        <w:t>使用说明</w:t>
      </w:r>
    </w:p>
    <w:p w14:paraId="1C8A1505" w14:textId="77777777" w:rsidR="00686F00" w:rsidRDefault="003259DA">
      <w:pPr>
        <w:pStyle w:val="FirstParagraph"/>
        <w:ind w:firstLine="202"/>
        <w:jc w:val="both"/>
      </w:pPr>
      <w:r>
        <w:rPr>
          <w:rFonts w:hint="eastAsia"/>
          <w:color w:val="000000"/>
        </w:rPr>
        <w:t>本研究为面向成年参与者的教育虚拟现实软件探索性可用性评估，未申请或获得正式的机构伦理审查。研究团队根据研究内容与数据类型，自行判断该活动属于低风险的教育软件可用性评估，所收集内容包括匿名化问卷与形成性反馈；该判断仅代表作者团队，不构成机构伦理委员会的豁免认定。参与前，所有参与者均获知研究目的与数据收集流程并提供知情同意。参与完全自愿，参与者可随时退出且不承担任何不利后果。</w:t>
      </w:r>
    </w:p>
    <w:p w14:paraId="785523A6" w14:textId="0A7C985A" w:rsidR="00686F00" w:rsidRDefault="003259DA">
      <w:pPr>
        <w:pStyle w:val="a0"/>
        <w:ind w:firstLine="202"/>
        <w:jc w:val="both"/>
      </w:pPr>
      <w:r>
        <w:rPr>
          <w:color w:val="000000"/>
        </w:rPr>
        <w:t xml:space="preserve">Codex </w:t>
      </w:r>
      <w:r>
        <w:rPr>
          <w:rFonts w:hint="eastAsia"/>
          <w:color w:val="000000"/>
        </w:rPr>
        <w:t>用于辅助代码实现及论文内容</w:t>
      </w:r>
      <w:r>
        <w:rPr>
          <w:rFonts w:hint="eastAsia"/>
          <w:color w:val="000000"/>
        </w:rPr>
        <w:t>修订和一致性检查，</w:t>
      </w:r>
      <w:r>
        <w:rPr>
          <w:rFonts w:hint="eastAsia"/>
          <w:color w:val="000000"/>
        </w:rPr>
        <w:t>DeepSeek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用于系统运行时问答。人类作者负责核实实现描述、研究记录、分析及引用。</w:t>
      </w:r>
    </w:p>
    <w:p w14:paraId="75459867" w14:textId="77777777" w:rsidR="00686F00" w:rsidRDefault="003259DA">
      <w:pPr>
        <w:pStyle w:val="2"/>
        <w:spacing w:before="200" w:after="100"/>
        <w:jc w:val="center"/>
      </w:pPr>
      <w:bookmarkStart w:id="32" w:name="参考文献"/>
      <w:bookmarkEnd w:id="31"/>
      <w:r>
        <w:rPr>
          <w:rFonts w:ascii="Times New Roman" w:eastAsia="SimSun" w:hAnsi="Times New Roman"/>
        </w:rPr>
        <w:lastRenderedPageBreak/>
        <w:t>参考文献</w:t>
      </w:r>
    </w:p>
    <w:p w14:paraId="09F4A66D" w14:textId="77777777" w:rsidR="00686F00" w:rsidRDefault="003259DA">
      <w:pPr>
        <w:pStyle w:val="FirstParagraph"/>
        <w:spacing w:after="60"/>
        <w:ind w:left="288" w:hanging="288"/>
      </w:pPr>
      <w:r>
        <w:rPr>
          <w:color w:val="000000"/>
          <w:sz w:val="16"/>
        </w:rPr>
        <w:t xml:space="preserve">[1] V. Chheang et al., “Towards Anatomy Education with Generative AI-based Virtual Assistants in Immersive Virtual Reality Environments,” in </w:t>
      </w:r>
      <w:r>
        <w:rPr>
          <w:i/>
          <w:iCs/>
          <w:color w:val="000000"/>
          <w:sz w:val="16"/>
        </w:rPr>
        <w:t>Proc. 2024 IEEE Int. Conf. on Artificial Intelligence and eXtended and Virtual Reality (AIxVR)</w:t>
      </w:r>
      <w:r>
        <w:rPr>
          <w:color w:val="000000"/>
          <w:sz w:val="16"/>
        </w:rPr>
        <w:t xml:space="preserve">, pp. 21–30, 2024. </w:t>
      </w:r>
      <w:hyperlink r:id="rId19">
        <w:r>
          <w:rPr>
            <w:rStyle w:val="af"/>
          </w:rPr>
          <w:t>doi:10.1109/AIxVR59861.2024.00011</w:t>
        </w:r>
      </w:hyperlink>
      <w:r>
        <w:rPr>
          <w:color w:val="000000"/>
          <w:sz w:val="16"/>
        </w:rPr>
        <w:t>.</w:t>
      </w:r>
    </w:p>
    <w:p w14:paraId="09A15295" w14:textId="77777777" w:rsidR="00686F00" w:rsidRDefault="003259DA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[2] A. Geris and G. Alce, “Real-Time Voice-Based LLM Integration for XR Tutoring: A Prototype Implementation,” in </w:t>
      </w:r>
      <w:r>
        <w:rPr>
          <w:i/>
          <w:iCs/>
          <w:color w:val="000000"/>
          <w:sz w:val="16"/>
        </w:rPr>
        <w:t>Proc. 2026 IEEE Int. Conf. on Artificial Intelligence and eXtended and Virtual Reality (AIxVR)</w:t>
      </w:r>
      <w:r>
        <w:rPr>
          <w:color w:val="000000"/>
          <w:sz w:val="16"/>
        </w:rPr>
        <w:t xml:space="preserve">, pp. 285–289, 2026. </w:t>
      </w:r>
      <w:hyperlink r:id="rId20">
        <w:r>
          <w:rPr>
            <w:rStyle w:val="af"/>
          </w:rPr>
          <w:t>doi:10.1109/AIxVR67263.2026.00050</w:t>
        </w:r>
      </w:hyperlink>
      <w:r>
        <w:rPr>
          <w:color w:val="000000"/>
          <w:sz w:val="16"/>
        </w:rPr>
        <w:t>.</w:t>
      </w:r>
    </w:p>
    <w:p w14:paraId="0CE9CD56" w14:textId="77777777" w:rsidR="00686F00" w:rsidRDefault="003259DA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[3] D. Wang et al., “SpatialTutor: Object-Aware Mixed Reality Training for Procedural Medical Skills Training with AI-Driven Support,” in </w:t>
      </w:r>
      <w:r>
        <w:rPr>
          <w:i/>
          <w:iCs/>
          <w:color w:val="000000"/>
          <w:sz w:val="16"/>
        </w:rPr>
        <w:t>Proc. 2026 IEEE Int. Conf. on Artificial Inte</w:t>
      </w:r>
      <w:r>
        <w:rPr>
          <w:i/>
          <w:iCs/>
          <w:color w:val="000000"/>
          <w:sz w:val="16"/>
        </w:rPr>
        <w:t>lligence and eXtended and Virtual Reality (AIxVR)</w:t>
      </w:r>
      <w:r>
        <w:rPr>
          <w:color w:val="000000"/>
          <w:sz w:val="16"/>
        </w:rPr>
        <w:t xml:space="preserve">, pp. 57–66, 2026. </w:t>
      </w:r>
      <w:hyperlink r:id="rId21">
        <w:r>
          <w:rPr>
            <w:rStyle w:val="af"/>
          </w:rPr>
          <w:t>doi:10.1109/AIxVR67263.2026.00016</w:t>
        </w:r>
      </w:hyperlink>
      <w:r>
        <w:rPr>
          <w:color w:val="000000"/>
          <w:sz w:val="16"/>
        </w:rPr>
        <w:t>.</w:t>
      </w:r>
    </w:p>
    <w:p w14:paraId="0077205B" w14:textId="77777777" w:rsidR="00686F00" w:rsidRDefault="003259DA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[4] J. Jonkman et al., “Tutorial: guidance for quantitative confocal microscopy,” </w:t>
      </w:r>
      <w:r>
        <w:rPr>
          <w:i/>
          <w:iCs/>
          <w:color w:val="000000"/>
          <w:sz w:val="16"/>
        </w:rPr>
        <w:t>Nature</w:t>
      </w:r>
      <w:r>
        <w:rPr>
          <w:i/>
          <w:iCs/>
          <w:color w:val="000000"/>
          <w:sz w:val="16"/>
        </w:rPr>
        <w:t xml:space="preserve"> Protocols</w:t>
      </w:r>
      <w:r>
        <w:rPr>
          <w:color w:val="000000"/>
          <w:sz w:val="16"/>
        </w:rPr>
        <w:t xml:space="preserve">, vol. 15, pp. 1585–1611, 2020. </w:t>
      </w:r>
      <w:hyperlink r:id="rId22">
        <w:r>
          <w:rPr>
            <w:rStyle w:val="af"/>
          </w:rPr>
          <w:t>doi:10.1038/s41596-020-0313-9</w:t>
        </w:r>
      </w:hyperlink>
      <w:r>
        <w:rPr>
          <w:color w:val="000000"/>
          <w:sz w:val="16"/>
        </w:rPr>
        <w:t>.</w:t>
      </w:r>
    </w:p>
    <w:p w14:paraId="7520FACD" w14:textId="77777777" w:rsidR="00686F00" w:rsidRDefault="003259DA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[5] Carl ZEISS Microscopy, “Numerical Aperture and Light Cone Geometry.” </w:t>
      </w:r>
      <w:hyperlink r:id="rId23">
        <w:r>
          <w:rPr>
            <w:rStyle w:val="af"/>
          </w:rPr>
          <w:t>Online tutorial</w:t>
        </w:r>
      </w:hyperlink>
      <w:r>
        <w:rPr>
          <w:color w:val="000000"/>
          <w:sz w:val="16"/>
        </w:rPr>
        <w:t>. Accessed Sep. 13, 2026.</w:t>
      </w:r>
    </w:p>
    <w:p w14:paraId="0D429013" w14:textId="77777777" w:rsidR="00686F00" w:rsidRDefault="003259DA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[6] Carl ZEISS Microscopy, “Spatial Frequency and Image Resolution.” </w:t>
      </w:r>
      <w:hyperlink r:id="rId24">
        <w:r>
          <w:rPr>
            <w:rStyle w:val="af"/>
          </w:rPr>
          <w:t>Online tutorial</w:t>
        </w:r>
      </w:hyperlink>
      <w:r>
        <w:rPr>
          <w:color w:val="000000"/>
          <w:sz w:val="16"/>
        </w:rPr>
        <w:t>. Accessed Sep. 13, 2026.</w:t>
      </w:r>
    </w:p>
    <w:p w14:paraId="4D9DE2D2" w14:textId="77777777" w:rsidR="00686F00" w:rsidRDefault="003259DA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[7] C. Eggeling, K. I. Willig, S. J. Sahl, and S. W. Hell, “Lens-based fluorescence nanoscopy,” </w:t>
      </w:r>
      <w:r>
        <w:rPr>
          <w:i/>
          <w:iCs/>
          <w:color w:val="000000"/>
          <w:sz w:val="16"/>
        </w:rPr>
        <w:t>Quarterly Reviews of</w:t>
      </w:r>
      <w:r>
        <w:rPr>
          <w:i/>
          <w:iCs/>
          <w:color w:val="000000"/>
          <w:sz w:val="16"/>
        </w:rPr>
        <w:t xml:space="preserve"> Biophysics</w:t>
      </w:r>
      <w:r>
        <w:rPr>
          <w:color w:val="000000"/>
          <w:sz w:val="16"/>
        </w:rPr>
        <w:t xml:space="preserve">, vol. 48, no. 2, pp. 178–243, 2015. </w:t>
      </w:r>
      <w:hyperlink r:id="rId25">
        <w:r>
          <w:rPr>
            <w:rStyle w:val="af"/>
          </w:rPr>
          <w:t>doi:10.1017/S0033583514000146</w:t>
        </w:r>
      </w:hyperlink>
      <w:r>
        <w:rPr>
          <w:color w:val="000000"/>
          <w:sz w:val="16"/>
        </w:rPr>
        <w:t>.</w:t>
      </w:r>
    </w:p>
    <w:p w14:paraId="3D137BCA" w14:textId="77777777" w:rsidR="00686F00" w:rsidRDefault="003259DA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[8] E. Abbe, “Beiträge zur Theorie des Mikroskops und der mikroskopischen Wahrnehmung,” </w:t>
      </w:r>
      <w:r>
        <w:rPr>
          <w:i/>
          <w:iCs/>
          <w:color w:val="000000"/>
          <w:sz w:val="16"/>
        </w:rPr>
        <w:t>Archiv für Mikroskopische An</w:t>
      </w:r>
      <w:r>
        <w:rPr>
          <w:i/>
          <w:iCs/>
          <w:color w:val="000000"/>
          <w:sz w:val="16"/>
        </w:rPr>
        <w:t>atomie</w:t>
      </w:r>
      <w:r>
        <w:rPr>
          <w:color w:val="000000"/>
          <w:sz w:val="16"/>
        </w:rPr>
        <w:t xml:space="preserve">, vol. 9, no. 1, pp. 413–468, 1873. </w:t>
      </w:r>
      <w:hyperlink r:id="rId26">
        <w:r>
          <w:rPr>
            <w:rStyle w:val="af"/>
          </w:rPr>
          <w:t>doi:10.1007/BF02956173</w:t>
        </w:r>
      </w:hyperlink>
      <w:r>
        <w:rPr>
          <w:color w:val="000000"/>
          <w:sz w:val="16"/>
        </w:rPr>
        <w:t>.</w:t>
      </w:r>
    </w:p>
    <w:p w14:paraId="2F80C4A2" w14:textId="77777777" w:rsidR="00686F00" w:rsidRDefault="003259DA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[9] S. B. Mehta and R. Oldenbourg, “Image simulation for biological microscopy: microlith,” </w:t>
      </w:r>
      <w:r>
        <w:rPr>
          <w:i/>
          <w:iCs/>
          <w:color w:val="000000"/>
          <w:sz w:val="16"/>
        </w:rPr>
        <w:t>Biomedical Optics Express</w:t>
      </w:r>
      <w:r>
        <w:rPr>
          <w:color w:val="000000"/>
          <w:sz w:val="16"/>
        </w:rPr>
        <w:t>, vol. 5, no. 6, pp</w:t>
      </w:r>
      <w:r>
        <w:rPr>
          <w:color w:val="000000"/>
          <w:sz w:val="16"/>
        </w:rPr>
        <w:t xml:space="preserve">. 1822–1838, 2014. </w:t>
      </w:r>
      <w:hyperlink r:id="rId27">
        <w:r>
          <w:rPr>
            <w:rStyle w:val="af"/>
          </w:rPr>
          <w:t>doi:10.1364/BOE.5.001822</w:t>
        </w:r>
      </w:hyperlink>
      <w:r>
        <w:rPr>
          <w:color w:val="000000"/>
          <w:sz w:val="16"/>
        </w:rPr>
        <w:t>.</w:t>
      </w:r>
    </w:p>
    <w:p w14:paraId="7A0442EE" w14:textId="77777777" w:rsidR="00686F00" w:rsidRDefault="003259DA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[10] F. J. Harris, “On the Use of Windows for Harmonic Analysis with the Discrete Fourier Transform,” </w:t>
      </w:r>
      <w:r>
        <w:rPr>
          <w:i/>
          <w:iCs/>
          <w:color w:val="000000"/>
          <w:sz w:val="16"/>
        </w:rPr>
        <w:t>Proceedings of the IEEE</w:t>
      </w:r>
      <w:r>
        <w:rPr>
          <w:color w:val="000000"/>
          <w:sz w:val="16"/>
        </w:rPr>
        <w:t>, vol. 66, no. 1, pp. 51–83, 1</w:t>
      </w:r>
      <w:r>
        <w:rPr>
          <w:color w:val="000000"/>
          <w:sz w:val="16"/>
        </w:rPr>
        <w:t xml:space="preserve">978. </w:t>
      </w:r>
      <w:hyperlink r:id="rId28">
        <w:r>
          <w:rPr>
            <w:rStyle w:val="af"/>
          </w:rPr>
          <w:t>doi:10.1109/PROC.1978.10837</w:t>
        </w:r>
      </w:hyperlink>
      <w:r>
        <w:rPr>
          <w:color w:val="000000"/>
          <w:sz w:val="16"/>
        </w:rPr>
        <w:t>.</w:t>
      </w:r>
    </w:p>
    <w:p w14:paraId="10889AA0" w14:textId="77777777" w:rsidR="00686F00" w:rsidRDefault="003259DA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[11] J. W. Cooley and J. W. Tukey, “An Algorithm for the Machine Calculation of Complex Fourier Series,” </w:t>
      </w:r>
      <w:r>
        <w:rPr>
          <w:i/>
          <w:iCs/>
          <w:color w:val="000000"/>
          <w:sz w:val="16"/>
        </w:rPr>
        <w:t>Mathematics of Computation</w:t>
      </w:r>
      <w:r>
        <w:rPr>
          <w:color w:val="000000"/>
          <w:sz w:val="16"/>
        </w:rPr>
        <w:t xml:space="preserve">, vol. 19, no. 90, pp. 297–301, </w:t>
      </w:r>
      <w:r>
        <w:rPr>
          <w:color w:val="000000"/>
          <w:sz w:val="16"/>
        </w:rPr>
        <w:t xml:space="preserve">1965. </w:t>
      </w:r>
      <w:hyperlink r:id="rId29">
        <w:r>
          <w:rPr>
            <w:rStyle w:val="af"/>
          </w:rPr>
          <w:t>doi:10.1090/S0025-5718-1965-0178586-1</w:t>
        </w:r>
      </w:hyperlink>
      <w:r>
        <w:rPr>
          <w:color w:val="000000"/>
          <w:sz w:val="16"/>
        </w:rPr>
        <w:t>.</w:t>
      </w:r>
    </w:p>
    <w:p w14:paraId="63A0B0D5" w14:textId="77777777" w:rsidR="00686F00" w:rsidRDefault="003259DA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[12] M. G. L. Gustafsson, “Surpassing the lateral resolution limit by a factor of two using structured illumination microscopy,” </w:t>
      </w:r>
      <w:r>
        <w:rPr>
          <w:i/>
          <w:iCs/>
          <w:color w:val="000000"/>
          <w:sz w:val="16"/>
        </w:rPr>
        <w:t>Journal of Microscopy</w:t>
      </w:r>
      <w:r>
        <w:rPr>
          <w:color w:val="000000"/>
          <w:sz w:val="16"/>
        </w:rPr>
        <w:t xml:space="preserve">, vol. 198, no. 2, pp. 82–87, 2000. </w:t>
      </w:r>
      <w:hyperlink r:id="rId30">
        <w:r>
          <w:rPr>
            <w:rStyle w:val="af"/>
          </w:rPr>
          <w:t>do</w:t>
        </w:r>
        <w:r>
          <w:rPr>
            <w:rStyle w:val="af"/>
          </w:rPr>
          <w:t>i:10.1046/j.1365-2818.2000.00710.x</w:t>
        </w:r>
      </w:hyperlink>
      <w:r>
        <w:rPr>
          <w:color w:val="000000"/>
          <w:sz w:val="16"/>
        </w:rPr>
        <w:t>.</w:t>
      </w:r>
    </w:p>
    <w:p w14:paraId="26ACCAE0" w14:textId="77777777" w:rsidR="00686F00" w:rsidRDefault="003259DA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[13] R. Heintzmann and T. Huser, “Super-Resolution Structured Illumination Microscopy,” </w:t>
      </w:r>
      <w:r>
        <w:rPr>
          <w:i/>
          <w:iCs/>
          <w:color w:val="000000"/>
          <w:sz w:val="16"/>
        </w:rPr>
        <w:t>Chemical Reviews</w:t>
      </w:r>
      <w:r>
        <w:rPr>
          <w:color w:val="000000"/>
          <w:sz w:val="16"/>
        </w:rPr>
        <w:t xml:space="preserve">, vol. 117, no. 23, pp. 13890–13908, 2017. </w:t>
      </w:r>
      <w:hyperlink r:id="rId31">
        <w:r>
          <w:rPr>
            <w:rStyle w:val="af"/>
          </w:rPr>
          <w:t>doi:10.102</w:t>
        </w:r>
        <w:r>
          <w:rPr>
            <w:rStyle w:val="af"/>
          </w:rPr>
          <w:t>1/acs.chemrev.7b00218</w:t>
        </w:r>
      </w:hyperlink>
      <w:r>
        <w:rPr>
          <w:color w:val="000000"/>
          <w:sz w:val="16"/>
        </w:rPr>
        <w:t>.</w:t>
      </w:r>
    </w:p>
    <w:p w14:paraId="4DEFB1A4" w14:textId="77777777" w:rsidR="00686F00" w:rsidRDefault="003259DA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[14] P. U. Jepsen, D. G. Cooke, and M. Koch, “Terahertz spectroscopy and imaging – Modern techniques and applications,” </w:t>
      </w:r>
      <w:r>
        <w:rPr>
          <w:i/>
          <w:iCs/>
          <w:color w:val="000000"/>
          <w:sz w:val="16"/>
        </w:rPr>
        <w:t>Laser &amp; Photonics Reviews</w:t>
      </w:r>
      <w:r>
        <w:rPr>
          <w:color w:val="000000"/>
          <w:sz w:val="16"/>
        </w:rPr>
        <w:t xml:space="preserve">, vol. 5, no. 1, pp. 124–166, 2011. </w:t>
      </w:r>
      <w:hyperlink r:id="rId32">
        <w:r>
          <w:rPr>
            <w:rStyle w:val="af"/>
          </w:rPr>
          <w:t>doi:10.1002/lpor.201000011</w:t>
        </w:r>
      </w:hyperlink>
      <w:r>
        <w:rPr>
          <w:color w:val="000000"/>
          <w:sz w:val="16"/>
        </w:rPr>
        <w:t>.</w:t>
      </w:r>
    </w:p>
    <w:p w14:paraId="7F7EB83E" w14:textId="77777777" w:rsidR="00686F00" w:rsidRDefault="003259DA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[15] T. L. Cocker </w:t>
      </w:r>
      <w:r>
        <w:rPr>
          <w:i/>
          <w:iCs/>
          <w:color w:val="000000"/>
          <w:sz w:val="16"/>
        </w:rPr>
        <w:t>et al</w:t>
      </w:r>
      <w:r>
        <w:rPr>
          <w:color w:val="000000"/>
          <w:sz w:val="16"/>
        </w:rPr>
        <w:t xml:space="preserve">., “Nanoscale terahertz scanning probe microscopy,” </w:t>
      </w:r>
      <w:r>
        <w:rPr>
          <w:i/>
          <w:iCs/>
          <w:color w:val="000000"/>
          <w:sz w:val="16"/>
        </w:rPr>
        <w:t>Nature Photonics</w:t>
      </w:r>
      <w:r>
        <w:rPr>
          <w:color w:val="000000"/>
          <w:sz w:val="16"/>
        </w:rPr>
        <w:t xml:space="preserve">, vol. 15, pp. 558–569, 2021. </w:t>
      </w:r>
      <w:hyperlink r:id="rId33">
        <w:r>
          <w:rPr>
            <w:rStyle w:val="af"/>
          </w:rPr>
          <w:t>doi:10.1038/s41566-021-00835-6</w:t>
        </w:r>
      </w:hyperlink>
      <w:r>
        <w:rPr>
          <w:color w:val="000000"/>
          <w:sz w:val="16"/>
        </w:rPr>
        <w:t>.</w:t>
      </w:r>
    </w:p>
    <w:p w14:paraId="3B6F104B" w14:textId="77777777" w:rsidR="00686F00" w:rsidRDefault="003259DA">
      <w:pPr>
        <w:pStyle w:val="a0"/>
        <w:spacing w:after="60"/>
        <w:ind w:left="288" w:hanging="288"/>
      </w:pPr>
      <w:r>
        <w:rPr>
          <w:color w:val="000000"/>
          <w:sz w:val="16"/>
        </w:rPr>
        <w:t>[16] F.</w:t>
      </w:r>
      <w:r>
        <w:rPr>
          <w:color w:val="000000"/>
          <w:sz w:val="16"/>
        </w:rPr>
        <w:t xml:space="preserve"> Keilmann and R. Hillenbrand, “Near-field microscopy by elastic light scattering from a tip,” </w:t>
      </w:r>
      <w:r>
        <w:rPr>
          <w:i/>
          <w:iCs/>
          <w:color w:val="000000"/>
          <w:sz w:val="16"/>
        </w:rPr>
        <w:t>Philosophical Transactions of the Royal Society A: Mathematical, Physical and Engineering Sciences</w:t>
      </w:r>
      <w:r>
        <w:rPr>
          <w:color w:val="000000"/>
          <w:sz w:val="16"/>
        </w:rPr>
        <w:t xml:space="preserve">, vol. 362, no. 1817, pp. 787–805, 2004. </w:t>
      </w:r>
      <w:hyperlink r:id="rId34">
        <w:r>
          <w:rPr>
            <w:rStyle w:val="af"/>
          </w:rPr>
          <w:t>doi:10.1098/rsta.2003.1347</w:t>
        </w:r>
      </w:hyperlink>
      <w:r>
        <w:rPr>
          <w:color w:val="000000"/>
          <w:sz w:val="16"/>
        </w:rPr>
        <w:t>.</w:t>
      </w:r>
    </w:p>
    <w:p w14:paraId="2ED0EB22" w14:textId="77777777" w:rsidR="00686F00" w:rsidRDefault="003259DA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[17] R. Hillenbrand, B. Knoll, and F. Keilmann, “Pure optical contrast in scattering-type scanning near-field microscopy,” </w:t>
      </w:r>
      <w:r>
        <w:rPr>
          <w:i/>
          <w:iCs/>
          <w:color w:val="000000"/>
          <w:sz w:val="16"/>
        </w:rPr>
        <w:t>Journal of Microscopy</w:t>
      </w:r>
      <w:r>
        <w:rPr>
          <w:color w:val="000000"/>
          <w:sz w:val="16"/>
        </w:rPr>
        <w:t xml:space="preserve">, vol. 202, no. 1, pp. 77–83, 2001. </w:t>
      </w:r>
      <w:hyperlink r:id="rId35">
        <w:r>
          <w:rPr>
            <w:rStyle w:val="af"/>
          </w:rPr>
          <w:t>doi:10.1046/j.1365-2818.2001.00794.x</w:t>
        </w:r>
      </w:hyperlink>
      <w:r>
        <w:rPr>
          <w:color w:val="000000"/>
          <w:sz w:val="16"/>
        </w:rPr>
        <w:t>.</w:t>
      </w:r>
    </w:p>
    <w:p w14:paraId="1FD941AF" w14:textId="77777777" w:rsidR="00686F00" w:rsidRDefault="003259DA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[18] Groq, “Speech to Text.” </w:t>
      </w:r>
      <w:hyperlink r:id="rId36">
        <w:r>
          <w:rPr>
            <w:rStyle w:val="af"/>
          </w:rPr>
          <w:t>API documentation</w:t>
        </w:r>
      </w:hyperlink>
      <w:r>
        <w:rPr>
          <w:color w:val="000000"/>
          <w:sz w:val="16"/>
        </w:rPr>
        <w:t>. Accessed Sep. 13, 2026.</w:t>
      </w:r>
    </w:p>
    <w:p w14:paraId="6CB9913E" w14:textId="77777777" w:rsidR="00686F00" w:rsidRDefault="003259DA">
      <w:pPr>
        <w:pStyle w:val="a0"/>
        <w:spacing w:after="60"/>
        <w:ind w:left="288" w:hanging="288"/>
      </w:pPr>
      <w:r>
        <w:rPr>
          <w:color w:val="000000"/>
          <w:sz w:val="16"/>
        </w:rPr>
        <w:t>[19] J. Brooke, “SUS: A ‘Qu</w:t>
      </w:r>
      <w:r>
        <w:rPr>
          <w:color w:val="000000"/>
          <w:sz w:val="16"/>
        </w:rPr>
        <w:t xml:space="preserve">ick and Dirty’ Usability Scale,” in </w:t>
      </w:r>
      <w:r>
        <w:rPr>
          <w:i/>
          <w:iCs/>
          <w:color w:val="000000"/>
          <w:sz w:val="16"/>
        </w:rPr>
        <w:t>Usability Evaluation in Industry</w:t>
      </w:r>
      <w:r>
        <w:rPr>
          <w:color w:val="000000"/>
          <w:sz w:val="16"/>
        </w:rPr>
        <w:t xml:space="preserve">, 1996. </w:t>
      </w:r>
      <w:hyperlink r:id="rId37">
        <w:r>
          <w:rPr>
            <w:rStyle w:val="af"/>
          </w:rPr>
          <w:t>doi:10.1201/9781498710411-35</w:t>
        </w:r>
      </w:hyperlink>
      <w:r>
        <w:rPr>
          <w:color w:val="000000"/>
          <w:sz w:val="16"/>
        </w:rPr>
        <w:t>.</w:t>
      </w:r>
    </w:p>
    <w:p w14:paraId="2605D9FB" w14:textId="77777777" w:rsidR="00686F00" w:rsidRDefault="003259DA">
      <w:pPr>
        <w:pStyle w:val="a0"/>
        <w:spacing w:after="60"/>
        <w:ind w:left="288" w:hanging="288"/>
      </w:pPr>
      <w:r>
        <w:rPr>
          <w:color w:val="000000"/>
          <w:sz w:val="16"/>
        </w:rPr>
        <w:t>[20] S. G. Hart and L. E. Staveland, “Development of NASA-TLX (Task Load Index): Results o</w:t>
      </w:r>
      <w:r>
        <w:rPr>
          <w:color w:val="000000"/>
          <w:sz w:val="16"/>
        </w:rPr>
        <w:t xml:space="preserve">f empirical and theoretical research,” </w:t>
      </w:r>
      <w:r>
        <w:rPr>
          <w:i/>
          <w:iCs/>
          <w:color w:val="000000"/>
          <w:sz w:val="16"/>
        </w:rPr>
        <w:t>Advances in Psychology</w:t>
      </w:r>
      <w:r>
        <w:rPr>
          <w:color w:val="000000"/>
          <w:sz w:val="16"/>
        </w:rPr>
        <w:t xml:space="preserve">, vol. 52, pp. 139–183, 1988. </w:t>
      </w:r>
      <w:hyperlink r:id="rId38">
        <w:r>
          <w:rPr>
            <w:rStyle w:val="af"/>
          </w:rPr>
          <w:t>Author text hosted by NASA</w:t>
        </w:r>
      </w:hyperlink>
      <w:r>
        <w:rPr>
          <w:color w:val="000000"/>
          <w:sz w:val="16"/>
        </w:rPr>
        <w:t>.</w:t>
      </w:r>
    </w:p>
    <w:p w14:paraId="49883FBC" w14:textId="77777777" w:rsidR="00686F00" w:rsidRDefault="003259DA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[21] Y. Duan, X. Xu, H. He, Y. Gu, S. Li, and J. Bueno Vesga, “Supplementing Patient Encounter Training for Preservice Nurses: Towards an AI×VR Approach,” in </w:t>
      </w:r>
      <w:r>
        <w:rPr>
          <w:i/>
          <w:iCs/>
          <w:color w:val="000000"/>
          <w:sz w:val="16"/>
        </w:rPr>
        <w:t>Proc. 2026 IEEE Int. Conf. on Artificial Intelligence and eXtended and Virtual Reality (AIxVR)</w:t>
      </w:r>
      <w:r>
        <w:rPr>
          <w:color w:val="000000"/>
          <w:sz w:val="16"/>
        </w:rPr>
        <w:t>, pp</w:t>
      </w:r>
      <w:r>
        <w:rPr>
          <w:color w:val="000000"/>
          <w:sz w:val="16"/>
        </w:rPr>
        <w:t xml:space="preserve">. 98–107, 2026. </w:t>
      </w:r>
      <w:hyperlink r:id="rId39">
        <w:r>
          <w:rPr>
            <w:rStyle w:val="af"/>
          </w:rPr>
          <w:t>doi:10.1109/AIxVR67263.2026.00020</w:t>
        </w:r>
      </w:hyperlink>
      <w:r>
        <w:rPr>
          <w:color w:val="000000"/>
          <w:sz w:val="16"/>
        </w:rPr>
        <w:t>.</w:t>
      </w:r>
    </w:p>
    <w:p w14:paraId="0B01E911" w14:textId="77777777" w:rsidR="00686F00" w:rsidRDefault="003259DA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[22] A. Bangor, P. T. Kortum, and J. T. Miller, “An Empirical Evaluation of the System Usability Scale,” </w:t>
      </w:r>
      <w:r>
        <w:rPr>
          <w:i/>
          <w:iCs/>
          <w:color w:val="000000"/>
          <w:sz w:val="16"/>
        </w:rPr>
        <w:t>International Journal of Human–Comp</w:t>
      </w:r>
      <w:r>
        <w:rPr>
          <w:i/>
          <w:iCs/>
          <w:color w:val="000000"/>
          <w:sz w:val="16"/>
        </w:rPr>
        <w:t>uter Interaction</w:t>
      </w:r>
      <w:r>
        <w:rPr>
          <w:color w:val="000000"/>
          <w:sz w:val="16"/>
        </w:rPr>
        <w:t xml:space="preserve">, vol. 24, no. 6, pp. 574–594, 2008. </w:t>
      </w:r>
      <w:hyperlink r:id="rId40">
        <w:r>
          <w:rPr>
            <w:rStyle w:val="af"/>
          </w:rPr>
          <w:t>doi:10.1080/10447310802205776</w:t>
        </w:r>
      </w:hyperlink>
      <w:r>
        <w:rPr>
          <w:color w:val="000000"/>
          <w:sz w:val="16"/>
        </w:rPr>
        <w:t>.</w:t>
      </w:r>
      <w:bookmarkEnd w:id="0"/>
      <w:bookmarkEnd w:id="32"/>
    </w:p>
    <w:sectPr w:rsidR="00686F00">
      <w:footnotePr>
        <w:numRestart w:val="eachSect"/>
      </w:footnotePr>
      <w:type w:val="continuous"/>
      <w:pgSz w:w="12240" w:h="15840"/>
      <w:pgMar w:top="1080" w:right="900" w:bottom="1440" w:left="900" w:header="432" w:footer="432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C12A3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5F8EB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7540C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6F00"/>
    <w:rsid w:val="003259DA"/>
    <w:rsid w:val="0068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99FBD"/>
  <w15:docId w15:val="{F1095281-DD9C-40C7-8FB1-4BC956790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/>
    </w:pPr>
    <w:rPr>
      <w:rFonts w:ascii="Times New Roman" w:eastAsia="SimSun" w:hAnsi="Times New Roman"/>
      <w:sz w:val="20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00000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color w:val="000000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000000"/>
      <w:u w:val="none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doi.org/10.1007/BF02956173" TargetMode="External"/><Relationship Id="rId39" Type="http://schemas.openxmlformats.org/officeDocument/2006/relationships/hyperlink" Target="https://doi.org/10.1109/AIxVR67263.2026.00020" TargetMode="External"/><Relationship Id="rId21" Type="http://schemas.openxmlformats.org/officeDocument/2006/relationships/hyperlink" Target="https://doi.org/10.1109/AIxVR67263.2026.00016" TargetMode="External"/><Relationship Id="rId34" Type="http://schemas.openxmlformats.org/officeDocument/2006/relationships/hyperlink" Target="https://doi.org/10.1098/rsta.2003.1347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doi.org/10.1109/AIxVR67263.2026.00050" TargetMode="External"/><Relationship Id="rId29" Type="http://schemas.openxmlformats.org/officeDocument/2006/relationships/hyperlink" Target="https://doi.org/10.1090/S0025-5718-1965-0178586-1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www.zeiss.com/microscopy/en/resources/insights-hub/foundational-knowledge/spatial-frequency-and-image-resolution.html" TargetMode="External"/><Relationship Id="rId32" Type="http://schemas.openxmlformats.org/officeDocument/2006/relationships/hyperlink" Target="https://doi.org/10.1002/lpor.201000011" TargetMode="External"/><Relationship Id="rId37" Type="http://schemas.openxmlformats.org/officeDocument/2006/relationships/hyperlink" Target="https://doi.org/10.1201/9781498710411-35" TargetMode="External"/><Relationship Id="rId40" Type="http://schemas.openxmlformats.org/officeDocument/2006/relationships/hyperlink" Target="https://doi.org/10.1080/10447310802205776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www.zeiss.com/microscopy/en/resources/insights-hub/foundational-knowledge/numerical-aperture-and-light-cone-geometry.html" TargetMode="External"/><Relationship Id="rId28" Type="http://schemas.openxmlformats.org/officeDocument/2006/relationships/hyperlink" Target="https://doi.org/10.1109/PROC.1978.10837" TargetMode="External"/><Relationship Id="rId36" Type="http://schemas.openxmlformats.org/officeDocument/2006/relationships/hyperlink" Target="https://console.groq.com/docs/speech-to-text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doi.org/10.1109/AIxVR59861.2024.00011" TargetMode="External"/><Relationship Id="rId31" Type="http://schemas.openxmlformats.org/officeDocument/2006/relationships/hyperlink" Target="https://doi.org/10.1021/acs.chemrev.7b0021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doi.org/10.1038/s41596-020-0313-9" TargetMode="External"/><Relationship Id="rId27" Type="http://schemas.openxmlformats.org/officeDocument/2006/relationships/hyperlink" Target="https://doi.org/10.1364/BOE.5.001822" TargetMode="External"/><Relationship Id="rId30" Type="http://schemas.openxmlformats.org/officeDocument/2006/relationships/hyperlink" Target="https://doi.org/10.1046/j.1365-2818.2000.00710.x" TargetMode="External"/><Relationship Id="rId35" Type="http://schemas.openxmlformats.org/officeDocument/2006/relationships/hyperlink" Target="https://doi.org/10.1046/j.1365-2818.2001.00794.x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doi.org/10.1017/S0033583514000146" TargetMode="External"/><Relationship Id="rId33" Type="http://schemas.openxmlformats.org/officeDocument/2006/relationships/hyperlink" Target="https://doi.org/10.1038/s41566-021-00835-6" TargetMode="External"/><Relationship Id="rId38" Type="http://schemas.openxmlformats.org/officeDocument/2006/relationships/hyperlink" Target="https://human-factors.arc.nasa.gov/publications/Hart_Staveland_ORIGINAL_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2594</Words>
  <Characters>14789</Characters>
  <Application>Microsoft Office Word</Application>
  <DocSecurity>0</DocSecurity>
  <Lines>123</Lines>
  <Paragraphs>34</Paragraphs>
  <ScaleCrop>false</ScaleCrop>
  <Company/>
  <LinksUpToDate>false</LinksUpToDate>
  <CharactersWithSpaces>17349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VRMicroscope：融合交互式显微仿真与任务状态感知 AI 指引的虚拟现实教学系统</dc:title>
  <dc:creator/>
  <cp:keywords/>
  <dc:description/>
  <cp:lastModifiedBy>秦时 微雨</cp:lastModifiedBy>
  <cp:revision>2</cp:revision>
  <dcterms:created xsi:type="dcterms:W3CDTF">2026-09-19T12:09:00Z</dcterms:created>
  <dcterms:modified xsi:type="dcterms:W3CDTF">2026-09-20T16:20:00Z</dcterms:modified>
</cp:coreProperties>
</file>