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29E2" w14:textId="77777777" w:rsidR="007E1590" w:rsidRDefault="00074FEE">
      <w:pPr>
        <w:pStyle w:val="1"/>
        <w:spacing w:before="0" w:after="240"/>
        <w:jc w:val="center"/>
      </w:pPr>
      <w:bookmarkStart w:id="0" w:name="X278a0732d19eb6f5fe975bb874418c56e158321"/>
      <w:r>
        <w:rPr>
          <w:rFonts w:ascii="Times New Roman" w:eastAsia="SimSun" w:hAnsi="Times New Roman"/>
          <w:sz w:val="48"/>
        </w:rPr>
        <w:t>VRMicroscope: Integrating Interactive Microscopy Simulation with Task-State-Aware AI Guidance in Virtual Reality</w:t>
      </w:r>
    </w:p>
    <w:p w14:paraId="41E7A555" w14:textId="77777777" w:rsidR="007E1590" w:rsidRDefault="00074FEE">
      <w:pPr>
        <w:pStyle w:val="FirstParagraph"/>
        <w:keepNext/>
        <w:spacing w:after="100"/>
        <w:jc w:val="center"/>
      </w:pPr>
      <w:r>
        <w:rPr>
          <w:color w:val="000000"/>
          <w:sz w:val="22"/>
        </w:rPr>
        <w:t>Tang Shaoyan</w:t>
      </w:r>
      <w:r>
        <w:rPr>
          <w:color w:val="000000"/>
          <w:sz w:val="16"/>
          <w:vertAlign w:val="superscript"/>
        </w:rPr>
        <w:t>1*</w:t>
      </w:r>
      <w:r>
        <w:t xml:space="preserve">, </w:t>
      </w:r>
      <w:r>
        <w:rPr>
          <w:color w:val="000000"/>
          <w:sz w:val="22"/>
        </w:rPr>
        <w:t>Pu Yunpin</w:t>
      </w:r>
      <w:r>
        <w:rPr>
          <w:color w:val="000000"/>
          <w:sz w:val="16"/>
          <w:vertAlign w:val="superscript"/>
        </w:rPr>
        <w:t>2</w:t>
      </w:r>
      <w:r>
        <w:t xml:space="preserve">, </w:t>
      </w:r>
      <w:r>
        <w:rPr>
          <w:color w:val="000000"/>
          <w:sz w:val="22"/>
        </w:rPr>
        <w:t>Sui Si‘ao</w:t>
      </w:r>
      <w:r>
        <w:rPr>
          <w:color w:val="000000"/>
          <w:sz w:val="16"/>
          <w:vertAlign w:val="superscript"/>
        </w:rPr>
        <w:t>2</w:t>
      </w:r>
      <w:r>
        <w:t xml:space="preserve">, </w:t>
      </w:r>
      <w:r>
        <w:rPr>
          <w:color w:val="000000"/>
          <w:sz w:val="22"/>
        </w:rPr>
        <w:t>Qammer Abbasi</w:t>
      </w:r>
      <w:r>
        <w:rPr>
          <w:color w:val="000000"/>
          <w:sz w:val="16"/>
          <w:vertAlign w:val="superscript"/>
        </w:rPr>
        <w:t>3</w:t>
      </w:r>
      <w:r>
        <w:br/>
      </w:r>
      <w:r>
        <w:rPr>
          <w:color w:val="000000"/>
          <w:sz w:val="22"/>
        </w:rPr>
        <w:t>Sajjad Hussain</w:t>
      </w:r>
      <w:r>
        <w:rPr>
          <w:color w:val="000000"/>
          <w:sz w:val="16"/>
          <w:vertAlign w:val="superscript"/>
        </w:rPr>
        <w:t>3</w:t>
      </w:r>
      <w:r>
        <w:t xml:space="preserve">, </w:t>
      </w:r>
      <w:r>
        <w:rPr>
          <w:color w:val="000000"/>
          <w:sz w:val="22"/>
        </w:rPr>
        <w:t>Hu Min</w:t>
      </w:r>
      <w:r>
        <w:rPr>
          <w:color w:val="000000"/>
          <w:sz w:val="16"/>
          <w:vertAlign w:val="superscript"/>
        </w:rPr>
        <w:t>2</w:t>
      </w:r>
      <w:r>
        <w:t xml:space="preserve">, </w:t>
      </w:r>
      <w:r>
        <w:rPr>
          <w:color w:val="000000"/>
          <w:sz w:val="22"/>
        </w:rPr>
        <w:t>Hasan Abbas</w:t>
      </w:r>
      <w:r>
        <w:rPr>
          <w:color w:val="000000"/>
          <w:sz w:val="16"/>
          <w:vertAlign w:val="superscript"/>
        </w:rPr>
        <w:t>3*</w:t>
      </w: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3480"/>
        <w:gridCol w:w="3480"/>
        <w:gridCol w:w="3480"/>
      </w:tblGrid>
      <w:tr w:rsidR="007E1590" w14:paraId="1A4BEB53" w14:textId="77777777" w:rsidTr="007E1590">
        <w:trPr>
          <w:cnfStyle w:val="100000000000" w:firstRow="1" w:lastRow="0" w:firstColumn="0" w:lastColumn="0" w:oddVBand="0" w:evenVBand="0" w:oddHBand="0" w:evenHBand="0" w:firstRowFirstColumn="0" w:firstRowLastColumn="0" w:lastRowFirstColumn="0" w:lastRowLastColumn="0"/>
          <w:cantSplit/>
          <w:jc w:val="center"/>
        </w:trPr>
        <w:tc>
          <w:tcPr>
            <w:tcW w:w="3480" w:type="dxa"/>
            <w:vAlign w:val="top"/>
          </w:tcPr>
          <w:p w14:paraId="6EBE8CCF" w14:textId="77777777" w:rsidR="007E1590" w:rsidRDefault="00074FEE">
            <w:pPr>
              <w:keepNext/>
              <w:jc w:val="center"/>
            </w:pPr>
            <w:r>
              <w:rPr>
                <w:color w:val="000000"/>
                <w:sz w:val="14"/>
                <w:vertAlign w:val="superscript"/>
              </w:rPr>
              <w:t>1</w:t>
            </w:r>
            <w:r>
              <w:rPr>
                <w:i/>
                <w:color w:val="000000"/>
                <w:sz w:val="18"/>
              </w:rPr>
              <w:t>National University of Singapore</w:t>
            </w:r>
          </w:p>
          <w:p w14:paraId="1F2CE6B9" w14:textId="77777777" w:rsidR="007E1590" w:rsidRDefault="00074FEE">
            <w:pPr>
              <w:keepNext/>
              <w:spacing w:after="60"/>
              <w:jc w:val="center"/>
            </w:pPr>
            <w:r>
              <w:rPr>
                <w:color w:val="000000"/>
                <w:sz w:val="18"/>
              </w:rPr>
              <w:t>Singapore</w:t>
            </w:r>
          </w:p>
          <w:p w14:paraId="189C150F" w14:textId="77777777" w:rsidR="007E1590" w:rsidRDefault="00074FEE">
            <w:pPr>
              <w:keepNext/>
              <w:spacing w:after="120"/>
              <w:jc w:val="center"/>
            </w:pPr>
            <w:r>
              <w:rPr>
                <w:color w:val="000000"/>
                <w:sz w:val="16"/>
              </w:rPr>
              <w:t>tangshaoyan@u.nus.edu</w:t>
            </w:r>
          </w:p>
        </w:tc>
        <w:tc>
          <w:tcPr>
            <w:tcW w:w="3480" w:type="dxa"/>
            <w:vAlign w:val="top"/>
          </w:tcPr>
          <w:p w14:paraId="36E0AFB9" w14:textId="77777777" w:rsidR="007E1590" w:rsidRDefault="00074FEE">
            <w:pPr>
              <w:keepNext/>
              <w:jc w:val="center"/>
            </w:pPr>
            <w:r>
              <w:rPr>
                <w:color w:val="000000"/>
                <w:sz w:val="14"/>
                <w:vertAlign w:val="superscript"/>
              </w:rPr>
              <w:t>2</w:t>
            </w:r>
            <w:r>
              <w:rPr>
                <w:i/>
                <w:color w:val="000000"/>
                <w:sz w:val="18"/>
              </w:rPr>
              <w:t>University of Electronic Science and Technology of China</w:t>
            </w:r>
          </w:p>
          <w:p w14:paraId="64C22CCA" w14:textId="77777777" w:rsidR="007E1590" w:rsidRDefault="00074FEE">
            <w:pPr>
              <w:keepNext/>
              <w:spacing w:after="60"/>
              <w:jc w:val="center"/>
            </w:pPr>
            <w:r>
              <w:rPr>
                <w:color w:val="000000"/>
                <w:sz w:val="18"/>
              </w:rPr>
              <w:t>China</w:t>
            </w:r>
          </w:p>
          <w:p w14:paraId="083D2065" w14:textId="77777777" w:rsidR="007E1590" w:rsidRDefault="00074FEE">
            <w:pPr>
              <w:keepNext/>
              <w:jc w:val="center"/>
            </w:pPr>
            <w:r>
              <w:rPr>
                <w:color w:val="000000"/>
                <w:sz w:val="16"/>
              </w:rPr>
              <w:t>2023091204002@std.uestc.edu.cn</w:t>
            </w:r>
          </w:p>
          <w:p w14:paraId="2C108275" w14:textId="77777777" w:rsidR="007E1590" w:rsidRDefault="00074FEE">
            <w:pPr>
              <w:keepNext/>
              <w:jc w:val="center"/>
            </w:pPr>
            <w:r>
              <w:rPr>
                <w:color w:val="000000"/>
                <w:sz w:val="16"/>
              </w:rPr>
              <w:t>2023120901021@std.uestc.edu.cn</w:t>
            </w:r>
          </w:p>
          <w:p w14:paraId="10698C16" w14:textId="77777777" w:rsidR="007E1590" w:rsidRDefault="00074FEE">
            <w:pPr>
              <w:keepNext/>
              <w:spacing w:after="120"/>
              <w:jc w:val="center"/>
            </w:pPr>
            <w:r>
              <w:rPr>
                <w:color w:val="000000"/>
                <w:sz w:val="16"/>
              </w:rPr>
              <w:t>hu_m@uestc.edu.cn</w:t>
            </w:r>
          </w:p>
        </w:tc>
        <w:tc>
          <w:tcPr>
            <w:tcW w:w="3480" w:type="dxa"/>
            <w:vAlign w:val="top"/>
          </w:tcPr>
          <w:p w14:paraId="3C2FE9B4" w14:textId="77777777" w:rsidR="007E1590" w:rsidRDefault="00074FEE">
            <w:pPr>
              <w:keepNext/>
              <w:jc w:val="center"/>
            </w:pPr>
            <w:r>
              <w:rPr>
                <w:color w:val="000000"/>
                <w:sz w:val="14"/>
                <w:vertAlign w:val="superscript"/>
              </w:rPr>
              <w:t>3</w:t>
            </w:r>
            <w:r>
              <w:rPr>
                <w:i/>
                <w:color w:val="000000"/>
                <w:sz w:val="18"/>
              </w:rPr>
              <w:t>University of Glasgow</w:t>
            </w:r>
          </w:p>
          <w:p w14:paraId="152583B2" w14:textId="77777777" w:rsidR="007E1590" w:rsidRDefault="00074FEE">
            <w:pPr>
              <w:keepNext/>
              <w:spacing w:after="60"/>
              <w:jc w:val="center"/>
            </w:pPr>
            <w:r>
              <w:rPr>
                <w:color w:val="000000"/>
                <w:sz w:val="18"/>
              </w:rPr>
              <w:t>United Kingdom</w:t>
            </w:r>
          </w:p>
          <w:p w14:paraId="5B3A0D51" w14:textId="77777777" w:rsidR="007E1590" w:rsidRDefault="00074FEE">
            <w:pPr>
              <w:keepNext/>
              <w:jc w:val="center"/>
            </w:pPr>
            <w:r>
              <w:rPr>
                <w:color w:val="000000"/>
                <w:sz w:val="16"/>
              </w:rPr>
              <w:t>Qammer.Abbasi@glasgow.ac.uk</w:t>
            </w:r>
          </w:p>
          <w:p w14:paraId="5D1DCB78" w14:textId="77777777" w:rsidR="007E1590" w:rsidRDefault="00074FEE">
            <w:pPr>
              <w:keepNext/>
              <w:jc w:val="center"/>
            </w:pPr>
            <w:r>
              <w:rPr>
                <w:color w:val="000000"/>
                <w:sz w:val="16"/>
              </w:rPr>
              <w:t>Sajjad.Hussain</w:t>
            </w:r>
            <w:r>
              <w:rPr>
                <w:color w:val="000000"/>
                <w:sz w:val="16"/>
              </w:rPr>
              <w:t>@glasgow.ac.uk</w:t>
            </w:r>
          </w:p>
          <w:p w14:paraId="5B139BC6" w14:textId="77777777" w:rsidR="007E1590" w:rsidRDefault="00074FEE">
            <w:pPr>
              <w:keepNext/>
              <w:spacing w:after="120"/>
              <w:jc w:val="center"/>
            </w:pPr>
            <w:r>
              <w:rPr>
                <w:color w:val="000000"/>
                <w:sz w:val="16"/>
              </w:rPr>
              <w:t>Hasan.abbas@glasgow.ac.uk</w:t>
            </w:r>
          </w:p>
        </w:tc>
      </w:tr>
    </w:tbl>
    <w:p w14:paraId="6D8F944F" w14:textId="77777777" w:rsidR="007E1590" w:rsidRDefault="00074FEE">
      <w:pPr>
        <w:keepNext/>
        <w:spacing w:after="120"/>
        <w:jc w:val="center"/>
      </w:pPr>
      <w:r>
        <w:rPr>
          <w:i/>
          <w:color w:val="000000"/>
          <w:sz w:val="16"/>
        </w:rPr>
        <w:t>*Corresponding authors: Tang Shaoyan (tangshaoyan@u.nus.edu); Hasan Abbas (Hasan.abbas@glasgow.ac.uk)</w:t>
      </w:r>
    </w:p>
    <w:p w14:paraId="38398DA4"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12FB98A2" w14:textId="77777777" w:rsidR="007E1590" w:rsidRDefault="00074FEE">
      <w:pPr>
        <w:pStyle w:val="a0"/>
        <w:spacing w:after="100"/>
        <w:jc w:val="both"/>
      </w:pPr>
      <w:r>
        <w:rPr>
          <w:b/>
          <w:bCs/>
          <w:color w:val="000000"/>
          <w:sz w:val="18"/>
        </w:rPr>
        <w:t>Abstract—</w:t>
      </w:r>
      <w:r>
        <w:rPr>
          <w:b/>
          <w:color w:val="000000"/>
          <w:sz w:val="18"/>
        </w:rPr>
        <w:t>VRMicroscope integrates interactive microscopy simulation with task-state-aware AI guidance. Its VR laboratory supports specimen handling, observation, focus, illumination and objective adjustment, component inspection, and instructional modules for numeri</w:t>
      </w:r>
      <w:r>
        <w:rPr>
          <w:b/>
          <w:color w:val="000000"/>
          <w:sz w:val="18"/>
        </w:rPr>
        <w:t>cal aperture, spatial frequency, structured illumination, and THz s-SNOM. Authored visual mappings and simplified models are distinguished from calibrated measurement. The assistant combines project knowledge, interface state, and available actions; applic</w:t>
      </w:r>
      <w:r>
        <w:rPr>
          <w:b/>
          <w:color w:val="000000"/>
          <w:sz w:val="18"/>
        </w:rPr>
        <w:t>ation code validates guidance and supports spatial markers and user-confirmed Chinese/English speech input. In an exploratory study, 18 of 19 participants completed the core workflow (94.7%); mean SUS was 82.4/100 and unweighted NASA-TLX was 32.4/100. A fi</w:t>
      </w:r>
      <w:r>
        <w:rPr>
          <w:b/>
          <w:color w:val="000000"/>
          <w:sz w:val="18"/>
        </w:rPr>
        <w:t>xed-state gateway regression used 26 cases repeated three times. All 42 operating recommendations were available and 12/12 navigation targets matched; subsequent author review accepted 75/78 final answers (96.2%), with three GC01 responses judged to requir</w:t>
      </w:r>
      <w:r>
        <w:rPr>
          <w:b/>
          <w:color w:val="000000"/>
          <w:sz w:val="18"/>
        </w:rPr>
        <w:t>e clarification under a revised interpretation. Median gateway latency was 1.82 s. These reused-case and single-group results support feasibility and expose a distinction between available actions and accepted guidance; they do not establish general AI acc</w:t>
      </w:r>
      <w:r>
        <w:rPr>
          <w:b/>
          <w:color w:val="000000"/>
          <w:sz w:val="18"/>
        </w:rPr>
        <w:t>uracy or causal learning gains. The contribution is a shared state representation connecting interaction, bounded simulation, and conversational guidance.</w:t>
      </w:r>
    </w:p>
    <w:p w14:paraId="591B4056" w14:textId="77777777" w:rsidR="007E1590" w:rsidRDefault="00074FEE">
      <w:pPr>
        <w:pStyle w:val="a0"/>
        <w:spacing w:after="100"/>
        <w:jc w:val="both"/>
      </w:pPr>
      <w:r>
        <w:rPr>
          <w:b/>
          <w:bCs/>
          <w:i/>
          <w:color w:val="000000"/>
          <w:sz w:val="18"/>
        </w:rPr>
        <w:t>Index Terms—</w:t>
      </w:r>
      <w:r>
        <w:rPr>
          <w:b/>
          <w:color w:val="000000"/>
          <w:sz w:val="18"/>
        </w:rPr>
        <w:t xml:space="preserve"> virtual reality; microscopy education; interactive simulation; task-state awareness; lar</w:t>
      </w:r>
      <w:r>
        <w:rPr>
          <w:b/>
          <w:color w:val="000000"/>
          <w:sz w:val="18"/>
        </w:rPr>
        <w:t>ge language models; speech input.</w:t>
      </w:r>
    </w:p>
    <w:p w14:paraId="05801A02" w14:textId="77777777" w:rsidR="007E1590" w:rsidRDefault="00074FEE">
      <w:pPr>
        <w:pStyle w:val="2"/>
        <w:spacing w:before="200" w:after="100"/>
        <w:jc w:val="center"/>
      </w:pPr>
      <w:bookmarkStart w:id="1" w:name="introduction"/>
      <w:r>
        <w:rPr>
          <w:rFonts w:ascii="Times New Roman" w:eastAsia="SimSun" w:hAnsi="Times New Roman"/>
        </w:rPr>
        <w:t>I. INTRODUCTION</w:t>
      </w:r>
    </w:p>
    <w:p w14:paraId="1E726E62" w14:textId="77777777" w:rsidR="007E1590" w:rsidRDefault="00074FEE">
      <w:pPr>
        <w:pStyle w:val="FirstParagraph"/>
        <w:ind w:firstLine="202"/>
        <w:jc w:val="both"/>
      </w:pPr>
      <w:r>
        <w:rPr>
          <w:color w:val="000000"/>
        </w:rPr>
        <w:t>Microscopy training requires learners not only to identify three-dimensional instrument components, but also to place specimens, adjust focus and illumination, switch objectives, and explain why the observe</w:t>
      </w:r>
      <w:r>
        <w:rPr>
          <w:color w:val="000000"/>
        </w:rPr>
        <w:t>d field changes. A virtual laboratory can provide a repeatable environment for exploring these operations, but it must make clear which feedback corresponds to real principles and which feedback is designed primarily for instructional purposes.</w:t>
      </w:r>
    </w:p>
    <w:p w14:paraId="27016D29" w14:textId="77777777" w:rsidR="007E1590" w:rsidRDefault="00074FEE">
      <w:pPr>
        <w:pStyle w:val="a0"/>
        <w:ind w:firstLine="202"/>
        <w:jc w:val="both"/>
      </w:pPr>
      <w:r>
        <w:rPr>
          <w:color w:val="000000"/>
        </w:rPr>
        <w:t>VRMicroscop</w:t>
      </w:r>
      <w:r>
        <w:rPr>
          <w:color w:val="000000"/>
        </w:rPr>
        <w:t xml:space="preserve">e combines an experimental layer of objects, controls, feedback, and experiment interfaces with an assistant that maps questions to project knowledge and currently accessible activities. The central challenge is consistency </w:t>
      </w:r>
      <w:r>
        <w:rPr>
          <w:color w:val="000000"/>
        </w:rPr>
        <w:t>among interface state, simulatio</w:t>
      </w:r>
      <w:r>
        <w:rPr>
          <w:color w:val="000000"/>
        </w:rPr>
        <w:t>n boundaries, and recommendations: real confocal operations such as pinhole adjustment or Z-stack acquisition must not be offered when absent, while an experiment entry already visible in a component panel should be used directly.</w:t>
      </w:r>
    </w:p>
    <w:p w14:paraId="7CC58346" w14:textId="77777777" w:rsidR="007E1590" w:rsidRDefault="00074FEE">
      <w:pPr>
        <w:pStyle w:val="a0"/>
        <w:ind w:firstLine="202"/>
        <w:jc w:val="both"/>
      </w:pPr>
      <w:r>
        <w:rPr>
          <w:color w:val="000000"/>
        </w:rPr>
        <w:t>The main contributions of</w:t>
      </w:r>
      <w:r>
        <w:rPr>
          <w:color w:val="000000"/>
        </w:rPr>
        <w:t xml:space="preserve"> this work are:</w:t>
      </w:r>
    </w:p>
    <w:p w14:paraId="404A1C46" w14:textId="77777777" w:rsidR="007E1590" w:rsidRDefault="00074FEE">
      <w:pPr>
        <w:pStyle w:val="Compact"/>
        <w:numPr>
          <w:ilvl w:val="0"/>
          <w:numId w:val="2"/>
        </w:numPr>
        <w:ind w:left="346" w:hanging="173"/>
        <w:jc w:val="both"/>
      </w:pPr>
      <w:r>
        <w:rPr>
          <w:color w:val="000000"/>
        </w:rPr>
        <w:t>We build a microscopy experimental environment that connects specimen manipulation, focus and illumination feedback, structural understanding, and three advanced instructional modules, while explicitly stating the inputs, outputs, and model</w:t>
      </w:r>
      <w:r>
        <w:rPr>
          <w:color w:val="000000"/>
        </w:rPr>
        <w:t>ing boundaries of each activity.</w:t>
      </w:r>
    </w:p>
    <w:p w14:paraId="762B8F67" w14:textId="77777777" w:rsidR="007E1590" w:rsidRDefault="00074FEE">
      <w:pPr>
        <w:pStyle w:val="Compact"/>
        <w:numPr>
          <w:ilvl w:val="0"/>
          <w:numId w:val="2"/>
        </w:numPr>
        <w:ind w:left="346" w:hanging="173"/>
        <w:jc w:val="both"/>
      </w:pPr>
      <w:r>
        <w:rPr>
          <w:color w:val="000000"/>
        </w:rPr>
        <w:t>We design an AI guidance architecture that combines project knowledge, current component descriptions, an available-action catalog, response validation, spatial markers, and confirmation-based speech input.</w:t>
      </w:r>
    </w:p>
    <w:p w14:paraId="00296ACB" w14:textId="77777777" w:rsidR="007E1590" w:rsidRDefault="00074FEE">
      <w:pPr>
        <w:pStyle w:val="Compact"/>
        <w:numPr>
          <w:ilvl w:val="0"/>
          <w:numId w:val="2"/>
        </w:numPr>
        <w:ind w:left="346" w:hanging="173"/>
        <w:jc w:val="both"/>
      </w:pPr>
      <w:r>
        <w:rPr>
          <w:color w:val="000000"/>
        </w:rPr>
        <w:t>We evaluate avai</w:t>
      </w:r>
      <w:r>
        <w:rPr>
          <w:color w:val="000000"/>
        </w:rPr>
        <w:t>lability and author-reviewed guidance over 78 real-model requests and report an exploratory study with 19 participants, distinguishing gateway regression results from perceived usability, workload, and untested causal learning gains.</w:t>
      </w:r>
    </w:p>
    <w:p w14:paraId="4FF29156" w14:textId="77777777" w:rsidR="007E1590" w:rsidRDefault="00074FEE">
      <w:pPr>
        <w:pStyle w:val="FirstParagraph"/>
        <w:ind w:firstLine="202"/>
        <w:jc w:val="both"/>
      </w:pPr>
      <w:r>
        <w:rPr>
          <w:color w:val="000000"/>
        </w:rPr>
        <w:t>The system supports fa</w:t>
      </w:r>
      <w:r>
        <w:rPr>
          <w:color w:val="000000"/>
        </w:rPr>
        <w:t>miliarization and conceptual exploration; real-instrument transfer, quantitative imaging, and incremental learning benefits from AI remain outside the present evidence.</w:t>
      </w:r>
    </w:p>
    <w:p w14:paraId="27BE74CD" w14:textId="77777777" w:rsidR="007E1590" w:rsidRDefault="00074FEE">
      <w:pPr>
        <w:pStyle w:val="2"/>
        <w:spacing w:before="200" w:after="100"/>
        <w:jc w:val="center"/>
      </w:pPr>
      <w:bookmarkStart w:id="2" w:name="related-work-and-research-positioning"/>
      <w:bookmarkEnd w:id="1"/>
      <w:r>
        <w:rPr>
          <w:rFonts w:ascii="Times New Roman" w:eastAsia="SimSun" w:hAnsi="Times New Roman"/>
        </w:rPr>
        <w:t>II. RELATED WORK AND RESEARCH POSITIONING</w:t>
      </w:r>
    </w:p>
    <w:p w14:paraId="50939531" w14:textId="77777777" w:rsidR="007E1590" w:rsidRDefault="00074FEE">
      <w:pPr>
        <w:pStyle w:val="FirstParagraph"/>
        <w:ind w:firstLine="202"/>
        <w:jc w:val="both"/>
      </w:pPr>
      <w:r>
        <w:rPr>
          <w:color w:val="000000"/>
        </w:rPr>
        <w:t xml:space="preserve">Recent immersive-learning assistants connect </w:t>
      </w:r>
      <w:r>
        <w:rPr>
          <w:color w:val="000000"/>
        </w:rPr>
        <w:t>generative AI to concrete activities. Chheang et al. separately reported task performance, SUS, NASA-TLX, presence, and interviews for VR anatomy assistants [1]. Geris and Alce logged latency, response duration, and cost for voice-based XR tutoring [2], wh</w:t>
      </w:r>
      <w:r>
        <w:rPr>
          <w:color w:val="000000"/>
        </w:rPr>
        <w:t>ile SpatialTutor combined object awareness, spatial guidance, and LLM support for procedural training [3]. These studies motivate separating interaction performance, task outcomes, subjective experience, and learning effects.</w:t>
      </w:r>
    </w:p>
    <w:p w14:paraId="48CF65E5" w14:textId="77777777" w:rsidR="007E1590" w:rsidRDefault="00074FEE">
      <w:pPr>
        <w:pStyle w:val="a0"/>
        <w:ind w:firstLine="202"/>
        <w:jc w:val="both"/>
      </w:pPr>
      <w:r>
        <w:rPr>
          <w:color w:val="000000"/>
        </w:rPr>
        <w:t xml:space="preserve">The present work focuses on the correspondence between microscopy learning activities and guidance. An operation must be genuinely available in the current interface, and its resulting feedback must be explained within an explicit </w:t>
      </w:r>
      <w:r>
        <w:rPr>
          <w:color w:val="000000"/>
        </w:rPr>
        <w:lastRenderedPageBreak/>
        <w:t>scientific boundary of th</w:t>
      </w:r>
      <w:r>
        <w:rPr>
          <w:color w:val="000000"/>
        </w:rPr>
        <w:t>e simulation. We therefore treat the AI as a constrained tutoring layer embedded in the experimental environment rather than as an autonomous instrument-controlling agent, and we report implementation-level constraint behavior separately from user-level us</w:t>
      </w:r>
      <w:r>
        <w:rPr>
          <w:color w:val="000000"/>
        </w:rPr>
        <w:t>ability outcomes.</w:t>
      </w:r>
    </w:p>
    <w:p w14:paraId="5784EE03" w14:textId="77777777" w:rsidR="007E1590" w:rsidRDefault="00074FEE">
      <w:pPr>
        <w:pStyle w:val="a0"/>
        <w:ind w:firstLine="202"/>
        <w:jc w:val="both"/>
      </w:pPr>
      <w:r>
        <w:rPr>
          <w:color w:val="000000"/>
        </w:rPr>
        <w:t>Quantitative confocal microscopy provides a scientific reference [4], and educational resources inform the NA and spatial-frequency modules [5], [6]. The project nevertheless lacks a calibrated acquisition pipeline, so its graphical mappi</w:t>
      </w:r>
      <w:r>
        <w:rPr>
          <w:color w:val="000000"/>
        </w:rPr>
        <w:t>ngs are not treated as physical measurements.</w:t>
      </w:r>
    </w:p>
    <w:p w14:paraId="21ABD18B" w14:textId="77777777" w:rsidR="007E1590" w:rsidRDefault="00074FEE">
      <w:pPr>
        <w:pStyle w:val="2"/>
        <w:spacing w:before="200" w:after="100"/>
        <w:jc w:val="center"/>
      </w:pPr>
      <w:bookmarkStart w:id="3" w:name="X6636626a9e7c6299af7b6ca9ce813d9782899c5"/>
      <w:bookmarkEnd w:id="2"/>
      <w:r>
        <w:rPr>
          <w:rFonts w:ascii="Times New Roman" w:eastAsia="SimSun" w:hAnsi="Times New Roman"/>
        </w:rPr>
        <w:t>III. VR EXPERIMENTAL ENVIRONMENT AND SIMULATION BOUNDARIES</w:t>
      </w:r>
    </w:p>
    <w:p w14:paraId="57927CEA" w14:textId="77777777" w:rsidR="007E1590" w:rsidRDefault="00074FEE">
      <w:pPr>
        <w:pStyle w:val="3"/>
        <w:spacing w:before="140" w:after="60"/>
      </w:pPr>
      <w:bookmarkStart w:id="4" w:name="X8bc623088716b7efad63f3671d23ac0b5e13fb9"/>
      <w:r>
        <w:rPr>
          <w:rFonts w:eastAsia="SimSun"/>
          <w:i/>
        </w:rPr>
        <w:t>A. Laboratory Organization and Interaction States</w:t>
      </w:r>
    </w:p>
    <w:p w14:paraId="29CEF86C" w14:textId="77777777" w:rsidR="007E1590" w:rsidRDefault="00074FEE">
      <w:pPr>
        <w:pStyle w:val="FirstParagraph"/>
        <w:ind w:firstLine="202"/>
        <w:jc w:val="both"/>
      </w:pPr>
      <w:r>
        <w:rPr>
          <w:color w:val="000000"/>
        </w:rPr>
        <w:t xml:space="preserve">The Unity laboratory supports desktop and XR interaction. </w:t>
      </w:r>
      <w:r>
        <w:rPr>
          <w:rStyle w:val="VerbatimChar"/>
          <w:rFonts w:ascii="Times New Roman" w:hAnsi="Times New Roman"/>
          <w:color w:val="000000"/>
          <w:sz w:val="20"/>
        </w:rPr>
        <w:t>Roaming</w:t>
      </w:r>
      <w:r>
        <w:rPr>
          <w:color w:val="000000"/>
        </w:rPr>
        <w:t xml:space="preserve">, </w:t>
      </w:r>
      <w:r>
        <w:rPr>
          <w:rStyle w:val="VerbatimChar"/>
          <w:rFonts w:ascii="Times New Roman" w:hAnsi="Times New Roman"/>
          <w:color w:val="000000"/>
          <w:sz w:val="20"/>
        </w:rPr>
        <w:t>Observing</w:t>
      </w:r>
      <w:r>
        <w:rPr>
          <w:color w:val="000000"/>
        </w:rPr>
        <w:t xml:space="preserve">, and </w:t>
      </w:r>
      <w:r>
        <w:rPr>
          <w:rStyle w:val="VerbatimChar"/>
          <w:rFonts w:ascii="Times New Roman" w:hAnsi="Times New Roman"/>
          <w:color w:val="000000"/>
          <w:sz w:val="20"/>
        </w:rPr>
        <w:t>Tutorial</w:t>
      </w:r>
      <w:r>
        <w:rPr>
          <w:color w:val="000000"/>
        </w:rPr>
        <w:t xml:space="preserve"> states coe</w:t>
      </w:r>
      <w:r>
        <w:rPr>
          <w:color w:val="000000"/>
        </w:rPr>
        <w:t>xist with local component and experiment states; viewpoint, object activation, permissions, and interface visibility determine available activities. Deferred state transitions and separate tutorial checks reduce conflicting input responses. The AI dialog b</w:t>
      </w:r>
      <w:r>
        <w:rPr>
          <w:color w:val="000000"/>
        </w:rPr>
        <w:t>locks experimental input, so learners close it before acting. Figure 1 connects specimen handling, observation, adjustment, component inspection, and linked experiments in their shared laboratory.</w:t>
      </w:r>
    </w:p>
    <w:p w14:paraId="041D11CB"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p w14:paraId="6A4041F4" w14:textId="77777777" w:rsidR="007E1590" w:rsidRDefault="00074FEE">
      <w:pPr>
        <w:pStyle w:val="a0"/>
        <w:keepNext/>
        <w:spacing w:before="160" w:after="80"/>
        <w:jc w:val="center"/>
      </w:pPr>
      <w:r>
        <w:rPr>
          <w:color w:val="000000"/>
          <w:sz w:val="16"/>
        </w:rPr>
        <w:t>TABLE I</w:t>
      </w:r>
      <w:r>
        <w:rPr>
          <w:color w:val="000000"/>
          <w:sz w:val="16"/>
        </w:rPr>
        <w:br/>
        <w:t>Inputs, outputs, and instruction</w:t>
      </w:r>
      <w:r>
        <w:rPr>
          <w:color w:val="000000"/>
          <w:sz w:val="16"/>
        </w:rPr>
        <w:t>al boundaries of the activities currently implemented in the project.</w:t>
      </w:r>
    </w:p>
    <w:tbl>
      <w:tblPr>
        <w:tblStyle w:val="Table"/>
        <w:tblW w:w="104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2610"/>
        <w:gridCol w:w="2610"/>
        <w:gridCol w:w="2610"/>
        <w:gridCol w:w="2610"/>
      </w:tblGrid>
      <w:tr w:rsidR="007E1590" w14:paraId="7BE09397" w14:textId="77777777" w:rsidTr="007E1590">
        <w:trPr>
          <w:cnfStyle w:val="100000000000" w:firstRow="1" w:lastRow="0" w:firstColumn="0" w:lastColumn="0" w:oddVBand="0" w:evenVBand="0" w:oddHBand="0" w:evenHBand="0" w:firstRowFirstColumn="0" w:firstRowLastColumn="0" w:lastRowFirstColumn="0" w:lastRowLastColumn="0"/>
          <w:cantSplit/>
          <w:tblHeader/>
          <w:jc w:val="center"/>
        </w:trPr>
        <w:tc>
          <w:tcPr>
            <w:tcW w:w="2610" w:type="dxa"/>
            <w:tcBorders>
              <w:bottom w:val="single" w:sz="4" w:space="0" w:color="auto"/>
            </w:tcBorders>
            <w:vAlign w:val="top"/>
          </w:tcPr>
          <w:p w14:paraId="3E2F2A19" w14:textId="77777777" w:rsidR="007E1590" w:rsidRDefault="00074FEE">
            <w:pPr>
              <w:pStyle w:val="Compact"/>
              <w:keepNext/>
              <w:spacing w:before="40" w:after="40"/>
            </w:pPr>
            <w:r>
              <w:rPr>
                <w:b/>
                <w:color w:val="000000"/>
                <w:sz w:val="16"/>
              </w:rPr>
              <w:t>Activity and player input</w:t>
            </w:r>
          </w:p>
        </w:tc>
        <w:tc>
          <w:tcPr>
            <w:tcW w:w="2610" w:type="dxa"/>
            <w:tcBorders>
              <w:bottom w:val="single" w:sz="4" w:space="0" w:color="auto"/>
            </w:tcBorders>
            <w:vAlign w:val="top"/>
          </w:tcPr>
          <w:p w14:paraId="326ECF9C" w14:textId="77777777" w:rsidR="007E1590" w:rsidRDefault="00074FEE">
            <w:pPr>
              <w:pStyle w:val="Compact"/>
              <w:keepNext/>
              <w:spacing w:before="40" w:after="40"/>
            </w:pPr>
            <w:r>
              <w:rPr>
                <w:b/>
                <w:color w:val="000000"/>
                <w:sz w:val="16"/>
              </w:rPr>
              <w:t>Actual output</w:t>
            </w:r>
          </w:p>
        </w:tc>
        <w:tc>
          <w:tcPr>
            <w:tcW w:w="2610" w:type="dxa"/>
            <w:tcBorders>
              <w:bottom w:val="single" w:sz="4" w:space="0" w:color="auto"/>
            </w:tcBorders>
            <w:vAlign w:val="top"/>
          </w:tcPr>
          <w:p w14:paraId="601F54EF" w14:textId="77777777" w:rsidR="007E1590" w:rsidRDefault="00074FEE">
            <w:pPr>
              <w:pStyle w:val="Compact"/>
              <w:keepNext/>
              <w:spacing w:before="40" w:after="40"/>
            </w:pPr>
            <w:r>
              <w:rPr>
                <w:b/>
                <w:color w:val="000000"/>
                <w:sz w:val="16"/>
              </w:rPr>
              <w:t>Intended instructional connection</w:t>
            </w:r>
          </w:p>
        </w:tc>
        <w:tc>
          <w:tcPr>
            <w:tcW w:w="2610" w:type="dxa"/>
            <w:tcBorders>
              <w:bottom w:val="single" w:sz="4" w:space="0" w:color="auto"/>
            </w:tcBorders>
            <w:vAlign w:val="top"/>
          </w:tcPr>
          <w:p w14:paraId="2D0A36AF" w14:textId="77777777" w:rsidR="007E1590" w:rsidRDefault="00074FEE">
            <w:pPr>
              <w:pStyle w:val="Compact"/>
              <w:keepNext/>
              <w:spacing w:before="40" w:after="40"/>
            </w:pPr>
            <w:r>
              <w:rPr>
                <w:b/>
                <w:color w:val="000000"/>
                <w:sz w:val="16"/>
              </w:rPr>
              <w:t>Modeling boundary</w:t>
            </w:r>
          </w:p>
        </w:tc>
      </w:tr>
      <w:tr w:rsidR="007E1590" w14:paraId="6E035122" w14:textId="77777777" w:rsidTr="007E1590">
        <w:trPr>
          <w:cantSplit/>
          <w:jc w:val="center"/>
        </w:trPr>
        <w:tc>
          <w:tcPr>
            <w:tcW w:w="2610" w:type="dxa"/>
          </w:tcPr>
          <w:p w14:paraId="718AF4A6" w14:textId="77777777" w:rsidR="007E1590" w:rsidRDefault="00074FEE">
            <w:pPr>
              <w:pStyle w:val="Compact"/>
              <w:keepNext/>
              <w:spacing w:before="40" w:after="40"/>
            </w:pPr>
            <w:r>
              <w:rPr>
                <w:color w:val="000000"/>
                <w:sz w:val="16"/>
              </w:rPr>
              <w:t>Pick up, place, observe, and remove a specimen</w:t>
            </w:r>
          </w:p>
        </w:tc>
        <w:tc>
          <w:tcPr>
            <w:tcW w:w="2610" w:type="dxa"/>
          </w:tcPr>
          <w:p w14:paraId="7AD87A9D" w14:textId="77777777" w:rsidR="007E1590" w:rsidRDefault="00074FEE">
            <w:pPr>
              <w:pStyle w:val="Compact"/>
              <w:keepNext/>
              <w:spacing w:before="40" w:after="40"/>
            </w:pPr>
            <w:r>
              <w:rPr>
                <w:color w:val="000000"/>
                <w:sz w:val="16"/>
              </w:rPr>
              <w:t>Changes to the runtime specimen’s parent object, pose, visibility, and observation environment</w:t>
            </w:r>
          </w:p>
        </w:tc>
        <w:tc>
          <w:tcPr>
            <w:tcW w:w="2610" w:type="dxa"/>
          </w:tcPr>
          <w:p w14:paraId="5DE4D20B" w14:textId="77777777" w:rsidR="007E1590" w:rsidRDefault="00074FEE">
            <w:pPr>
              <w:pStyle w:val="Compact"/>
              <w:keepNext/>
              <w:spacing w:before="40" w:after="40"/>
            </w:pPr>
            <w:r>
              <w:rPr>
                <w:color w:val="000000"/>
                <w:sz w:val="16"/>
              </w:rPr>
              <w:t>Connect specimen placement with instrument observation</w:t>
            </w:r>
          </w:p>
        </w:tc>
        <w:tc>
          <w:tcPr>
            <w:tcW w:w="2610" w:type="dxa"/>
          </w:tcPr>
          <w:p w14:paraId="2E5AD753" w14:textId="77777777" w:rsidR="007E1590" w:rsidRDefault="00074FEE">
            <w:pPr>
              <w:pStyle w:val="Compact"/>
              <w:keepNext/>
              <w:spacing w:before="40" w:after="40"/>
            </w:pPr>
            <w:r>
              <w:rPr>
                <w:color w:val="000000"/>
                <w:sz w:val="16"/>
              </w:rPr>
              <w:t>Scripted object manipulation; contact mechanics have not been validated</w:t>
            </w:r>
          </w:p>
        </w:tc>
      </w:tr>
      <w:tr w:rsidR="007E1590" w14:paraId="68C00A26" w14:textId="77777777" w:rsidTr="007E1590">
        <w:trPr>
          <w:cantSplit/>
          <w:jc w:val="center"/>
        </w:trPr>
        <w:tc>
          <w:tcPr>
            <w:tcW w:w="2610" w:type="dxa"/>
          </w:tcPr>
          <w:p w14:paraId="104C7838" w14:textId="77777777" w:rsidR="007E1590" w:rsidRDefault="00074FEE">
            <w:pPr>
              <w:pStyle w:val="Compact"/>
              <w:keepNext/>
              <w:spacing w:before="40" w:after="40"/>
            </w:pPr>
            <w:r>
              <w:rPr>
                <w:color w:val="000000"/>
                <w:sz w:val="16"/>
              </w:rPr>
              <w:t>Coarse/fine focusing and objective switching</w:t>
            </w:r>
          </w:p>
        </w:tc>
        <w:tc>
          <w:tcPr>
            <w:tcW w:w="2610" w:type="dxa"/>
          </w:tcPr>
          <w:p w14:paraId="60ACC15A" w14:textId="77777777" w:rsidR="007E1590" w:rsidRDefault="00074FEE">
            <w:pPr>
              <w:pStyle w:val="Compact"/>
              <w:keepNext/>
              <w:spacing w:before="40" w:after="40"/>
            </w:pPr>
            <w:r>
              <w:rPr>
                <w:color w:val="000000"/>
                <w:sz w:val="16"/>
              </w:rPr>
              <w:t>Visibility, transparency, rendering feedback, and field-of-view size vary with the focus parameter</w:t>
            </w:r>
          </w:p>
        </w:tc>
        <w:tc>
          <w:tcPr>
            <w:tcW w:w="2610" w:type="dxa"/>
          </w:tcPr>
          <w:p w14:paraId="5E827EB2" w14:textId="77777777" w:rsidR="007E1590" w:rsidRDefault="00074FEE">
            <w:pPr>
              <w:pStyle w:val="Compact"/>
              <w:keepNext/>
              <w:spacing w:before="40" w:after="40"/>
            </w:pPr>
            <w:r>
              <w:rPr>
                <w:color w:val="000000"/>
                <w:sz w:val="16"/>
              </w:rPr>
              <w:t>Search for an observable range first, t</w:t>
            </w:r>
            <w:r>
              <w:rPr>
                <w:color w:val="000000"/>
                <w:sz w:val="16"/>
              </w:rPr>
              <w:t>hen refine the adjustment</w:t>
            </w:r>
          </w:p>
        </w:tc>
        <w:tc>
          <w:tcPr>
            <w:tcW w:w="2610" w:type="dxa"/>
          </w:tcPr>
          <w:p w14:paraId="4F436D2C" w14:textId="77777777" w:rsidR="007E1590" w:rsidRDefault="00074FEE">
            <w:pPr>
              <w:pStyle w:val="Compact"/>
              <w:keepNext/>
              <w:spacing w:before="40" w:after="40"/>
            </w:pPr>
            <w:r>
              <w:rPr>
                <w:color w:val="000000"/>
                <w:sz w:val="16"/>
              </w:rPr>
              <w:t>Manually defined focus ranges; no confocal point-spread-function calculation</w:t>
            </w:r>
          </w:p>
        </w:tc>
      </w:tr>
      <w:tr w:rsidR="007E1590" w14:paraId="41EA9430" w14:textId="77777777" w:rsidTr="007E1590">
        <w:trPr>
          <w:cantSplit/>
          <w:jc w:val="center"/>
        </w:trPr>
        <w:tc>
          <w:tcPr>
            <w:tcW w:w="2610" w:type="dxa"/>
          </w:tcPr>
          <w:p w14:paraId="2A52337D" w14:textId="77777777" w:rsidR="007E1590" w:rsidRDefault="00074FEE">
            <w:pPr>
              <w:pStyle w:val="Compact"/>
              <w:keepNext/>
              <w:spacing w:before="40" w:after="40"/>
            </w:pPr>
            <w:r>
              <w:rPr>
                <w:color w:val="000000"/>
                <w:sz w:val="16"/>
              </w:rPr>
              <w:t>Adjust illumination</w:t>
            </w:r>
          </w:p>
        </w:tc>
        <w:tc>
          <w:tcPr>
            <w:tcW w:w="2610" w:type="dxa"/>
          </w:tcPr>
          <w:p w14:paraId="2E8E1A87" w14:textId="77777777" w:rsidR="007E1590" w:rsidRDefault="00074FEE">
            <w:pPr>
              <w:pStyle w:val="Compact"/>
              <w:keepNext/>
              <w:spacing w:before="40" w:after="40"/>
            </w:pPr>
            <w:r>
              <w:rPr>
                <w:color w:val="000000"/>
                <w:sz w:val="16"/>
              </w:rPr>
              <w:t>Changes to light-cone line width and the brightness input to the specimen shader</w:t>
            </w:r>
          </w:p>
        </w:tc>
        <w:tc>
          <w:tcPr>
            <w:tcW w:w="2610" w:type="dxa"/>
          </w:tcPr>
          <w:p w14:paraId="1C9C77E6" w14:textId="77777777" w:rsidR="007E1590" w:rsidRDefault="00074FEE">
            <w:pPr>
              <w:pStyle w:val="Compact"/>
              <w:keepNext/>
              <w:spacing w:before="40" w:after="40"/>
            </w:pPr>
            <w:r>
              <w:rPr>
                <w:color w:val="000000"/>
                <w:sz w:val="16"/>
              </w:rPr>
              <w:t>Compare illumination settings with observation resu</w:t>
            </w:r>
            <w:r>
              <w:rPr>
                <w:color w:val="000000"/>
                <w:sz w:val="16"/>
              </w:rPr>
              <w:t>lts</w:t>
            </w:r>
          </w:p>
        </w:tc>
        <w:tc>
          <w:tcPr>
            <w:tcW w:w="2610" w:type="dxa"/>
          </w:tcPr>
          <w:p w14:paraId="39B077A4" w14:textId="77777777" w:rsidR="007E1590" w:rsidRDefault="00074FEE">
            <w:pPr>
              <w:pStyle w:val="Compact"/>
              <w:keepNext/>
              <w:spacing w:before="40" w:after="40"/>
            </w:pPr>
            <w:r>
              <w:rPr>
                <w:color w:val="000000"/>
                <w:sz w:val="16"/>
              </w:rPr>
              <w:t>Dimensionless display gain, not calibrated illuminance</w:t>
            </w:r>
          </w:p>
        </w:tc>
      </w:tr>
      <w:tr w:rsidR="007E1590" w14:paraId="7F27E352" w14:textId="77777777" w:rsidTr="007E1590">
        <w:trPr>
          <w:cantSplit/>
          <w:jc w:val="center"/>
        </w:trPr>
        <w:tc>
          <w:tcPr>
            <w:tcW w:w="2610" w:type="dxa"/>
          </w:tcPr>
          <w:p w14:paraId="5F43C576" w14:textId="77777777" w:rsidR="007E1590" w:rsidRDefault="00074FEE">
            <w:pPr>
              <w:pStyle w:val="Compact"/>
              <w:keepNext/>
              <w:spacing w:before="40" w:after="40"/>
            </w:pPr>
            <w:r>
              <w:rPr>
                <w:color w:val="000000"/>
                <w:sz w:val="16"/>
              </w:rPr>
              <w:t>SuperAssembly and component selection</w:t>
            </w:r>
          </w:p>
        </w:tc>
        <w:tc>
          <w:tcPr>
            <w:tcW w:w="2610" w:type="dxa"/>
          </w:tcPr>
          <w:p w14:paraId="45FB1968" w14:textId="77777777" w:rsidR="007E1590" w:rsidRDefault="00074FEE">
            <w:pPr>
              <w:pStyle w:val="Compact"/>
              <w:keepNext/>
              <w:spacing w:before="40" w:after="40"/>
            </w:pPr>
            <w:r>
              <w:rPr>
                <w:color w:val="000000"/>
                <w:sz w:val="16"/>
              </w:rPr>
              <w:t>Exploded layout, component descriptions, and associated experiment buttons</w:t>
            </w:r>
          </w:p>
        </w:tc>
        <w:tc>
          <w:tcPr>
            <w:tcW w:w="2610" w:type="dxa"/>
          </w:tcPr>
          <w:p w14:paraId="4D0A86F1" w14:textId="77777777" w:rsidR="007E1590" w:rsidRDefault="00074FEE">
            <w:pPr>
              <w:pStyle w:val="Compact"/>
              <w:keepNext/>
              <w:spacing w:before="40" w:after="40"/>
            </w:pPr>
            <w:r>
              <w:rPr>
                <w:color w:val="000000"/>
                <w:sz w:val="16"/>
              </w:rPr>
              <w:t>Connect structure, function, and learning activities</w:t>
            </w:r>
          </w:p>
        </w:tc>
        <w:tc>
          <w:tcPr>
            <w:tcW w:w="2610" w:type="dxa"/>
          </w:tcPr>
          <w:p w14:paraId="27E7B56D" w14:textId="77777777" w:rsidR="007E1590" w:rsidRDefault="00074FEE">
            <w:pPr>
              <w:pStyle w:val="Compact"/>
              <w:keepNext/>
              <w:spacing w:before="40" w:after="40"/>
            </w:pPr>
            <w:r>
              <w:rPr>
                <w:color w:val="000000"/>
                <w:sz w:val="16"/>
              </w:rPr>
              <w:t xml:space="preserve">Illustrative separation; does </w:t>
            </w:r>
            <w:r>
              <w:rPr>
                <w:color w:val="000000"/>
                <w:sz w:val="16"/>
              </w:rPr>
              <w:t>not evaluate real mechanical assembly</w:t>
            </w:r>
          </w:p>
        </w:tc>
      </w:tr>
      <w:tr w:rsidR="007E1590" w14:paraId="4B6C6044" w14:textId="77777777" w:rsidTr="007E1590">
        <w:trPr>
          <w:cantSplit/>
          <w:jc w:val="center"/>
        </w:trPr>
        <w:tc>
          <w:tcPr>
            <w:tcW w:w="2610" w:type="dxa"/>
          </w:tcPr>
          <w:p w14:paraId="3848C0FE" w14:textId="77777777" w:rsidR="007E1590" w:rsidRDefault="00074FEE">
            <w:pPr>
              <w:pStyle w:val="Compact"/>
              <w:keepNext/>
              <w:spacing w:before="40" w:after="40"/>
            </w:pPr>
            <w:r>
              <w:rPr>
                <w:color w:val="000000"/>
                <w:sz w:val="16"/>
              </w:rPr>
              <w:t>Adjust numerical aperture</w:t>
            </w:r>
          </w:p>
        </w:tc>
        <w:tc>
          <w:tcPr>
            <w:tcW w:w="2610" w:type="dxa"/>
          </w:tcPr>
          <w:p w14:paraId="5A20A205" w14:textId="77777777" w:rsidR="007E1590" w:rsidRDefault="00074FEE">
            <w:pPr>
              <w:pStyle w:val="Compact"/>
              <w:keepNext/>
              <w:spacing w:before="40" w:after="40"/>
            </w:pPr>
            <w:r>
              <w:rPr>
                <w:color w:val="000000"/>
                <w:sz w:val="16"/>
              </w:rPr>
              <w:t>Illustrative changes in light-cone geometry and specimen appearance</w:t>
            </w:r>
          </w:p>
        </w:tc>
        <w:tc>
          <w:tcPr>
            <w:tcW w:w="2610" w:type="dxa"/>
          </w:tcPr>
          <w:p w14:paraId="30F47A2D" w14:textId="77777777" w:rsidR="007E1590" w:rsidRDefault="00074FEE">
            <w:pPr>
              <w:pStyle w:val="Compact"/>
              <w:keepNext/>
              <w:spacing w:before="40" w:after="40"/>
            </w:pPr>
            <w:r>
              <w:rPr>
                <w:color w:val="000000"/>
                <w:sz w:val="16"/>
              </w:rPr>
              <w:t>Explore collection angle and NA</w:t>
            </w:r>
          </w:p>
        </w:tc>
        <w:tc>
          <w:tcPr>
            <w:tcW w:w="2610" w:type="dxa"/>
          </w:tcPr>
          <w:p w14:paraId="2DFFDA74" w14:textId="77777777" w:rsidR="007E1590" w:rsidRDefault="00074FEE">
            <w:pPr>
              <w:pStyle w:val="Compact"/>
              <w:keepNext/>
              <w:spacing w:before="40" w:after="40"/>
            </w:pPr>
            <w:r>
              <w:rPr>
                <w:color w:val="000000"/>
                <w:sz w:val="16"/>
              </w:rPr>
              <w:t>Fixed-medium instructional model; NA does not uniquely determine magnification</w:t>
            </w:r>
          </w:p>
        </w:tc>
      </w:tr>
      <w:tr w:rsidR="007E1590" w14:paraId="0C024680" w14:textId="77777777" w:rsidTr="007E1590">
        <w:trPr>
          <w:cantSplit/>
          <w:jc w:val="center"/>
        </w:trPr>
        <w:tc>
          <w:tcPr>
            <w:tcW w:w="2610" w:type="dxa"/>
          </w:tcPr>
          <w:p w14:paraId="17B5FF86" w14:textId="77777777" w:rsidR="007E1590" w:rsidRDefault="00074FEE">
            <w:pPr>
              <w:pStyle w:val="Compact"/>
              <w:keepNext/>
              <w:spacing w:before="40" w:after="40"/>
            </w:pPr>
            <w:r>
              <w:rPr>
                <w:color w:val="000000"/>
                <w:sz w:val="16"/>
              </w:rPr>
              <w:t>Select spatial frequency and illumination</w:t>
            </w:r>
          </w:p>
        </w:tc>
        <w:tc>
          <w:tcPr>
            <w:tcW w:w="2610" w:type="dxa"/>
          </w:tcPr>
          <w:p w14:paraId="3C1883F5" w14:textId="77777777" w:rsidR="007E1590" w:rsidRDefault="00074FEE">
            <w:pPr>
              <w:pStyle w:val="Compact"/>
              <w:keepNext/>
              <w:spacing w:before="40" w:after="40"/>
            </w:pPr>
            <w:r>
              <w:rPr>
                <w:color w:val="000000"/>
                <w:sz w:val="16"/>
              </w:rPr>
              <w:t>Grating/diffraction illustration and a Fourier display derived from the specimen texture</w:t>
            </w:r>
          </w:p>
        </w:tc>
        <w:tc>
          <w:tcPr>
            <w:tcW w:w="2610" w:type="dxa"/>
          </w:tcPr>
          <w:p w14:paraId="138B2466" w14:textId="77777777" w:rsidR="007E1590" w:rsidRDefault="00074FEE">
            <w:pPr>
              <w:pStyle w:val="Compact"/>
              <w:keepNext/>
              <w:spacing w:before="40" w:after="40"/>
            </w:pPr>
            <w:r>
              <w:rPr>
                <w:color w:val="000000"/>
                <w:sz w:val="16"/>
              </w:rPr>
              <w:t xml:space="preserve">Connect periodic structure, diffraction, and </w:t>
            </w:r>
            <w:r>
              <w:rPr>
                <w:color w:val="000000"/>
                <w:sz w:val="16"/>
              </w:rPr>
              <w:t>spectral support</w:t>
            </w:r>
          </w:p>
        </w:tc>
        <w:tc>
          <w:tcPr>
            <w:tcW w:w="2610" w:type="dxa"/>
          </w:tcPr>
          <w:p w14:paraId="5C002117" w14:textId="77777777" w:rsidR="007E1590" w:rsidRDefault="00074FEE">
            <w:pPr>
              <w:pStyle w:val="Compact"/>
              <w:keepNext/>
              <w:spacing w:before="40" w:after="40"/>
            </w:pPr>
            <w:r>
              <w:rPr>
                <w:color w:val="000000"/>
                <w:sz w:val="16"/>
              </w:rPr>
              <w:t>Simplified structured-illumination explanation</w:t>
            </w:r>
          </w:p>
        </w:tc>
      </w:tr>
      <w:tr w:rsidR="007E1590" w14:paraId="6CD507A9" w14:textId="77777777" w:rsidTr="007E1590">
        <w:trPr>
          <w:cantSplit/>
          <w:jc w:val="center"/>
        </w:trPr>
        <w:tc>
          <w:tcPr>
            <w:tcW w:w="2610" w:type="dxa"/>
          </w:tcPr>
          <w:p w14:paraId="4E57597E" w14:textId="77777777" w:rsidR="007E1590" w:rsidRDefault="00074FEE">
            <w:pPr>
              <w:pStyle w:val="Compact"/>
              <w:spacing w:before="40" w:after="40"/>
            </w:pPr>
            <w:r>
              <w:rPr>
                <w:color w:val="000000"/>
                <w:sz w:val="16"/>
              </w:rPr>
              <w:t>Select an SNOM probe and control the demonstration</w:t>
            </w:r>
          </w:p>
        </w:tc>
        <w:tc>
          <w:tcPr>
            <w:tcW w:w="2610" w:type="dxa"/>
          </w:tcPr>
          <w:p w14:paraId="08110B12" w14:textId="77777777" w:rsidR="007E1590" w:rsidRDefault="00074FEE">
            <w:pPr>
              <w:pStyle w:val="Compact"/>
              <w:spacing w:before="40" w:after="40"/>
            </w:pPr>
            <w:r>
              <w:rPr>
                <w:color w:val="000000"/>
                <w:sz w:val="16"/>
              </w:rPr>
              <w:t>Installation, tapping, scanning animations, and illustrative images</w:t>
            </w:r>
          </w:p>
        </w:tc>
        <w:tc>
          <w:tcPr>
            <w:tcW w:w="2610" w:type="dxa"/>
          </w:tcPr>
          <w:p w14:paraId="10E27248" w14:textId="77777777" w:rsidR="007E1590" w:rsidRDefault="00074FEE">
            <w:pPr>
              <w:pStyle w:val="Compact"/>
              <w:spacing w:before="40" w:after="40"/>
            </w:pPr>
            <w:r>
              <w:rPr>
                <w:color w:val="000000"/>
                <w:sz w:val="16"/>
              </w:rPr>
              <w:t>Understand the workflow of near-field microscopy</w:t>
            </w:r>
          </w:p>
        </w:tc>
        <w:tc>
          <w:tcPr>
            <w:tcW w:w="2610" w:type="dxa"/>
          </w:tcPr>
          <w:p w14:paraId="5A46E53C" w14:textId="77777777" w:rsidR="007E1590" w:rsidRDefault="00074FEE">
            <w:pPr>
              <w:pStyle w:val="Compact"/>
              <w:spacing w:before="40" w:after="40"/>
            </w:pPr>
            <w:r>
              <w:rPr>
                <w:color w:val="000000"/>
                <w:sz w:val="16"/>
              </w:rPr>
              <w:t>Procedural demonstratio</w:t>
            </w:r>
            <w:r>
              <w:rPr>
                <w:color w:val="000000"/>
                <w:sz w:val="16"/>
              </w:rPr>
              <w:t>n using synthetic outputs</w:t>
            </w:r>
          </w:p>
        </w:tc>
      </w:tr>
    </w:tbl>
    <w:p w14:paraId="4393C891"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17824B5A" w14:textId="77777777" w:rsidR="007E1590" w:rsidRDefault="00074FEE">
      <w:pPr>
        <w:pStyle w:val="3"/>
        <w:spacing w:before="140" w:after="60"/>
      </w:pPr>
      <w:bookmarkStart w:id="5" w:name="specimen-manipulation-and-observation"/>
      <w:bookmarkEnd w:id="4"/>
      <w:r>
        <w:rPr>
          <w:rFonts w:eastAsia="SimSun"/>
          <w:i/>
        </w:rPr>
        <w:t>B. Specimen Manipulation and Observation</w:t>
      </w:r>
    </w:p>
    <w:p w14:paraId="7C918C04" w14:textId="77777777" w:rsidR="007E1590" w:rsidRDefault="00074FEE">
      <w:pPr>
        <w:pStyle w:val="FirstParagraph"/>
        <w:ind w:firstLine="202"/>
        <w:jc w:val="both"/>
      </w:pPr>
      <w:r>
        <w:rPr>
          <w:color w:val="000000"/>
        </w:rPr>
        <w:t>Picking up a specimen creates a tagged runtime copy attached to the hand. Distance and held-object checks gate placement; the program then standardizes pose and scale in t</w:t>
      </w:r>
      <w:r>
        <w:rPr>
          <w:color w:val="000000"/>
        </w:rPr>
        <w:t>he observation environment. Ownership, focus-dependent visibility, and observation mode remain separate. A microscopic camera renders the instrument view to its screen, and objective switching changes that camera’s orthographic size.</w:t>
      </w:r>
    </w:p>
    <w:p w14:paraId="76B56ADD" w14:textId="77777777" w:rsidR="007E1590" w:rsidRDefault="00074FEE">
      <w:pPr>
        <w:pStyle w:val="3"/>
        <w:spacing w:before="140" w:after="60"/>
      </w:pPr>
      <w:bookmarkStart w:id="6" w:name="focus-objectives-and-illumination"/>
      <w:bookmarkEnd w:id="5"/>
      <w:r>
        <w:rPr>
          <w:rFonts w:eastAsia="SimSun"/>
          <w:i/>
        </w:rPr>
        <w:t xml:space="preserve">C. Focus, </w:t>
      </w:r>
      <w:r>
        <w:rPr>
          <w:rFonts w:eastAsia="SimSun"/>
          <w:i/>
        </w:rPr>
        <w:t>Objectives, and Illumination</w:t>
      </w:r>
    </w:p>
    <w:p w14:paraId="28D19267" w14:textId="77777777" w:rsidR="007E1590" w:rsidRDefault="00074FEE">
      <w:pPr>
        <w:pStyle w:val="FirstParagraph"/>
        <w:ind w:firstLine="202"/>
        <w:jc w:val="both"/>
      </w:pPr>
      <w:r>
        <w:rPr>
          <w:color w:val="000000"/>
        </w:rPr>
        <w:t xml:space="preserve">The focusing activity uses coarse adjustment to find an observable specimen range and fine adjustment to refine the display. Let </w:t>
      </w:r>
      <m:oMath>
        <m:r>
          <w:rPr>
            <w:rFonts w:ascii="Cambria Math" w:hAnsi="Cambria Math"/>
          </w:rPr>
          <m:t>v</m:t>
        </m:r>
      </m:oMath>
      <w:r>
        <w:rPr>
          <w:color w:val="000000"/>
        </w:rPr>
        <w:t xml:space="preserve"> be the dimensionless slider value and </w:t>
      </w:r>
      <m:oMath>
        <m:r>
          <w:rPr>
            <w:rFonts w:ascii="Cambria Math" w:hAnsi="Cambria Math"/>
          </w:rPr>
          <m:t>j</m:t>
        </m:r>
      </m:oMath>
      <w:r>
        <w:rPr>
          <w:color w:val="000000"/>
        </w:rPr>
        <w:t xml:space="preserve"> </w:t>
      </w:r>
      <w:r>
        <w:rPr>
          <w:color w:val="000000"/>
        </w:rPr>
        <w:t xml:space="preserve">the objective index. For each objective, </w:t>
      </w:r>
      <m:oMath>
        <m:sSub>
          <m:sSubPr>
            <m:ctrlPr>
              <w:rPr>
                <w:rFonts w:ascii="Cambria Math" w:hAnsi="Cambria Math"/>
              </w:rPr>
            </m:ctrlPr>
          </m:sSubPr>
          <m:e>
            <m:r>
              <w:rPr>
                <w:rFonts w:ascii="Cambria Math" w:hAnsi="Cambria Math"/>
              </w:rPr>
              <m:t>f</m:t>
            </m:r>
          </m:e>
          <m:sub>
            <m:r>
              <w:rPr>
                <w:rFonts w:ascii="Cambria Math" w:hAnsi="Cambria Math"/>
              </w:rPr>
              <m:t>j</m:t>
            </m:r>
          </m:sub>
        </m:sSub>
      </m:oMath>
      <w:r>
        <w:rPr>
          <w:color w:val="000000"/>
        </w:rPr>
        <w:t xml:space="preserve"> is the focus center, </w:t>
      </w:r>
      <m:oMath>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xml:space="preserve"> the visibility half-width,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color w:val="000000"/>
        </w:rPr>
        <w:t xml:space="preserve"> the full-opacity half-width. </w:t>
      </w:r>
      <w:r>
        <w:rPr>
          <w:color w:val="000000"/>
        </w:rPr>
        <w:t xml:space="preserve">With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oMath>
      <w:r>
        <w:rPr>
          <w:color w:val="000000"/>
        </w:rPr>
        <w:t xml:space="preserve">, the specimen is active within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with opacity</w:t>
      </w:r>
    </w:p>
    <w:p w14:paraId="0AEA4579" w14:textId="77777777" w:rsidR="007E1590" w:rsidRDefault="00074FEE">
      <w:pPr>
        <w:pStyle w:val="a0"/>
        <w:spacing w:before="120" w:after="120"/>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den>
                    </m:f>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e>
                </m:mr>
              </m:m>
            </m:e>
          </m:d>
        </m:oMath>
      </m:oMathPara>
    </w:p>
    <w:p w14:paraId="5877F471" w14:textId="77777777" w:rsidR="007E1590" w:rsidRDefault="00074FEE">
      <w:pPr>
        <w:pStyle w:val="FirstParagraph"/>
        <w:ind w:firstLine="202"/>
        <w:jc w:val="both"/>
      </w:pPr>
      <w:r>
        <w:rPr>
          <w:color w:val="000000"/>
        </w:rPr>
        <w:t xml:space="preserve">Outside this interval the specimen is hidden; within it, a rendering-focus parameter is </w:t>
      </w:r>
      <m:oMath>
        <m:r>
          <w:rPr>
            <w:rFonts w:ascii="Cambria Math" w:hAnsi="Cambria Math"/>
          </w:rPr>
          <m:t>300</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color w:val="000000"/>
        </w:rPr>
        <w:t>. Objective labels 5, 10, 50, and 100 use half-widths 0.17, 0.13, 0.07, and 0.04, with a 25:1 coarse/fine increment ratio. These are visual-fe</w:t>
      </w:r>
      <w:r>
        <w:rPr>
          <w:color w:val="000000"/>
        </w:rPr>
        <w:t>edback parameters, not calibrated displacement or pinhole transmission.</w:t>
      </w:r>
    </w:p>
    <w:p w14:paraId="0CE989D1" w14:textId="77777777" w:rsidR="007E1590" w:rsidRDefault="00074FEE">
      <w:pPr>
        <w:pStyle w:val="a0"/>
        <w:ind w:firstLine="202"/>
        <w:jc w:val="both"/>
      </w:pPr>
      <w:r>
        <w:rPr>
          <w:color w:val="000000"/>
        </w:rPr>
        <w:t xml:space="preserve">Objective switching rotates the turret and changes viewing scale; illumination changes light-line width and a dimensionless shader input. Focus centers, display gain, and camera sizes </w:t>
      </w:r>
      <w:r>
        <w:rPr>
          <w:color w:val="000000"/>
        </w:rPr>
        <w:t>are software parameters requiring separate physical calibration.</w:t>
      </w:r>
    </w:p>
    <w:p w14:paraId="7658C694"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0"/>
        <w:gridCol w:w="5220"/>
      </w:tblGrid>
      <w:tr w:rsidR="007E1590" w14:paraId="7221F656" w14:textId="77777777" w:rsidTr="007E1590">
        <w:trPr>
          <w:cnfStyle w:val="100000000000" w:firstRow="1" w:lastRow="0" w:firstColumn="0" w:lastColumn="0" w:oddVBand="0" w:evenVBand="0" w:oddHBand="0" w:evenHBand="0" w:firstRowFirstColumn="0" w:firstRowLastColumn="0" w:lastRowFirstColumn="0" w:lastRowLastColumn="0"/>
          <w:cantSplit/>
          <w:jc w:val="center"/>
        </w:trPr>
        <w:tc>
          <w:tcPr>
            <w:tcW w:w="5220" w:type="dxa"/>
            <w:vAlign w:val="top"/>
          </w:tcPr>
          <w:p w14:paraId="46C709AF" w14:textId="77777777" w:rsidR="007E1590" w:rsidRDefault="00074FEE">
            <w:pPr>
              <w:keepNext/>
              <w:jc w:val="center"/>
            </w:pPr>
            <w:r>
              <w:rPr>
                <w:noProof/>
              </w:rPr>
              <w:lastRenderedPageBreak/>
              <w:drawing>
                <wp:inline distT="0" distB="0" distL="0" distR="0" wp14:anchorId="38067D66" wp14:editId="6C058B71">
                  <wp:extent cx="3136392" cy="1700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实验室全景.png"/>
                          <pic:cNvPicPr/>
                        </pic:nvPicPr>
                        <pic:blipFill>
                          <a:blip r:embed="rId5"/>
                          <a:stretch>
                            <a:fillRect/>
                          </a:stretch>
                        </pic:blipFill>
                        <pic:spPr>
                          <a:xfrm>
                            <a:off x="0" y="0"/>
                            <a:ext cx="3136392" cy="1700193"/>
                          </a:xfrm>
                          <a:prstGeom prst="rect">
                            <a:avLst/>
                          </a:prstGeom>
                        </pic:spPr>
                      </pic:pic>
                    </a:graphicData>
                  </a:graphic>
                </wp:inline>
              </w:drawing>
            </w:r>
          </w:p>
          <w:p w14:paraId="5CCB6A65" w14:textId="77777777" w:rsidR="007E1590" w:rsidRDefault="00074FEE">
            <w:pPr>
              <w:keepNext/>
              <w:spacing w:after="100"/>
              <w:jc w:val="center"/>
            </w:pPr>
            <w:r>
              <w:rPr>
                <w:color w:val="000000"/>
                <w:sz w:val="16"/>
              </w:rPr>
              <w:t>(a) Laboratory overview with microscope, specimen and assistant entry point.</w:t>
            </w:r>
          </w:p>
        </w:tc>
        <w:tc>
          <w:tcPr>
            <w:tcW w:w="5220" w:type="dxa"/>
            <w:vAlign w:val="top"/>
          </w:tcPr>
          <w:p w14:paraId="02BD8D25" w14:textId="77777777" w:rsidR="007E1590" w:rsidRDefault="00074FEE">
            <w:pPr>
              <w:keepNext/>
              <w:jc w:val="center"/>
            </w:pPr>
            <w:r>
              <w:rPr>
                <w:noProof/>
              </w:rPr>
              <w:drawing>
                <wp:inline distT="0" distB="0" distL="0" distR="0" wp14:anchorId="2BC36E1B" wp14:editId="0363C59F">
                  <wp:extent cx="3136392" cy="1674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样本区域.png"/>
                          <pic:cNvPicPr/>
                        </pic:nvPicPr>
                        <pic:blipFill>
                          <a:blip r:embed="rId6"/>
                          <a:stretch>
                            <a:fillRect/>
                          </a:stretch>
                        </pic:blipFill>
                        <pic:spPr>
                          <a:xfrm>
                            <a:off x="0" y="0"/>
                            <a:ext cx="3136392" cy="1674972"/>
                          </a:xfrm>
                          <a:prstGeom prst="rect">
                            <a:avLst/>
                          </a:prstGeom>
                        </pic:spPr>
                      </pic:pic>
                    </a:graphicData>
                  </a:graphic>
                </wp:inline>
              </w:drawing>
            </w:r>
          </w:p>
          <w:p w14:paraId="3CDC7FDC" w14:textId="77777777" w:rsidR="007E1590" w:rsidRDefault="00074FEE">
            <w:pPr>
              <w:keepNext/>
              <w:spacing w:after="100"/>
              <w:jc w:val="center"/>
            </w:pPr>
            <w:r>
              <w:rPr>
                <w:color w:val="000000"/>
                <w:sz w:val="16"/>
              </w:rPr>
              <w:t>(b) Specimen handling area.</w:t>
            </w:r>
          </w:p>
        </w:tc>
      </w:tr>
      <w:tr w:rsidR="007E1590" w14:paraId="3FF8E512" w14:textId="77777777" w:rsidTr="007E1590">
        <w:trPr>
          <w:cantSplit/>
          <w:jc w:val="center"/>
        </w:trPr>
        <w:tc>
          <w:tcPr>
            <w:tcW w:w="5220" w:type="dxa"/>
          </w:tcPr>
          <w:p w14:paraId="1BF422CD" w14:textId="77777777" w:rsidR="007E1590" w:rsidRDefault="00074FEE">
            <w:pPr>
              <w:keepNext/>
              <w:jc w:val="center"/>
            </w:pPr>
            <w:r>
              <w:rPr>
                <w:noProof/>
              </w:rPr>
              <w:drawing>
                <wp:inline distT="0" distB="0" distL="0" distR="0" wp14:anchorId="25A12700" wp14:editId="3261F45B">
                  <wp:extent cx="3136392" cy="1707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部件拆解.png"/>
                          <pic:cNvPicPr/>
                        </pic:nvPicPr>
                        <pic:blipFill>
                          <a:blip r:embed="rId7"/>
                          <a:stretch>
                            <a:fillRect/>
                          </a:stretch>
                        </pic:blipFill>
                        <pic:spPr>
                          <a:xfrm>
                            <a:off x="0" y="0"/>
                            <a:ext cx="3136392" cy="1707706"/>
                          </a:xfrm>
                          <a:prstGeom prst="rect">
                            <a:avLst/>
                          </a:prstGeom>
                        </pic:spPr>
                      </pic:pic>
                    </a:graphicData>
                  </a:graphic>
                </wp:inline>
              </w:drawing>
            </w:r>
          </w:p>
          <w:p w14:paraId="7FE7D920" w14:textId="77777777" w:rsidR="007E1590" w:rsidRDefault="00074FEE">
            <w:pPr>
              <w:keepNext/>
              <w:spacing w:after="100"/>
              <w:jc w:val="center"/>
            </w:pPr>
            <w:r>
              <w:rPr>
                <w:color w:val="000000"/>
                <w:sz w:val="16"/>
              </w:rPr>
              <w:t>(c) Exploded component inspection.</w:t>
            </w:r>
          </w:p>
        </w:tc>
        <w:tc>
          <w:tcPr>
            <w:tcW w:w="5220" w:type="dxa"/>
          </w:tcPr>
          <w:p w14:paraId="7C81ABD7" w14:textId="77777777" w:rsidR="007E1590" w:rsidRDefault="00074FEE">
            <w:pPr>
              <w:keepNext/>
              <w:jc w:val="center"/>
            </w:pPr>
            <w:r>
              <w:rPr>
                <w:noProof/>
              </w:rPr>
              <w:drawing>
                <wp:inline distT="0" distB="0" distL="0" distR="0" wp14:anchorId="72E81A3A" wp14:editId="4D4314BC">
                  <wp:extent cx="3136392" cy="1751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 SNOM.png"/>
                          <pic:cNvPicPr/>
                        </pic:nvPicPr>
                        <pic:blipFill>
                          <a:blip r:embed="rId8"/>
                          <a:stretch>
                            <a:fillRect/>
                          </a:stretch>
                        </pic:blipFill>
                        <pic:spPr>
                          <a:xfrm>
                            <a:off x="0" y="0"/>
                            <a:ext cx="3136392" cy="1751694"/>
                          </a:xfrm>
                          <a:prstGeom prst="rect">
                            <a:avLst/>
                          </a:prstGeom>
                        </pic:spPr>
                      </pic:pic>
                    </a:graphicData>
                  </a:graphic>
                </wp:inline>
              </w:drawing>
            </w:r>
          </w:p>
          <w:p w14:paraId="15AA43D4" w14:textId="77777777" w:rsidR="007E1590" w:rsidRDefault="00074FEE">
            <w:pPr>
              <w:keepNext/>
              <w:spacing w:after="100"/>
              <w:jc w:val="center"/>
            </w:pPr>
            <w:r>
              <w:rPr>
                <w:color w:val="000000"/>
                <w:sz w:val="16"/>
              </w:rPr>
              <w:t xml:space="preserve">(d) SNOM </w:t>
            </w:r>
            <w:r>
              <w:rPr>
                <w:color w:val="000000"/>
                <w:sz w:val="16"/>
              </w:rPr>
              <w:t>probe-selection station.</w:t>
            </w:r>
          </w:p>
        </w:tc>
      </w:tr>
    </w:tbl>
    <w:p w14:paraId="4A78C133" w14:textId="77777777" w:rsidR="007E1590" w:rsidRDefault="00074FEE">
      <w:pPr>
        <w:pStyle w:val="a0"/>
        <w:keepLines/>
        <w:spacing w:before="60" w:after="160"/>
        <w:jc w:val="both"/>
      </w:pPr>
      <w:r>
        <w:rPr>
          <w:color w:val="000000"/>
          <w:sz w:val="16"/>
        </w:rPr>
        <w:t>Fig. 1. VRMicroscope learning environment and core activities. Learners handle specimens, observe microscope feedback, inspect components, and explore the SNOM workflow within one laboratory, with access to contextual assistant gu</w:t>
      </w:r>
      <w:r>
        <w:rPr>
          <w:color w:val="000000"/>
          <w:sz w:val="16"/>
        </w:rPr>
        <w:t>idance. The panels are runtime captures from the project and are shown as representative views.</w:t>
      </w:r>
    </w:p>
    <w:p w14:paraId="15989D51"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1AD7F376" w14:textId="77777777" w:rsidR="007E1590" w:rsidRDefault="00074FEE">
      <w:pPr>
        <w:pStyle w:val="3"/>
        <w:spacing w:before="140" w:after="60"/>
      </w:pPr>
      <w:bookmarkStart w:id="7" w:name="Xd84db27c43e9a436553c20785b931bab92343a9"/>
      <w:bookmarkEnd w:id="6"/>
      <w:r>
        <w:rPr>
          <w:rFonts w:eastAsia="SimSun"/>
          <w:i/>
        </w:rPr>
        <w:t>D. Structural Exploration and Tutorial Constraints</w:t>
      </w:r>
    </w:p>
    <w:p w14:paraId="69A3B0D5" w14:textId="77777777" w:rsidR="007E1590" w:rsidRDefault="00074FEE">
      <w:pPr>
        <w:pStyle w:val="FirstParagraph"/>
        <w:ind w:firstLine="202"/>
        <w:jc w:val="both"/>
      </w:pPr>
      <w:r>
        <w:rPr>
          <w:color w:val="000000"/>
        </w:rPr>
        <w:t xml:space="preserve">SuperAssembly separates parts from the model center; learners select expanded components to </w:t>
      </w:r>
      <w:r>
        <w:rPr>
          <w:color w:val="000000"/>
        </w:rPr>
        <w:t>access names, functions, and linked experiments. The upper optical assembly links to NA and the objective to spatial frequency, with the selected description and usable entry exposed as AI context. Tutorial checks record required operations, not conceptual</w:t>
      </w:r>
      <w:r>
        <w:rPr>
          <w:color w:val="000000"/>
        </w:rPr>
        <w:t xml:space="preserve"> mastery.</w:t>
      </w:r>
    </w:p>
    <w:p w14:paraId="47C3D9B5" w14:textId="77777777" w:rsidR="007E1590" w:rsidRDefault="00074FEE">
      <w:pPr>
        <w:pStyle w:val="3"/>
        <w:spacing w:before="140" w:after="60"/>
      </w:pPr>
      <w:bookmarkStart w:id="8" w:name="numerical-aperture-experiment"/>
      <w:bookmarkEnd w:id="7"/>
      <w:r>
        <w:rPr>
          <w:rFonts w:eastAsia="SimSun"/>
          <w:i/>
        </w:rPr>
        <w:t>E. Numerical-Aperture Experiment</w:t>
      </w:r>
    </w:p>
    <w:p w14:paraId="3F83D809" w14:textId="77777777" w:rsidR="007E1590" w:rsidRDefault="00074FEE">
      <w:pPr>
        <w:pStyle w:val="FirstParagraph"/>
        <w:ind w:firstLine="202"/>
        <w:jc w:val="both"/>
      </w:pPr>
      <w:r>
        <w:rPr>
          <w:color w:val="000000"/>
        </w:rPr>
        <w:t xml:space="preserve">The NA activity provides a slider range of 0.03–0.95 and uses a fixed refractive index </w:t>
      </w:r>
      <m:oMath>
        <m:r>
          <w:rPr>
            <w:rFonts w:ascii="Cambria Math" w:hAnsi="Cambria Math"/>
          </w:rPr>
          <m:t>n</m:t>
        </m:r>
        <m:r>
          <m:rPr>
            <m:sty m:val="p"/>
          </m:rPr>
          <w:rPr>
            <w:rFonts w:ascii="Cambria Math" w:hAnsi="Cambria Math"/>
          </w:rPr>
          <m:t>=</m:t>
        </m:r>
        <m:r>
          <w:rPr>
            <w:rFonts w:ascii="Cambria Math" w:hAnsi="Cambria Math"/>
          </w:rPr>
          <m:t>1</m:t>
        </m:r>
      </m:oMath>
      <w:r>
        <w:rPr>
          <w:color w:val="000000"/>
        </w:rPr>
        <w:t>:</w:t>
      </w:r>
    </w:p>
    <w:p w14:paraId="40039E99" w14:textId="77777777" w:rsidR="007E1590" w:rsidRDefault="00074FEE">
      <w:pPr>
        <w:pStyle w:val="a0"/>
        <w:spacing w:before="120" w:after="120"/>
        <w:jc w:val="center"/>
      </w:pPr>
      <m:oMathPara>
        <m:oMathParaPr>
          <m:jc m:val="center"/>
        </m:oMathParaPr>
        <m:oMath>
          <m:r>
            <m:rPr>
              <m:sty m:val="p"/>
            </m:rPr>
            <w:rPr>
              <w:rFonts w:ascii="Cambria Math" w:hAnsi="Cambria Math"/>
            </w:rPr>
            <m:t>NA=</m:t>
          </m:r>
          <m:r>
            <w:rPr>
              <w:rFonts w:ascii="Cambria Math" w:hAnsi="Cambria Math"/>
            </w:rPr>
            <m:t>n</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w:rPr>
              <w:rFonts w:ascii="Cambria Math" w:hAnsi="Cambria Math"/>
            </w:rPr>
            <m:t>θ</m:t>
          </m:r>
          <m:r>
            <m:rPr>
              <m:sty m:val="p"/>
            </m:rPr>
            <w:rPr>
              <w:rFonts w:ascii="Cambria Math" w:hAnsi="Cambria Math"/>
            </w:rPr>
            <m:t>=arcsin(NA/</m:t>
          </m:r>
          <m:r>
            <w:rPr>
              <w:rFonts w:ascii="Cambria Math" w:hAnsi="Cambria Math"/>
            </w:rPr>
            <m:t>n</m:t>
          </m:r>
          <m:r>
            <m:rPr>
              <m:sty m:val="p"/>
            </m:rPr>
            <w:rPr>
              <w:rFonts w:ascii="Cambria Math" w:hAnsi="Cambria Math"/>
            </w:rPr>
            <m:t>).</m:t>
          </m:r>
        </m:oMath>
      </m:oMathPara>
    </w:p>
    <w:p w14:paraId="65E81870" w14:textId="77777777" w:rsidR="007E1590" w:rsidRDefault="00074FEE">
      <w:pPr>
        <w:pStyle w:val="FirstParagraph"/>
        <w:ind w:firstLine="202"/>
        <w:jc w:val="both"/>
      </w:pPr>
      <w:r>
        <w:rPr>
          <w:color w:val="000000"/>
        </w:rPr>
        <w:t xml:space="preserve">Here </w:t>
      </w:r>
      <m:oMath>
        <m:r>
          <w:rPr>
            <w:rFonts w:ascii="Cambria Math" w:hAnsi="Cambria Math"/>
          </w:rPr>
          <m:t>θ</m:t>
        </m:r>
      </m:oMath>
      <w:r>
        <w:rPr>
          <w:color w:val="000000"/>
        </w:rPr>
        <w:t xml:space="preserve"> </w:t>
      </w:r>
      <w:r>
        <w:rPr>
          <w:color w:val="000000"/>
        </w:rPr>
        <w:t>is the collection-cone half-angle. The interface jointly updates angle and cone geometry, linking numerical input to visible change [5], [7]. Magnification anchors and appearance are illustrative: NA remains distinct from magnification, and changes are not</w:t>
      </w:r>
      <w:r>
        <w:rPr>
          <w:color w:val="000000"/>
        </w:rPr>
        <w:t xml:space="preserve"> quantitative brightness, depth-of-field, or resolution measurements.</w:t>
      </w:r>
    </w:p>
    <w:p w14:paraId="13FE7E1F" w14:textId="77777777" w:rsidR="007E1590" w:rsidRDefault="00074FEE">
      <w:pPr>
        <w:pStyle w:val="3"/>
        <w:spacing w:before="140" w:after="60"/>
      </w:pPr>
      <w:bookmarkStart w:id="9" w:name="X71d91d489048327d72b7c566727391abc89ff7c"/>
      <w:bookmarkEnd w:id="8"/>
      <w:r>
        <w:rPr>
          <w:rFonts w:eastAsia="SimSun"/>
          <w:i/>
        </w:rPr>
        <w:t>F. Spatial Frequency and Structured-Illumination Displays</w:t>
      </w:r>
    </w:p>
    <w:p w14:paraId="25392149" w14:textId="77777777" w:rsidR="007E1590" w:rsidRDefault="00074FEE">
      <w:pPr>
        <w:pStyle w:val="FirstParagraph"/>
        <w:ind w:firstLine="202"/>
        <w:jc w:val="both"/>
      </w:pPr>
      <w:r>
        <w:rPr>
          <w:color w:val="000000"/>
        </w:rPr>
        <w:t xml:space="preserve">The spatial-frequency interface offers gratings of 250, 125, and 62.5 lines/mm and illumination choices. For grating frequency </w:t>
      </w:r>
      <m:oMath>
        <m:sSub>
          <m:sSubPr>
            <m:ctrlPr>
              <w:rPr>
                <w:rFonts w:ascii="Cambria Math" w:hAnsi="Cambria Math"/>
              </w:rPr>
            </m:ctrlPr>
          </m:sSubPr>
          <m:e>
            <m:r>
              <w:rPr>
                <w:rFonts w:ascii="Cambria Math" w:hAnsi="Cambria Math"/>
              </w:rPr>
              <m:t>ν</m:t>
            </m:r>
          </m:e>
          <m:sub>
            <m:r>
              <w:rPr>
                <w:rFonts w:ascii="Cambria Math" w:hAnsi="Cambria Math"/>
              </w:rPr>
              <m:t>g</m:t>
            </m:r>
          </m:sub>
        </m:sSub>
      </m:oMath>
      <w:r>
        <w:rPr>
          <w:color w:val="000000"/>
        </w:rPr>
        <w:t xml:space="preserve">, illustrative wavelength </w:t>
      </w:r>
      <m:oMath>
        <m:r>
          <w:rPr>
            <w:rFonts w:ascii="Cambria Math" w:hAnsi="Cambria Math"/>
          </w:rPr>
          <m:t>λ</m:t>
        </m:r>
      </m:oMath>
      <w:r>
        <w:rPr>
          <w:color w:val="000000"/>
        </w:rPr>
        <w:t xml:space="preserve">, and illustrative focal length </w:t>
      </w:r>
      <m:oMath>
        <m:sSub>
          <m:sSubPr>
            <m:ctrlPr>
              <w:rPr>
                <w:rFonts w:ascii="Cambria Math" w:hAnsi="Cambria Math"/>
              </w:rPr>
            </m:ctrlPr>
          </m:sSubPr>
          <m:e>
            <m:r>
              <w:rPr>
                <w:rFonts w:ascii="Cambria Math" w:hAnsi="Cambria Math"/>
              </w:rPr>
              <m:t>f</m:t>
            </m:r>
          </m:e>
          <m:sub>
            <m:r>
              <m:rPr>
                <m:sty m:val="p"/>
              </m:rPr>
              <w:rPr>
                <w:rFonts w:ascii="Cambria Math" w:hAnsi="Cambria Math"/>
              </w:rPr>
              <m:t>obj</m:t>
            </m:r>
          </m:sub>
        </m:sSub>
      </m:oMath>
      <w:r>
        <w:rPr>
          <w:color w:val="000000"/>
        </w:rPr>
        <w:t>, the diagram uses</w:t>
      </w:r>
    </w:p>
    <w:p w14:paraId="1BBEC5F0" w14:textId="77777777" w:rsidR="007E1590" w:rsidRDefault="00074FEE">
      <w:pPr>
        <w:pStyle w:val="a0"/>
        <w:spacing w:before="120" w:after="120"/>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ν</m:t>
                  </m:r>
                </m:e>
                <m:sub>
                  <m:r>
                    <w:rPr>
                      <w:rFonts w:ascii="Cambria Math" w:hAnsi="Cambria Math"/>
                    </w:rPr>
                    <m:t>g</m:t>
                  </m:r>
                </m:sub>
              </m:sSub>
            </m:den>
          </m:f>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D</m:t>
              </m:r>
            </m:den>
          </m:f>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tan</m:t>
          </m:r>
          <m:r>
            <w:rPr>
              <w:rFonts w:ascii="Cambria Math" w:hAnsi="Cambria Math"/>
            </w:rPr>
            <m:t>ψ</m:t>
          </m:r>
          <m:r>
            <m:rPr>
              <m:sty m:val="p"/>
            </m:rPr>
            <w:rPr>
              <w:rFonts w:ascii="Cambria Math" w:hAnsi="Cambria Math"/>
            </w:rPr>
            <m:t>.</m:t>
          </m:r>
        </m:oMath>
      </m:oMathPara>
    </w:p>
    <w:p w14:paraId="00BC488E" w14:textId="77777777" w:rsidR="007E1590" w:rsidRDefault="00074FEE">
      <w:pPr>
        <w:pStyle w:val="FirstParagraph"/>
        <w:ind w:firstLine="202"/>
        <w:jc w:val="both"/>
      </w:pPr>
      <w:r>
        <w:rPr>
          <w:color w:val="000000"/>
        </w:rPr>
        <w:t xml:space="preserve">The symbol </w:t>
      </w:r>
      <m:oMath>
        <m:r>
          <w:rPr>
            <w:rFonts w:ascii="Cambria Math" w:hAnsi="Cambria Math"/>
          </w:rPr>
          <m:t>ρ</m:t>
        </m:r>
      </m:oMath>
      <w:r>
        <w:rPr>
          <w:color w:val="000000"/>
        </w:rPr>
        <w:t xml:space="preserve"> denotes the back-focal-plane offset, distinct from the specimen spectrum below. At small angles,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D</m:t>
        </m:r>
      </m:oMath>
      <w:r>
        <w:rPr>
          <w:color w:val="000000"/>
        </w:rPr>
        <w:t>, lin</w:t>
      </w:r>
      <w:r>
        <w:rPr>
          <w:color w:val="000000"/>
        </w:rPr>
        <w:t>king grating spacing to diffraction position [6], [8], [9].</w:t>
      </w:r>
    </w:p>
    <w:p w14:paraId="5238242F" w14:textId="77777777" w:rsidR="007E1590" w:rsidRDefault="00074FEE">
      <w:pPr>
        <w:pStyle w:val="a0"/>
        <w:ind w:firstLine="202"/>
        <w:jc w:val="both"/>
      </w:pPr>
      <w:r>
        <w:rPr>
          <w:color w:val="000000"/>
        </w:rPr>
        <w:t xml:space="preserve">A specimen texture becomes a scalar field; a separable Hann window reduces boundary effects [10], </w:t>
      </w:r>
      <m:oMath>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x</m:t>
            </m:r>
            <m:r>
              <m:rPr>
                <m:sty m:val="p"/>
              </m:rPr>
              <w:rPr>
                <w:rFonts w:ascii="Cambria Math" w:hAnsi="Cambria Math"/>
              </w:rPr>
              <m:t>+</m:t>
            </m:r>
            <m:r>
              <w:rPr>
                <w:rFonts w:ascii="Cambria Math" w:hAnsi="Cambria Math"/>
              </w:rPr>
              <m:t>y</m:t>
            </m:r>
          </m:sup>
        </m:sSup>
      </m:oMath>
      <w:r>
        <w:rPr>
          <w:color w:val="000000"/>
        </w:rPr>
        <w:t xml:space="preserve"> </w:t>
      </w:r>
      <w:r>
        <w:rPr>
          <w:color w:val="000000"/>
        </w:rPr>
        <w:t xml:space="preserve">centers zero frequency, and row/column radix-2 FFTs compute the spectrum [11]. The default is </w:t>
      </w:r>
      <m:oMath>
        <m:r>
          <w:rPr>
            <w:rFonts w:ascii="Cambria Math" w:hAnsi="Cambria Math"/>
          </w:rPr>
          <m:t>128</m:t>
        </m:r>
        <m:r>
          <m:rPr>
            <m:sty m:val="p"/>
          </m:rPr>
          <w:rPr>
            <w:rFonts w:ascii="Cambria Math" w:hAnsi="Cambria Math"/>
          </w:rPr>
          <m:t>×</m:t>
        </m:r>
        <m:r>
          <w:rPr>
            <w:rFonts w:ascii="Cambria Math" w:hAnsi="Cambria Math"/>
          </w:rPr>
          <m:t>128</m:t>
        </m:r>
      </m:oMath>
      <w:r>
        <w:rPr>
          <w:color w:val="000000"/>
        </w:rPr>
        <w:t xml:space="preserve"> (supported: 64–256 powers of two), followed by log compression and display normalization.</w:t>
      </w:r>
    </w:p>
    <w:p w14:paraId="4ED10C8C" w14:textId="77777777" w:rsidR="007E1590" w:rsidRDefault="00074FEE">
      <w:pPr>
        <w:pStyle w:val="a0"/>
        <w:ind w:firstLine="202"/>
        <w:jc w:val="both"/>
      </w:pPr>
      <w:r>
        <w:rPr>
          <w:color w:val="000000"/>
        </w:rPr>
        <w:t xml:space="preserve">Let </w:t>
      </w:r>
      <m:oMath>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Pr>
          <w:color w:val="000000"/>
        </w:rPr>
        <w:t xml:space="preserve"> be the specimen spectrum, </w:t>
      </w:r>
      <m:oMath>
        <m:sSub>
          <m:sSubPr>
            <m:ctrlPr>
              <w:rPr>
                <w:rFonts w:ascii="Cambria Math" w:hAnsi="Cambria Math"/>
              </w:rPr>
            </m:ctrlPr>
          </m:sSubPr>
          <m:e>
            <m:r>
              <m:rPr>
                <m:sty m:val="bi"/>
              </m:rPr>
              <w:rPr>
                <w:rFonts w:ascii="Cambria Math" w:hAnsi="Cambria Math"/>
              </w:rPr>
              <m:t>k</m:t>
            </m:r>
          </m:e>
          <m:sub>
            <m:r>
              <w:rPr>
                <w:rFonts w:ascii="Cambria Math" w:hAnsi="Cambria Math"/>
              </w:rPr>
              <m:t>0</m:t>
            </m:r>
          </m:sub>
        </m:sSub>
      </m:oMath>
      <w:r>
        <w:rPr>
          <w:color w:val="000000"/>
        </w:rPr>
        <w:t xml:space="preserve"> </w:t>
      </w:r>
      <w:r>
        <w:rPr>
          <w:color w:val="000000"/>
        </w:rPr>
        <w:t xml:space="preserve">the illumination carrier, </w:t>
      </w:r>
      <m:oMath>
        <m:r>
          <w:rPr>
            <w:rFonts w:ascii="Cambria Math" w:hAnsi="Cambria Math"/>
          </w:rPr>
          <m:t>μ</m:t>
        </m:r>
      </m:oMath>
      <w:r>
        <w:rPr>
          <w:color w:val="000000"/>
        </w:rPr>
        <w:t xml:space="preserve"> the modulation depth, and </w:t>
      </w:r>
      <m:oMath>
        <m:r>
          <w:rPr>
            <w:rFonts w:ascii="Cambria Math" w:hAnsi="Cambria Math"/>
          </w:rPr>
          <m:t>φ</m:t>
        </m:r>
      </m:oMath>
      <w:r>
        <w:rPr>
          <w:color w:val="000000"/>
        </w:rPr>
        <w:t xml:space="preserve"> the illumination phase. The standard SIM background is summarized by [12], [13]</w:t>
      </w:r>
    </w:p>
    <w:p w14:paraId="44DB2443" w14:textId="77777777" w:rsidR="007E1590" w:rsidRDefault="00074FEE">
      <w:pPr>
        <w:pStyle w:val="a0"/>
        <w:spacing w:before="120" w:after="120"/>
        <w:jc w:val="center"/>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φ</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opt</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e>
            </m:mr>
            <m:mr>
              <m:e>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mr>
            <m:mr>
              <m:e>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mr>
          </m:m>
        </m:oMath>
      </m:oMathPara>
    </w:p>
    <w:p w14:paraId="260AEA2B" w14:textId="77777777" w:rsidR="007E1590" w:rsidRDefault="00074FEE">
      <w:pPr>
        <w:pStyle w:val="FirstParagraph"/>
        <w:ind w:firstLine="202"/>
        <w:jc w:val="both"/>
      </w:pPr>
      <w:r>
        <w:rPr>
          <w:color w:val="000000"/>
        </w:rPr>
        <w:t xml:space="preserve">Here </w:t>
      </w: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rPr>
          <w:color w:val="000000"/>
        </w:rPr>
        <w:t xml:space="preserve"> is the theoretical optical transfer fu</w:t>
      </w:r>
      <w:r>
        <w:rPr>
          <w:color w:val="000000"/>
        </w:rPr>
        <w:t>nction. The current mixed-spectrum panel illustrates only one shifted sideband pair. Its magnitude before display mapping is</w:t>
      </w:r>
    </w:p>
    <w:p w14:paraId="0BC64692" w14:textId="77777777" w:rsidR="007E1590" w:rsidRDefault="00074FEE">
      <w:pPr>
        <w:pStyle w:val="a0"/>
        <w:spacing w:before="120" w:after="120"/>
        <w:jc w:val="center"/>
      </w:pPr>
      <m:oMathPara>
        <m:oMathParaPr>
          <m:jc m:val="center"/>
        </m:oMathParaPr>
        <m:oMath>
          <m:r>
            <w:rPr>
              <w:rFonts w:ascii="Cambria Math" w:hAnsi="Cambria Math"/>
            </w:rPr>
            <m:t>B</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demo</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d>
                <m:dPr>
                  <m:begChr m:val="["/>
                  <m:endChr m:val="]"/>
                  <m:ctrlPr>
                    <w:rPr>
                      <w:rFonts w:ascii="Cambria Math" w:hAnsi="Cambria Math"/>
                    </w:rPr>
                  </m:ctrlPr>
                </m:dPr>
                <m:e>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d>
            </m:e>
          </m:d>
          <m:r>
            <m:rPr>
              <m:sty m:val="p"/>
            </m:rPr>
            <w:rPr>
              <w:rFonts w:ascii="Cambria Math" w:hAnsi="Cambria Math"/>
            </w:rPr>
            <m:t>.</m:t>
          </m:r>
        </m:oMath>
      </m:oMathPara>
    </w:p>
    <w:p w14:paraId="508E0570" w14:textId="77777777" w:rsidR="007E1590" w:rsidRDefault="00074FEE">
      <w:pPr>
        <w:pStyle w:val="FirstParagraph"/>
        <w:ind w:firstLine="202"/>
        <w:jc w:val="both"/>
      </w:pPr>
      <m:oMath>
        <m:sSub>
          <m:sSubPr>
            <m:ctrlPr>
              <w:rPr>
                <w:rFonts w:ascii="Cambria Math" w:hAnsi="Cambria Math"/>
              </w:rPr>
            </m:ctrlPr>
          </m:sSubPr>
          <m:e>
            <m:r>
              <w:rPr>
                <w:rFonts w:ascii="Cambria Math" w:hAnsi="Cambria Math"/>
              </w:rPr>
              <m:t>P</m:t>
            </m:r>
          </m:e>
          <m:sub>
            <m:r>
              <m:rPr>
                <m:sty m:val="p"/>
              </m:rPr>
              <w:rPr>
                <w:rFonts w:ascii="Cambria Math" w:hAnsi="Cambria Math"/>
              </w:rPr>
              <m:t>demo</m:t>
            </m:r>
          </m:sub>
        </m:sSub>
      </m:oMath>
      <w:r>
        <w:rPr>
          <w:color w:val="000000"/>
        </w:rPr>
        <w:t xml:space="preserve"> is an implementation-defined pupil weight, not a measured </w:t>
      </w: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rPr>
          <w:color w:val="000000"/>
        </w:rPr>
        <w:t xml:space="preserve">; </w:t>
      </w:r>
      <m:oMath>
        <m:r>
          <w:rPr>
            <w:rFonts w:ascii="Cambria Math" w:hAnsi="Cambria Math"/>
          </w:rPr>
          <m:t>B</m:t>
        </m:r>
      </m:oMath>
      <w:r>
        <w:rPr>
          <w:color w:val="000000"/>
        </w:rPr>
        <w:t xml:space="preserve"> is further di</w:t>
      </w:r>
      <w:r>
        <w:rPr>
          <w:color w:val="000000"/>
        </w:rPr>
        <w:t>splay-mapped. A second panel combines central and shifted coverage at 0°, 60°, and 120°. The panels distinguish spectral translation from multi-</w:t>
      </w:r>
      <w:r>
        <w:rPr>
          <w:color w:val="000000"/>
        </w:rPr>
        <w:t>orientation coverage without multiphase acquisition, phase separation, or quantitative reconstruction.</w:t>
      </w:r>
    </w:p>
    <w:p w14:paraId="73736E94" w14:textId="77777777" w:rsidR="007E1590" w:rsidRDefault="00074FEE">
      <w:pPr>
        <w:pStyle w:val="a0"/>
        <w:ind w:firstLine="202"/>
        <w:jc w:val="both"/>
      </w:pPr>
      <w:r>
        <w:rPr>
          <w:color w:val="000000"/>
        </w:rPr>
        <w:t>The corre</w:t>
      </w:r>
      <w:r>
        <w:rPr>
          <w:color w:val="000000"/>
        </w:rPr>
        <w:t>sponding runtime feedback is summarized in Fig. 2.</w:t>
      </w:r>
    </w:p>
    <w:p w14:paraId="2E661C40"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3480"/>
        <w:gridCol w:w="1740"/>
        <w:gridCol w:w="1740"/>
        <w:gridCol w:w="3480"/>
      </w:tblGrid>
      <w:tr w:rsidR="007E1590" w14:paraId="1FAECFC4" w14:textId="77777777" w:rsidTr="007E1590">
        <w:trPr>
          <w:cnfStyle w:val="100000000000" w:firstRow="1" w:lastRow="0" w:firstColumn="0" w:lastColumn="0" w:oddVBand="0" w:evenVBand="0" w:oddHBand="0" w:evenHBand="0" w:firstRowFirstColumn="0" w:firstRowLastColumn="0" w:lastRowFirstColumn="0" w:lastRowLastColumn="0"/>
          <w:cantSplit/>
          <w:jc w:val="center"/>
        </w:trPr>
        <w:tc>
          <w:tcPr>
            <w:tcW w:w="3480" w:type="dxa"/>
            <w:vAlign w:val="top"/>
          </w:tcPr>
          <w:p w14:paraId="1E56A017" w14:textId="77777777" w:rsidR="007E1590" w:rsidRDefault="00074FEE">
            <w:pPr>
              <w:keepNext/>
              <w:jc w:val="center"/>
            </w:pPr>
            <w:r>
              <w:rPr>
                <w:noProof/>
              </w:rPr>
              <w:drawing>
                <wp:inline distT="0" distB="0" distL="0" distR="0" wp14:anchorId="217F5F45" wp14:editId="2E768DEB">
                  <wp:extent cx="2039112" cy="1122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 不同调焦状态.png"/>
                          <pic:cNvPicPr/>
                        </pic:nvPicPr>
                        <pic:blipFill>
                          <a:blip r:embed="rId9"/>
                          <a:stretch>
                            <a:fillRect/>
                          </a:stretch>
                        </pic:blipFill>
                        <pic:spPr>
                          <a:xfrm>
                            <a:off x="0" y="0"/>
                            <a:ext cx="2039112" cy="1122715"/>
                          </a:xfrm>
                          <a:prstGeom prst="rect">
                            <a:avLst/>
                          </a:prstGeom>
                        </pic:spPr>
                      </pic:pic>
                    </a:graphicData>
                  </a:graphic>
                </wp:inline>
              </w:drawing>
            </w:r>
          </w:p>
          <w:p w14:paraId="7C4847DA" w14:textId="77777777" w:rsidR="007E1590" w:rsidRDefault="00074FEE">
            <w:pPr>
              <w:keepNext/>
              <w:spacing w:after="100"/>
              <w:jc w:val="center"/>
            </w:pPr>
            <w:r>
              <w:rPr>
                <w:color w:val="000000"/>
                <w:sz w:val="16"/>
              </w:rPr>
              <w:t>(a) Focus state 1.</w:t>
            </w:r>
          </w:p>
        </w:tc>
        <w:tc>
          <w:tcPr>
            <w:tcW w:w="3480" w:type="dxa"/>
            <w:gridSpan w:val="2"/>
            <w:vAlign w:val="top"/>
          </w:tcPr>
          <w:p w14:paraId="7BF96A8E" w14:textId="77777777" w:rsidR="007E1590" w:rsidRDefault="00074FEE">
            <w:pPr>
              <w:keepNext/>
              <w:jc w:val="center"/>
            </w:pPr>
            <w:r>
              <w:rPr>
                <w:noProof/>
              </w:rPr>
              <w:drawing>
                <wp:inline distT="0" distB="0" distL="0" distR="0" wp14:anchorId="152F3E86" wp14:editId="507E5F77">
                  <wp:extent cx="2039112" cy="1124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 不同调焦状态.png"/>
                          <pic:cNvPicPr/>
                        </pic:nvPicPr>
                        <pic:blipFill>
                          <a:blip r:embed="rId10"/>
                          <a:stretch>
                            <a:fillRect/>
                          </a:stretch>
                        </pic:blipFill>
                        <pic:spPr>
                          <a:xfrm>
                            <a:off x="0" y="0"/>
                            <a:ext cx="2039112" cy="1124258"/>
                          </a:xfrm>
                          <a:prstGeom prst="rect">
                            <a:avLst/>
                          </a:prstGeom>
                        </pic:spPr>
                      </pic:pic>
                    </a:graphicData>
                  </a:graphic>
                </wp:inline>
              </w:drawing>
            </w:r>
          </w:p>
          <w:p w14:paraId="2A79CD3D" w14:textId="77777777" w:rsidR="007E1590" w:rsidRDefault="00074FEE">
            <w:pPr>
              <w:keepNext/>
              <w:spacing w:after="100"/>
              <w:jc w:val="center"/>
            </w:pPr>
            <w:r>
              <w:rPr>
                <w:color w:val="000000"/>
                <w:sz w:val="16"/>
              </w:rPr>
              <w:t>(b) Focus state 2.</w:t>
            </w:r>
          </w:p>
        </w:tc>
        <w:tc>
          <w:tcPr>
            <w:tcW w:w="3480" w:type="dxa"/>
            <w:vAlign w:val="top"/>
          </w:tcPr>
          <w:p w14:paraId="1DC3562F" w14:textId="77777777" w:rsidR="007E1590" w:rsidRDefault="00074FEE">
            <w:pPr>
              <w:keepNext/>
              <w:jc w:val="center"/>
            </w:pPr>
            <w:r>
              <w:rPr>
                <w:noProof/>
              </w:rPr>
              <w:drawing>
                <wp:inline distT="0" distB="0" distL="0" distR="0" wp14:anchorId="1B212855" wp14:editId="6214FF06">
                  <wp:extent cx="2039112" cy="1134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不同NA设置与光锥.png"/>
                          <pic:cNvPicPr/>
                        </pic:nvPicPr>
                        <pic:blipFill>
                          <a:blip r:embed="rId11"/>
                          <a:stretch>
                            <a:fillRect/>
                          </a:stretch>
                        </pic:blipFill>
                        <pic:spPr>
                          <a:xfrm>
                            <a:off x="0" y="0"/>
                            <a:ext cx="2039112" cy="1134340"/>
                          </a:xfrm>
                          <a:prstGeom prst="rect">
                            <a:avLst/>
                          </a:prstGeom>
                        </pic:spPr>
                      </pic:pic>
                    </a:graphicData>
                  </a:graphic>
                </wp:inline>
              </w:drawing>
            </w:r>
          </w:p>
          <w:p w14:paraId="69CE0550" w14:textId="77777777" w:rsidR="007E1590" w:rsidRDefault="00074FEE">
            <w:pPr>
              <w:keepNext/>
              <w:spacing w:after="100"/>
              <w:jc w:val="center"/>
            </w:pPr>
            <w:r>
              <w:rPr>
                <w:color w:val="000000"/>
                <w:sz w:val="16"/>
              </w:rPr>
              <w:t>(c) Numerical-aperture setting and light-cone feedback.</w:t>
            </w:r>
          </w:p>
        </w:tc>
      </w:tr>
      <w:tr w:rsidR="007E1590" w14:paraId="2FE0142A" w14:textId="77777777" w:rsidTr="007E1590">
        <w:trPr>
          <w:cantSplit/>
          <w:jc w:val="center"/>
        </w:trPr>
        <w:tc>
          <w:tcPr>
            <w:tcW w:w="5220" w:type="dxa"/>
            <w:gridSpan w:val="2"/>
          </w:tcPr>
          <w:p w14:paraId="106555CB" w14:textId="77777777" w:rsidR="007E1590" w:rsidRDefault="00074FEE">
            <w:pPr>
              <w:keepNext/>
              <w:jc w:val="center"/>
            </w:pPr>
            <w:r>
              <w:rPr>
                <w:noProof/>
              </w:rPr>
              <w:drawing>
                <wp:inline distT="0" distB="0" distL="0" distR="0" wp14:anchorId="5A886138" wp14:editId="3D068B98">
                  <wp:extent cx="3136392" cy="176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1 不同空间频率下的频谱.png"/>
                          <pic:cNvPicPr/>
                        </pic:nvPicPr>
                        <pic:blipFill>
                          <a:blip r:embed="rId12"/>
                          <a:stretch>
                            <a:fillRect/>
                          </a:stretch>
                        </pic:blipFill>
                        <pic:spPr>
                          <a:xfrm>
                            <a:off x="0" y="0"/>
                            <a:ext cx="3136392" cy="1763895"/>
                          </a:xfrm>
                          <a:prstGeom prst="rect">
                            <a:avLst/>
                          </a:prstGeom>
                        </pic:spPr>
                      </pic:pic>
                    </a:graphicData>
                  </a:graphic>
                </wp:inline>
              </w:drawing>
            </w:r>
          </w:p>
          <w:p w14:paraId="1A98FA15" w14:textId="77777777" w:rsidR="007E1590" w:rsidRDefault="00074FEE">
            <w:pPr>
              <w:keepNext/>
              <w:spacing w:after="100"/>
              <w:jc w:val="center"/>
            </w:pPr>
            <w:r>
              <w:rPr>
                <w:color w:val="000000"/>
                <w:sz w:val="16"/>
              </w:rPr>
              <w:t>(d) Higher carrier frequency.</w:t>
            </w:r>
          </w:p>
        </w:tc>
        <w:tc>
          <w:tcPr>
            <w:tcW w:w="5220" w:type="dxa"/>
            <w:gridSpan w:val="2"/>
          </w:tcPr>
          <w:p w14:paraId="79BEA6FB" w14:textId="77777777" w:rsidR="007E1590" w:rsidRDefault="00074FEE">
            <w:pPr>
              <w:keepNext/>
              <w:jc w:val="center"/>
            </w:pPr>
            <w:r>
              <w:rPr>
                <w:noProof/>
              </w:rPr>
              <w:drawing>
                <wp:inline distT="0" distB="0" distL="0" distR="0" wp14:anchorId="3F260F6D" wp14:editId="322A8DD5">
                  <wp:extent cx="3136392" cy="17545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 不同空间频率下的频谱.png"/>
                          <pic:cNvPicPr/>
                        </pic:nvPicPr>
                        <pic:blipFill>
                          <a:blip r:embed="rId13"/>
                          <a:stretch>
                            <a:fillRect/>
                          </a:stretch>
                        </pic:blipFill>
                        <pic:spPr>
                          <a:xfrm>
                            <a:off x="0" y="0"/>
                            <a:ext cx="3136392" cy="1754517"/>
                          </a:xfrm>
                          <a:prstGeom prst="rect">
                            <a:avLst/>
                          </a:prstGeom>
                        </pic:spPr>
                      </pic:pic>
                    </a:graphicData>
                  </a:graphic>
                </wp:inline>
              </w:drawing>
            </w:r>
          </w:p>
          <w:p w14:paraId="2218E398" w14:textId="77777777" w:rsidR="007E1590" w:rsidRDefault="00074FEE">
            <w:pPr>
              <w:keepNext/>
              <w:spacing w:after="100"/>
              <w:jc w:val="center"/>
            </w:pPr>
            <w:r>
              <w:rPr>
                <w:color w:val="000000"/>
                <w:sz w:val="16"/>
              </w:rPr>
              <w:t>(e) Lower carrier frequency.</w:t>
            </w:r>
          </w:p>
        </w:tc>
      </w:tr>
    </w:tbl>
    <w:p w14:paraId="42724FD9" w14:textId="77777777" w:rsidR="007E1590" w:rsidRDefault="00074FEE">
      <w:pPr>
        <w:pStyle w:val="a0"/>
        <w:keepLines/>
        <w:spacing w:before="60" w:after="160"/>
        <w:jc w:val="both"/>
      </w:pPr>
      <w:r>
        <w:rPr>
          <w:color w:val="000000"/>
          <w:sz w:val="16"/>
        </w:rPr>
        <w:t xml:space="preserve">Fig. 2. </w:t>
      </w:r>
      <w:r>
        <w:rPr>
          <w:color w:val="000000"/>
          <w:sz w:val="16"/>
        </w:rPr>
        <w:t>Mapping instructional inputs to observable feedback. Focus, NA, and illumination carrier affect specimen display, cone geometry, and sideband/support displays, respectively. The feedback combines authored mappings and simplified numerical visualization; th</w:t>
      </w:r>
      <w:r>
        <w:rPr>
          <w:color w:val="000000"/>
          <w:sz w:val="16"/>
        </w:rPr>
        <w:t>e captures identify the changed input rather than claiming calibrated optical measurements.</w:t>
      </w:r>
    </w:p>
    <w:p w14:paraId="366E0156"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3536215A" w14:textId="77777777" w:rsidR="007E1590" w:rsidRDefault="00074FEE">
      <w:pPr>
        <w:pStyle w:val="3"/>
        <w:spacing w:before="140" w:after="60"/>
      </w:pPr>
      <w:bookmarkStart w:id="10" w:name="thz-s-snom-demonstration"/>
      <w:bookmarkEnd w:id="9"/>
      <w:r>
        <w:rPr>
          <w:rFonts w:eastAsia="SimSun"/>
          <w:i/>
        </w:rPr>
        <w:t>G. THz s-SNOM Demonstration</w:t>
      </w:r>
    </w:p>
    <w:p w14:paraId="78AA3CC1" w14:textId="77777777" w:rsidR="007E1590" w:rsidRDefault="00074FEE">
      <w:pPr>
        <w:pStyle w:val="FirstParagraph"/>
        <w:ind w:firstLine="202"/>
        <w:jc w:val="both"/>
      </w:pPr>
      <w:r>
        <w:rPr>
          <w:color w:val="000000"/>
        </w:rPr>
        <w:t xml:space="preserve">The SNOM module covers probe selection, installation, startup, THz generation and propagation, tapping, near-field coupling, background suppression, and raster scanning [14]–[17]. Animation, a scan cursor, synthetic waveforms, and images connect stages to </w:t>
      </w:r>
      <w:r>
        <w:rPr>
          <w:color w:val="000000"/>
        </w:rPr>
        <w:t>outputs; higher-harmonic displays illustrate separating near-field contributions from background [16], [17]. Probe labels 3×, 2×, and 1× denote relative instructional detail. The module does not demodulate measured signals or perform amplitude/phase invers</w:t>
      </w:r>
      <w:r>
        <w:rPr>
          <w:color w:val="000000"/>
        </w:rPr>
        <w:t>ion or dielectric retrieval.</w:t>
      </w:r>
    </w:p>
    <w:p w14:paraId="35E9A7C2" w14:textId="77777777" w:rsidR="007E1590" w:rsidRDefault="00074FEE">
      <w:pPr>
        <w:pStyle w:val="2"/>
        <w:spacing w:before="200" w:after="100"/>
        <w:jc w:val="center"/>
      </w:pPr>
      <w:bookmarkStart w:id="11" w:name="X79ddf82425a520e21d5b50a5a020e8e49e0e30f"/>
      <w:bookmarkEnd w:id="3"/>
      <w:bookmarkEnd w:id="10"/>
      <w:r>
        <w:rPr>
          <w:rFonts w:ascii="Times New Roman" w:eastAsia="SimSun" w:hAnsi="Times New Roman"/>
        </w:rPr>
        <w:t>IV. AI GUIDANCE INTEGRATED WITH THE LABORATORY</w:t>
      </w:r>
    </w:p>
    <w:p w14:paraId="5FD589D4" w14:textId="77777777" w:rsidR="007E1590" w:rsidRDefault="00074FEE">
      <w:pPr>
        <w:pStyle w:val="3"/>
        <w:spacing w:before="140" w:after="60"/>
      </w:pPr>
      <w:bookmarkStart w:id="12" w:name="conversation-entry-and-knowledge-flow"/>
      <w:r>
        <w:rPr>
          <w:rFonts w:eastAsia="SimSun"/>
          <w:i/>
        </w:rPr>
        <w:t>A. Conversation Entry and Knowledge Flow</w:t>
      </w:r>
    </w:p>
    <w:p w14:paraId="1E156761" w14:textId="77777777" w:rsidR="007E1590" w:rsidRDefault="00074FEE">
      <w:pPr>
        <w:pStyle w:val="FirstParagraph"/>
        <w:ind w:firstLine="202"/>
        <w:jc w:val="both"/>
      </w:pPr>
      <w:r>
        <w:rPr>
          <w:color w:val="000000"/>
        </w:rPr>
        <w:t>A corner assistant provides local greetings and sends explicit questions through a Python gateway to DeepSeek. The gateway combines version</w:t>
      </w:r>
      <w:r>
        <w:rPr>
          <w:color w:val="000000"/>
        </w:rPr>
        <w:t xml:space="preserve">ed project knowledge, interaction descriptions, current snapshots, and a shared action catalog without exposing project files or the rendered view. Speech follows a separate entry path, producing an editable transcript before confirmation invokes the same </w:t>
      </w:r>
      <w:r>
        <w:rPr>
          <w:color w:val="000000"/>
        </w:rPr>
        <w:t>question-answering pipeline.</w:t>
      </w:r>
    </w:p>
    <w:p w14:paraId="362BB427"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p w14:paraId="45AB13AF" w14:textId="77777777" w:rsidR="007E1590" w:rsidRDefault="00074FEE">
      <w:pPr>
        <w:keepNext/>
        <w:jc w:val="center"/>
      </w:pPr>
      <w:r>
        <w:rPr>
          <w:noProof/>
        </w:rPr>
        <w:lastRenderedPageBreak/>
        <w:drawing>
          <wp:inline distT="0" distB="0" distL="0" distR="0" wp14:anchorId="258FF7ED" wp14:editId="1F2706E2">
            <wp:extent cx="6492240" cy="44658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chitecture.png"/>
                    <pic:cNvPicPr/>
                  </pic:nvPicPr>
                  <pic:blipFill>
                    <a:blip r:embed="rId14"/>
                    <a:stretch>
                      <a:fillRect/>
                    </a:stretch>
                  </pic:blipFill>
                  <pic:spPr>
                    <a:xfrm>
                      <a:off x="0" y="0"/>
                      <a:ext cx="6492240" cy="4465841"/>
                    </a:xfrm>
                    <a:prstGeom prst="rect">
                      <a:avLst/>
                    </a:prstGeom>
                  </pic:spPr>
                </pic:pic>
              </a:graphicData>
            </a:graphic>
          </wp:inline>
        </w:drawing>
      </w:r>
    </w:p>
    <w:p w14:paraId="4F1F0068" w14:textId="77777777" w:rsidR="007E1590" w:rsidRDefault="00074FEE">
      <w:pPr>
        <w:pStyle w:val="a0"/>
        <w:keepLines/>
        <w:spacing w:before="60" w:after="160"/>
        <w:jc w:val="both"/>
      </w:pPr>
      <w:r>
        <w:rPr>
          <w:color w:val="000000"/>
          <w:sz w:val="16"/>
        </w:rPr>
        <w:t>Fig. 3. State-constrained question-answering architecture. The model selects candidate explanations or guidance, while application code checks availability, renders operating instructions, and verifies fres</w:t>
      </w:r>
      <w:r>
        <w:rPr>
          <w:color w:val="000000"/>
          <w:sz w:val="16"/>
        </w:rPr>
        <w:t>hness. Format repair retains the same permissions; learners execute experimental operations.</w:t>
      </w:r>
    </w:p>
    <w:p w14:paraId="735F7BD5"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311E835B" w14:textId="77777777" w:rsidR="007E1590" w:rsidRDefault="00074FEE">
      <w:pPr>
        <w:pStyle w:val="3"/>
        <w:spacing w:before="140" w:after="60"/>
      </w:pPr>
      <w:bookmarkStart w:id="13" w:name="task-state-and-available-activities"/>
      <w:bookmarkEnd w:id="12"/>
      <w:r>
        <w:rPr>
          <w:rFonts w:eastAsia="SimSun"/>
          <w:i/>
        </w:rPr>
        <w:t>B. Task State and Available Activities</w:t>
      </w:r>
    </w:p>
    <w:p w14:paraId="7AA1FFF7"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p w14:paraId="33E592A1" w14:textId="77777777" w:rsidR="007E1590" w:rsidRDefault="00074FEE">
      <w:pPr>
        <w:pStyle w:val="FirstParagraph"/>
        <w:keepNext/>
        <w:spacing w:before="160" w:after="80"/>
        <w:jc w:val="center"/>
      </w:pPr>
      <w:r>
        <w:rPr>
          <w:color w:val="000000"/>
          <w:sz w:val="16"/>
        </w:rPr>
        <w:t>TABLE II</w:t>
      </w:r>
      <w:r>
        <w:rPr>
          <w:color w:val="000000"/>
          <w:sz w:val="16"/>
        </w:rPr>
        <w:br/>
        <w:t>Correspondence between VR activities and AI context.</w:t>
      </w:r>
    </w:p>
    <w:tbl>
      <w:tblPr>
        <w:tblStyle w:val="Table"/>
        <w:tblW w:w="104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480"/>
        <w:gridCol w:w="3480"/>
        <w:gridCol w:w="3480"/>
      </w:tblGrid>
      <w:tr w:rsidR="007E1590" w14:paraId="1E17C3D3" w14:textId="77777777" w:rsidTr="007E1590">
        <w:trPr>
          <w:cnfStyle w:val="100000000000" w:firstRow="1" w:lastRow="0" w:firstColumn="0" w:lastColumn="0" w:oddVBand="0" w:evenVBand="0" w:oddHBand="0" w:evenHBand="0" w:firstRowFirstColumn="0" w:firstRowLastColumn="0" w:lastRowFirstColumn="0" w:lastRowLastColumn="0"/>
          <w:cantSplit/>
          <w:tblHeader/>
          <w:jc w:val="center"/>
        </w:trPr>
        <w:tc>
          <w:tcPr>
            <w:tcW w:w="3480" w:type="dxa"/>
            <w:tcBorders>
              <w:bottom w:val="single" w:sz="4" w:space="0" w:color="auto"/>
            </w:tcBorders>
            <w:vAlign w:val="top"/>
          </w:tcPr>
          <w:p w14:paraId="0936F38C" w14:textId="77777777" w:rsidR="007E1590" w:rsidRDefault="00074FEE">
            <w:pPr>
              <w:pStyle w:val="Compact"/>
              <w:keepNext/>
              <w:spacing w:before="40" w:after="40"/>
            </w:pPr>
            <w:r>
              <w:rPr>
                <w:b/>
                <w:color w:val="000000"/>
                <w:sz w:val="16"/>
              </w:rPr>
              <w:t>VR context</w:t>
            </w:r>
          </w:p>
        </w:tc>
        <w:tc>
          <w:tcPr>
            <w:tcW w:w="3480" w:type="dxa"/>
            <w:tcBorders>
              <w:bottom w:val="single" w:sz="4" w:space="0" w:color="auto"/>
            </w:tcBorders>
            <w:vAlign w:val="top"/>
          </w:tcPr>
          <w:p w14:paraId="1C29F929" w14:textId="77777777" w:rsidR="007E1590" w:rsidRDefault="00074FEE">
            <w:pPr>
              <w:pStyle w:val="Compact"/>
              <w:keepNext/>
              <w:spacing w:before="40" w:after="40"/>
            </w:pPr>
            <w:r>
              <w:rPr>
                <w:b/>
                <w:color w:val="000000"/>
                <w:sz w:val="16"/>
              </w:rPr>
              <w:t>Supplied inform</w:t>
            </w:r>
            <w:r>
              <w:rPr>
                <w:b/>
                <w:color w:val="000000"/>
                <w:sz w:val="16"/>
              </w:rPr>
              <w:t>ation</w:t>
            </w:r>
          </w:p>
        </w:tc>
        <w:tc>
          <w:tcPr>
            <w:tcW w:w="3480" w:type="dxa"/>
            <w:tcBorders>
              <w:bottom w:val="single" w:sz="4" w:space="0" w:color="auto"/>
            </w:tcBorders>
            <w:vAlign w:val="top"/>
          </w:tcPr>
          <w:p w14:paraId="11484F52" w14:textId="77777777" w:rsidR="007E1590" w:rsidRDefault="00074FEE">
            <w:pPr>
              <w:pStyle w:val="Compact"/>
              <w:keepNext/>
              <w:spacing w:before="40" w:after="40"/>
            </w:pPr>
            <w:r>
              <w:rPr>
                <w:b/>
                <w:color w:val="000000"/>
                <w:sz w:val="16"/>
              </w:rPr>
              <w:t>Supported guidance</w:t>
            </w:r>
          </w:p>
        </w:tc>
      </w:tr>
      <w:tr w:rsidR="007E1590" w14:paraId="06122586" w14:textId="77777777" w:rsidTr="007E1590">
        <w:trPr>
          <w:cantSplit/>
          <w:jc w:val="center"/>
        </w:trPr>
        <w:tc>
          <w:tcPr>
            <w:tcW w:w="3480" w:type="dxa"/>
          </w:tcPr>
          <w:p w14:paraId="10C030A0" w14:textId="77777777" w:rsidR="007E1590" w:rsidRDefault="00074FEE">
            <w:pPr>
              <w:pStyle w:val="Compact"/>
              <w:keepNext/>
              <w:spacing w:before="40" w:after="40"/>
            </w:pPr>
            <w:r>
              <w:rPr>
                <w:color w:val="000000"/>
                <w:sz w:val="16"/>
              </w:rPr>
              <w:t>Specimen handling</w:t>
            </w:r>
          </w:p>
        </w:tc>
        <w:tc>
          <w:tcPr>
            <w:tcW w:w="3480" w:type="dxa"/>
          </w:tcPr>
          <w:p w14:paraId="38161BBA" w14:textId="77777777" w:rsidR="007E1590" w:rsidRDefault="00074FEE">
            <w:pPr>
              <w:pStyle w:val="Compact"/>
              <w:keepNext/>
              <w:spacing w:before="40" w:after="40"/>
            </w:pPr>
            <w:r>
              <w:rPr>
                <w:color w:val="000000"/>
                <w:sz w:val="16"/>
              </w:rPr>
              <w:t>Hand object, placement state, available actions</w:t>
            </w:r>
          </w:p>
        </w:tc>
        <w:tc>
          <w:tcPr>
            <w:tcW w:w="3480" w:type="dxa"/>
          </w:tcPr>
          <w:p w14:paraId="433291DA" w14:textId="77777777" w:rsidR="007E1590" w:rsidRDefault="00074FEE">
            <w:pPr>
              <w:pStyle w:val="Compact"/>
              <w:keepNext/>
              <w:spacing w:before="40" w:after="40"/>
            </w:pPr>
            <w:r>
              <w:rPr>
                <w:color w:val="000000"/>
                <w:sz w:val="16"/>
              </w:rPr>
              <w:t>Pickup, placement, observation, or removal</w:t>
            </w:r>
          </w:p>
        </w:tc>
      </w:tr>
      <w:tr w:rsidR="007E1590" w14:paraId="320453ED" w14:textId="77777777" w:rsidTr="007E1590">
        <w:trPr>
          <w:cantSplit/>
          <w:jc w:val="center"/>
        </w:trPr>
        <w:tc>
          <w:tcPr>
            <w:tcW w:w="3480" w:type="dxa"/>
          </w:tcPr>
          <w:p w14:paraId="01364A8B" w14:textId="77777777" w:rsidR="007E1590" w:rsidRDefault="00074FEE">
            <w:pPr>
              <w:pStyle w:val="Compact"/>
              <w:keepNext/>
              <w:spacing w:before="40" w:after="40"/>
            </w:pPr>
            <w:r>
              <w:rPr>
                <w:color w:val="000000"/>
                <w:sz w:val="16"/>
              </w:rPr>
              <w:t>Microscope observation</w:t>
            </w:r>
          </w:p>
        </w:tc>
        <w:tc>
          <w:tcPr>
            <w:tcW w:w="3480" w:type="dxa"/>
          </w:tcPr>
          <w:p w14:paraId="1AD66734" w14:textId="77777777" w:rsidR="007E1590" w:rsidRDefault="00074FEE">
            <w:pPr>
              <w:pStyle w:val="Compact"/>
              <w:keepNext/>
              <w:spacing w:before="40" w:after="40"/>
            </w:pPr>
            <w:r>
              <w:rPr>
                <w:color w:val="000000"/>
                <w:sz w:val="16"/>
              </w:rPr>
              <w:t>Mode, observation point, available controls</w:t>
            </w:r>
          </w:p>
        </w:tc>
        <w:tc>
          <w:tcPr>
            <w:tcW w:w="3480" w:type="dxa"/>
          </w:tcPr>
          <w:p w14:paraId="2E41EBEB" w14:textId="77777777" w:rsidR="007E1590" w:rsidRDefault="00074FEE">
            <w:pPr>
              <w:pStyle w:val="Compact"/>
              <w:keepNext/>
              <w:spacing w:before="40" w:after="40"/>
            </w:pPr>
            <w:r>
              <w:rPr>
                <w:color w:val="000000"/>
                <w:sz w:val="16"/>
              </w:rPr>
              <w:t>Focus, brightness, or objective instructions</w:t>
            </w:r>
          </w:p>
        </w:tc>
      </w:tr>
      <w:tr w:rsidR="007E1590" w14:paraId="2AAD7EED" w14:textId="77777777" w:rsidTr="007E1590">
        <w:trPr>
          <w:cantSplit/>
          <w:jc w:val="center"/>
        </w:trPr>
        <w:tc>
          <w:tcPr>
            <w:tcW w:w="3480" w:type="dxa"/>
          </w:tcPr>
          <w:p w14:paraId="6B147A1B" w14:textId="77777777" w:rsidR="007E1590" w:rsidRDefault="00074FEE">
            <w:pPr>
              <w:pStyle w:val="Compact"/>
              <w:keepNext/>
              <w:spacing w:before="40" w:after="40"/>
            </w:pPr>
            <w:r>
              <w:rPr>
                <w:color w:val="000000"/>
                <w:sz w:val="16"/>
              </w:rPr>
              <w:t>Component inspection</w:t>
            </w:r>
          </w:p>
        </w:tc>
        <w:tc>
          <w:tcPr>
            <w:tcW w:w="3480" w:type="dxa"/>
          </w:tcPr>
          <w:p w14:paraId="0B9D5F8D" w14:textId="77777777" w:rsidR="007E1590" w:rsidRDefault="00074FEE">
            <w:pPr>
              <w:pStyle w:val="Compact"/>
              <w:keepNext/>
              <w:spacing w:before="40" w:after="40"/>
            </w:pPr>
            <w:r>
              <w:rPr>
                <w:color w:val="000000"/>
                <w:sz w:val="16"/>
              </w:rPr>
              <w:t>Name, description, linked experiment, usable start action</w:t>
            </w:r>
          </w:p>
        </w:tc>
        <w:tc>
          <w:tcPr>
            <w:tcW w:w="3480" w:type="dxa"/>
          </w:tcPr>
          <w:p w14:paraId="2F675826" w14:textId="77777777" w:rsidR="007E1590" w:rsidRDefault="00074FEE">
            <w:pPr>
              <w:pStyle w:val="Compact"/>
              <w:keepNext/>
              <w:spacing w:before="40" w:after="40"/>
            </w:pPr>
            <w:r>
              <w:rPr>
                <w:color w:val="000000"/>
                <w:sz w:val="16"/>
              </w:rPr>
              <w:t>Component explanation and experiment entry</w:t>
            </w:r>
          </w:p>
        </w:tc>
      </w:tr>
      <w:tr w:rsidR="007E1590" w14:paraId="657F2B28" w14:textId="77777777" w:rsidTr="007E1590">
        <w:trPr>
          <w:cantSplit/>
          <w:jc w:val="center"/>
        </w:trPr>
        <w:tc>
          <w:tcPr>
            <w:tcW w:w="3480" w:type="dxa"/>
          </w:tcPr>
          <w:p w14:paraId="5CEB0AC2" w14:textId="77777777" w:rsidR="007E1590" w:rsidRDefault="00074FEE">
            <w:pPr>
              <w:pStyle w:val="Compact"/>
              <w:keepNext/>
              <w:spacing w:before="40" w:after="40"/>
            </w:pPr>
            <w:r>
              <w:rPr>
                <w:color w:val="000000"/>
                <w:sz w:val="16"/>
              </w:rPr>
              <w:t>NA/spatial frequency</w:t>
            </w:r>
          </w:p>
        </w:tc>
        <w:tc>
          <w:tcPr>
            <w:tcW w:w="3480" w:type="dxa"/>
          </w:tcPr>
          <w:p w14:paraId="4008AB50" w14:textId="77777777" w:rsidR="007E1590" w:rsidRDefault="00074FEE">
            <w:pPr>
              <w:pStyle w:val="Compact"/>
              <w:keepNext/>
              <w:spacing w:before="40" w:after="40"/>
            </w:pPr>
            <w:r>
              <w:rPr>
                <w:color w:val="000000"/>
                <w:sz w:val="16"/>
              </w:rPr>
              <w:t>Current module parameters and controls</w:t>
            </w:r>
          </w:p>
        </w:tc>
        <w:tc>
          <w:tcPr>
            <w:tcW w:w="3480" w:type="dxa"/>
          </w:tcPr>
          <w:p w14:paraId="27A0F90D" w14:textId="77777777" w:rsidR="007E1590" w:rsidRDefault="00074FEE">
            <w:pPr>
              <w:pStyle w:val="Compact"/>
              <w:keepNext/>
              <w:spacing w:before="40" w:after="40"/>
            </w:pPr>
            <w:r>
              <w:rPr>
                <w:color w:val="000000"/>
                <w:sz w:val="16"/>
              </w:rPr>
              <w:t>Parameter interpretation and available steps</w:t>
            </w:r>
          </w:p>
        </w:tc>
      </w:tr>
      <w:tr w:rsidR="007E1590" w14:paraId="6CBE39EE" w14:textId="77777777" w:rsidTr="007E1590">
        <w:trPr>
          <w:cantSplit/>
          <w:jc w:val="center"/>
        </w:trPr>
        <w:tc>
          <w:tcPr>
            <w:tcW w:w="3480" w:type="dxa"/>
          </w:tcPr>
          <w:p w14:paraId="5AA789A7" w14:textId="77777777" w:rsidR="007E1590" w:rsidRDefault="00074FEE">
            <w:pPr>
              <w:pStyle w:val="Compact"/>
              <w:keepNext/>
              <w:spacing w:before="40" w:after="40"/>
            </w:pPr>
            <w:r>
              <w:rPr>
                <w:color w:val="000000"/>
                <w:sz w:val="16"/>
              </w:rPr>
              <w:t>SNOM</w:t>
            </w:r>
          </w:p>
        </w:tc>
        <w:tc>
          <w:tcPr>
            <w:tcW w:w="3480" w:type="dxa"/>
          </w:tcPr>
          <w:p w14:paraId="6858A9A0" w14:textId="77777777" w:rsidR="007E1590" w:rsidRDefault="00074FEE">
            <w:pPr>
              <w:pStyle w:val="Compact"/>
              <w:keepNext/>
              <w:spacing w:before="40" w:after="40"/>
            </w:pPr>
            <w:r>
              <w:rPr>
                <w:color w:val="000000"/>
                <w:sz w:val="16"/>
              </w:rPr>
              <w:t>Stage, probe state, playback, component mode</w:t>
            </w:r>
          </w:p>
        </w:tc>
        <w:tc>
          <w:tcPr>
            <w:tcW w:w="3480" w:type="dxa"/>
          </w:tcPr>
          <w:p w14:paraId="2C7056C9" w14:textId="77777777" w:rsidR="007E1590" w:rsidRDefault="00074FEE">
            <w:pPr>
              <w:pStyle w:val="Compact"/>
              <w:keepNext/>
              <w:spacing w:before="40" w:after="40"/>
            </w:pPr>
            <w:r>
              <w:rPr>
                <w:color w:val="000000"/>
                <w:sz w:val="16"/>
              </w:rPr>
              <w:t>Workflow and prerequisites</w:t>
            </w:r>
          </w:p>
        </w:tc>
      </w:tr>
      <w:tr w:rsidR="007E1590" w14:paraId="573A8453" w14:textId="77777777" w:rsidTr="007E1590">
        <w:trPr>
          <w:cantSplit/>
          <w:jc w:val="center"/>
        </w:trPr>
        <w:tc>
          <w:tcPr>
            <w:tcW w:w="3480" w:type="dxa"/>
          </w:tcPr>
          <w:p w14:paraId="58C1424A" w14:textId="77777777" w:rsidR="007E1590" w:rsidRDefault="00074FEE">
            <w:pPr>
              <w:pStyle w:val="Compact"/>
              <w:spacing w:before="40" w:after="40"/>
            </w:pPr>
            <w:r>
              <w:rPr>
                <w:color w:val="000000"/>
                <w:sz w:val="16"/>
              </w:rPr>
              <w:t>Navigation</w:t>
            </w:r>
          </w:p>
        </w:tc>
        <w:tc>
          <w:tcPr>
            <w:tcW w:w="3480" w:type="dxa"/>
          </w:tcPr>
          <w:p w14:paraId="09190134" w14:textId="77777777" w:rsidR="007E1590" w:rsidRDefault="00074FEE">
            <w:pPr>
              <w:pStyle w:val="Compact"/>
              <w:spacing w:before="40" w:after="40"/>
            </w:pPr>
            <w:r>
              <w:rPr>
                <w:color w:val="000000"/>
                <w:sz w:val="16"/>
              </w:rPr>
              <w:t>Offered targets, positions, player heading, scale</w:t>
            </w:r>
          </w:p>
        </w:tc>
        <w:tc>
          <w:tcPr>
            <w:tcW w:w="3480" w:type="dxa"/>
          </w:tcPr>
          <w:p w14:paraId="1F4FE615" w14:textId="77777777" w:rsidR="007E1590" w:rsidRDefault="00074FEE">
            <w:pPr>
              <w:pStyle w:val="Compact"/>
              <w:spacing w:before="40" w:after="40"/>
            </w:pPr>
            <w:r>
              <w:rPr>
                <w:color w:val="000000"/>
                <w:sz w:val="16"/>
              </w:rPr>
              <w:t>Instrument-area or specific-spec</w:t>
            </w:r>
            <w:r>
              <w:rPr>
                <w:color w:val="000000"/>
                <w:sz w:val="16"/>
              </w:rPr>
              <w:t>imen markers</w:t>
            </w:r>
          </w:p>
        </w:tc>
      </w:tr>
    </w:tbl>
    <w:p w14:paraId="7AF3560A"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6438C16E" w14:textId="77777777" w:rsidR="007E1590" w:rsidRDefault="00074FEE">
      <w:pPr>
        <w:pStyle w:val="a0"/>
        <w:ind w:firstLine="202"/>
        <w:jc w:val="both"/>
      </w:pPr>
      <w:r>
        <w:rPr>
          <w:color w:val="000000"/>
        </w:rPr>
        <w:t>The snapshot excludes focus values, focus error, objective index, and image quality. Guidance can therefore name a control and observation goal but cannot infer a guaranteed adjustment direction; inactive default fields are n</w:t>
      </w:r>
      <w:r>
        <w:rPr>
          <w:color w:val="000000"/>
        </w:rPr>
        <w:t>ot treated as measurements.</w:t>
      </w:r>
    </w:p>
    <w:p w14:paraId="70618647" w14:textId="77777777" w:rsidR="007E1590" w:rsidRDefault="00074FEE">
      <w:pPr>
        <w:pStyle w:val="3"/>
        <w:spacing w:before="140" w:after="60"/>
      </w:pPr>
      <w:bookmarkStart w:id="14" w:name="Xd1827c407d30c9bf166c3036aa101f77fc8bbba"/>
      <w:bookmarkEnd w:id="13"/>
      <w:r>
        <w:rPr>
          <w:rFonts w:eastAsia="SimSun"/>
          <w:i/>
        </w:rPr>
        <w:t>C. Constrained Generation and Bounded Repair</w:t>
      </w:r>
    </w:p>
    <w:p w14:paraId="68695285" w14:textId="77777777" w:rsidR="007E1590" w:rsidRDefault="00074FEE">
      <w:pPr>
        <w:pStyle w:val="FirstParagraph"/>
        <w:ind w:firstLine="202"/>
        <w:jc w:val="both"/>
      </w:pPr>
      <w:r>
        <w:rPr>
          <w:color w:val="000000"/>
        </w:rPr>
        <w:t xml:space="preserve">For shared catalog </w:t>
      </w:r>
      <m:oMath>
        <m:r>
          <m:rPr>
            <m:scr m:val="script"/>
            <m:sty m:val="p"/>
          </m:rPr>
          <w:rPr>
            <w:rFonts w:ascii="Cambria Math" w:hAnsi="Cambria Math"/>
          </w:rPr>
          <m:t>C</m:t>
        </m:r>
      </m:oMath>
      <w:r>
        <w:rPr>
          <w:color w:val="000000"/>
        </w:rPr>
        <w:t xml:space="preserve"> and action-availability predicate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xml:space="preserve"> in state </w:t>
      </w:r>
      <m:oMath>
        <m:r>
          <w:rPr>
            <w:rFonts w:ascii="Cambria Math" w:hAnsi="Cambria Math"/>
          </w:rPr>
          <m:t>s</m:t>
        </m:r>
      </m:oMath>
      <w:r>
        <w:rPr>
          <w:color w:val="000000"/>
        </w:rPr>
        <w:t>,</w:t>
      </w:r>
    </w:p>
    <w:p w14:paraId="2B8F948E" w14:textId="77777777" w:rsidR="007E1590" w:rsidRDefault="00074FEE">
      <w:pPr>
        <w:pStyle w:val="a0"/>
        <w:spacing w:before="120" w:after="120"/>
        <w:jc w:val="center"/>
      </w:pPr>
      <m:oMathPara>
        <m:oMathParaPr>
          <m:jc m:val="center"/>
        </m:oMathParaP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3E42D611" w14:textId="77777777" w:rsidR="007E1590" w:rsidRDefault="00074FEE">
      <w:pPr>
        <w:pStyle w:val="FirstParagraph"/>
        <w:ind w:firstLine="202"/>
        <w:jc w:val="both"/>
      </w:pPr>
      <w:r>
        <w:rPr>
          <w:color w:val="000000"/>
        </w:rPr>
        <w:t xml:space="preserve">Unity constructs </w:t>
      </w: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xml:space="preserve"> </w:t>
      </w:r>
      <w:r>
        <w:rPr>
          <w:color w:val="000000"/>
        </w:rPr>
        <w:t>from controls, controller state, proximity, and bindings. DeepSeek returns an explanation, guidance, clarification, or refusal; operating guidance selects one permitted action and location guidance one offered target. The gateway and client validate corres</w:t>
      </w:r>
      <w:r>
        <w:rPr>
          <w:color w:val="000000"/>
        </w:rPr>
        <w:t>pondence before display.</w:t>
      </w:r>
    </w:p>
    <w:p w14:paraId="251B12C9" w14:textId="77777777" w:rsidR="007E1590" w:rsidRDefault="00074FEE">
      <w:pPr>
        <w:pStyle w:val="a0"/>
        <w:ind w:firstLine="202"/>
        <w:jc w:val="both"/>
      </w:pPr>
      <w:r>
        <w:rPr>
          <w:color w:val="000000"/>
        </w:rPr>
        <w:t>For valid operations, canonical catalog instructions replace generated prose. Structural failure permits one regeneration from the original question and snapshot with unchanged permissions; timeouts and upstream failures are not tr</w:t>
      </w:r>
      <w:r>
        <w:rPr>
          <w:color w:val="000000"/>
        </w:rPr>
        <w:t>eated as format errors.</w:t>
      </w:r>
    </w:p>
    <w:p w14:paraId="1AAC5CDF" w14:textId="77777777" w:rsidR="007E1590" w:rsidRDefault="00074FEE">
      <w:pPr>
        <w:pStyle w:val="a0"/>
        <w:ind w:firstLine="202"/>
        <w:jc w:val="both"/>
      </w:pPr>
      <w:r>
        <w:rPr>
          <w:color w:val="000000"/>
        </w:rPr>
        <w:lastRenderedPageBreak/>
        <w:t>Non-refusal candidates receive a semantic review for scope, factual support, and goal correspondence. An otherwise supported non-guide answer containing direct control instructions may receive one further regeneration to remove thos</w:t>
      </w:r>
      <w:r>
        <w:rPr>
          <w:color w:val="000000"/>
        </w:rPr>
        <w:t>e steps or select a permitted action; the replacement is validated and reviewed again. Generation and review use the same model configuration, so review is an additional check rather than an independent correctness guarantee. Refusals, format errors, acces</w:t>
      </w:r>
      <w:r>
        <w:rPr>
          <w:color w:val="000000"/>
        </w:rPr>
        <w:t>s failures, and timeouts remain distinct outcomes.</w:t>
      </w:r>
    </w:p>
    <w:p w14:paraId="6173A529" w14:textId="77777777" w:rsidR="007E1590" w:rsidRDefault="00074FEE">
      <w:pPr>
        <w:pStyle w:val="3"/>
        <w:spacing w:before="140" w:after="60"/>
      </w:pPr>
      <w:bookmarkStart w:id="15" w:name="Xbc5a85c22ad83865d7cda5461fbf46fca6993e1"/>
      <w:bookmarkEnd w:id="14"/>
      <w:r>
        <w:rPr>
          <w:rFonts w:eastAsia="SimSun"/>
          <w:i/>
        </w:rPr>
        <w:t>D. Learning Continuity and Response Freshness</w:t>
      </w:r>
    </w:p>
    <w:p w14:paraId="2C94010B" w14:textId="77777777" w:rsidR="007E1590" w:rsidRDefault="00074FEE">
      <w:pPr>
        <w:pStyle w:val="FirstParagraph"/>
        <w:ind w:firstLine="202"/>
        <w:jc w:val="both"/>
      </w:pPr>
      <w:r>
        <w:rPr>
          <w:color w:val="000000"/>
        </w:rPr>
        <w:t>Component references resolve from the selected name and description; hands-on requests prioritize its available experiment, while next-step requests use recent</w:t>
      </w:r>
      <w:r>
        <w:rPr>
          <w:color w:val="000000"/>
        </w:rPr>
        <w:t xml:space="preserve"> goals and available prerequisites. Post-run review identified ambiguity in a generic next-step question; Section VI-F distinguishes the tested policy from the subsequent clarification revision. Each request stores serialized state and an identifier. Befor</w:t>
      </w:r>
      <w:r>
        <w:rPr>
          <w:color w:val="000000"/>
        </w:rPr>
        <w:t>e displaying guidance, the client rechecks identity, state, and permissions; stale recommendations are rejected. Reminders can persist after the dialog closes but never execute or mark an operation complete.</w:t>
      </w:r>
    </w:p>
    <w:p w14:paraId="44F8D318" w14:textId="77777777" w:rsidR="007E1590" w:rsidRDefault="00074FEE">
      <w:pPr>
        <w:pStyle w:val="3"/>
        <w:spacing w:before="140" w:after="60"/>
      </w:pPr>
      <w:bookmarkStart w:id="16" w:name="instrument-and-specimen-localization"/>
      <w:bookmarkEnd w:id="15"/>
      <w:r>
        <w:rPr>
          <w:rFonts w:eastAsia="SimSun"/>
          <w:i/>
        </w:rPr>
        <w:t>E. Instrument and Specimen Localization</w:t>
      </w:r>
    </w:p>
    <w:p w14:paraId="18C7203B" w14:textId="77777777" w:rsidR="007E1590" w:rsidRDefault="00074FEE">
      <w:pPr>
        <w:pStyle w:val="FirstParagraph"/>
        <w:ind w:firstLine="202"/>
        <w:jc w:val="both"/>
      </w:pPr>
      <w:r>
        <w:rPr>
          <w:color w:val="000000"/>
        </w:rPr>
        <w:t>Componen</w:t>
      </w:r>
      <w:r>
        <w:rPr>
          <w:color w:val="000000"/>
        </w:rPr>
        <w:t>t, NA, and spatial-frequency topics share the microscope station; SNOM uses a separate apparatus. Red, green, blue, and yellow specimens are distinct targets. Only snapshot-offered objects can be marked, so this is target localization rather than general r</w:t>
      </w:r>
      <w:r>
        <w:rPr>
          <w:color w:val="000000"/>
        </w:rPr>
        <w:t>oute planning.</w:t>
      </w:r>
    </w:p>
    <w:p w14:paraId="2A2C291D" w14:textId="77777777" w:rsidR="007E1590" w:rsidRDefault="00074FEE">
      <w:pPr>
        <w:pStyle w:val="a0"/>
        <w:ind w:firstLine="202"/>
        <w:jc w:val="both"/>
      </w:pPr>
      <w:r>
        <w:rPr>
          <w:color w:val="000000"/>
        </w:rPr>
        <w:t xml:space="preserve">For horizontal target displacement </w:t>
      </w:r>
      <m:oMath>
        <m:sSub>
          <m:sSubPr>
            <m:ctrlPr>
              <w:rPr>
                <w:rFonts w:ascii="Cambria Math" w:hAnsi="Cambria Math"/>
              </w:rPr>
            </m:ctrlPr>
          </m:sSubPr>
          <m:e>
            <m:r>
              <m:rPr>
                <m:sty m:val="p"/>
              </m:rPr>
              <w:rPr>
                <w:rFonts w:ascii="Cambria Math" w:hAnsi="Cambria Math"/>
              </w:rPr>
              <m:t>Δ</m:t>
            </m:r>
          </m:e>
          <m:sub>
            <m:r>
              <w:rPr>
                <w:rFonts w:ascii="Cambria Math" w:hAnsi="Cambria Math"/>
              </w:rPr>
              <m:t>h</m:t>
            </m:r>
          </m:sub>
        </m:sSub>
      </m:oMath>
      <w:r>
        <w:rPr>
          <w:color w:val="000000"/>
        </w:rPr>
        <w:t xml:space="preserve"> and </w:t>
      </w:r>
      <m:oMath>
        <m:r>
          <w:rPr>
            <w:rFonts w:ascii="Cambria Math" w:hAnsi="Cambria Math"/>
          </w:rPr>
          <m:t>u</m:t>
        </m:r>
      </m:oMath>
      <w:r>
        <w:rPr>
          <w:color w:val="000000"/>
        </w:rPr>
        <w:t xml:space="preserve"> world units per meter, displayed distance is</w:t>
      </w:r>
    </w:p>
    <w:p w14:paraId="7B32016B" w14:textId="77777777" w:rsidR="007E1590" w:rsidRDefault="00074FEE">
      <w:pPr>
        <w:pStyle w:val="a0"/>
        <w:spacing w:before="120" w:after="120"/>
        <w:jc w:val="center"/>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oMath>
      </m:oMathPara>
    </w:p>
    <w:p w14:paraId="486D5570" w14:textId="77777777" w:rsidR="007E1590" w:rsidRDefault="00074FEE">
      <w:pPr>
        <w:pStyle w:val="FirstParagraph"/>
        <w:ind w:firstLine="202"/>
        <w:jc w:val="both"/>
      </w:pPr>
      <w:r>
        <w:rPr>
          <w:color w:val="000000"/>
        </w:rPr>
        <w:t xml:space="preserve">The signed horizontal angle </w:t>
      </w:r>
      <m:oMath>
        <m:r>
          <w:rPr>
            <w:rFonts w:ascii="Cambria Math" w:hAnsi="Cambria Math"/>
          </w:rPr>
          <m:t>β</m:t>
        </m:r>
      </m:oMath>
      <w:r>
        <w:rPr>
          <w:color w:val="000000"/>
        </w:rPr>
        <w:t xml:space="preserve"> is quantized as front (</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rPr>
          <w:color w:val="000000"/>
        </w:rPr>
        <w:t>), back (</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135</m:t>
            </m:r>
          </m:e>
          <m:sup>
            <m:r>
              <m:rPr>
                <m:sty m:val="p"/>
              </m:rPr>
              <w:rPr>
                <w:rFonts w:ascii="Cambria Math" w:hAnsi="Cambria Math"/>
              </w:rPr>
              <m:t>∘</m:t>
            </m:r>
          </m:sup>
        </m:sSup>
      </m:oMath>
      <w:r>
        <w:rPr>
          <w:color w:val="000000"/>
        </w:rPr>
        <w:t>), or left/right, and is recomputed by the client. An outline and beacon confirm highlighting. Display distance uses the bounds center; arrival uses the nearest bounds point with a default 1.2-m threshold. Approach, cancellation, expiry, or incompatible st</w:t>
      </w:r>
      <w:r>
        <w:rPr>
          <w:color w:val="000000"/>
        </w:rPr>
        <w:t>ate clears the marker.</w:t>
      </w:r>
    </w:p>
    <w:p w14:paraId="2573955D" w14:textId="77777777" w:rsidR="007E1590" w:rsidRDefault="00074FEE">
      <w:pPr>
        <w:pStyle w:val="3"/>
        <w:spacing w:before="140" w:after="60"/>
      </w:pPr>
      <w:bookmarkStart w:id="17" w:name="Xf00fded2dd2a714b572c602067cb51be22ab710"/>
      <w:bookmarkEnd w:id="16"/>
      <w:r>
        <w:rPr>
          <w:rFonts w:eastAsia="SimSun"/>
          <w:i/>
        </w:rPr>
        <w:t>F. User-Confirmed Chinese/English Speech Input</w:t>
      </w:r>
    </w:p>
    <w:p w14:paraId="5E35C4EF" w14:textId="77777777" w:rsidR="007E1590" w:rsidRDefault="00074FEE">
      <w:pPr>
        <w:pStyle w:val="FirstParagraph"/>
        <w:ind w:firstLine="202"/>
        <w:jc w:val="both"/>
      </w:pPr>
      <w:r>
        <w:rPr>
          <w:color w:val="000000"/>
        </w:rPr>
        <w:t xml:space="preserve">The speech option records up to 30 s from the default microphone, converts samples to mono PCM16 WAV (preferably 16 kHz), and requests Groq </w:t>
      </w:r>
      <w:r>
        <w:rPr>
          <w:rStyle w:val="VerbatimChar"/>
          <w:rFonts w:ascii="Times New Roman" w:hAnsi="Times New Roman"/>
          <w:color w:val="000000"/>
          <w:sz w:val="20"/>
        </w:rPr>
        <w:t>whisper-large-v3-turbo</w:t>
      </w:r>
      <w:r>
        <w:rPr>
          <w:color w:val="000000"/>
        </w:rPr>
        <w:t xml:space="preserve"> transcription [18]. No </w:t>
      </w:r>
      <w:r>
        <w:rPr>
          <w:color w:val="000000"/>
        </w:rPr>
        <w:t>translation is requested. The editable transcript requires explicit submission and then follows the same state-validation pipeline. Accuracy and latency remain future evaluation targets.</w:t>
      </w:r>
    </w:p>
    <w:p w14:paraId="4FD0EED9" w14:textId="77777777" w:rsidR="007E1590" w:rsidRDefault="00074FEE">
      <w:pPr>
        <w:pStyle w:val="2"/>
        <w:spacing w:before="200" w:after="100"/>
        <w:jc w:val="center"/>
      </w:pPr>
      <w:bookmarkStart w:id="18" w:name="integrated-learning-scenarios"/>
      <w:bookmarkEnd w:id="11"/>
      <w:bookmarkEnd w:id="17"/>
      <w:r>
        <w:rPr>
          <w:rFonts w:ascii="Times New Roman" w:eastAsia="SimSun" w:hAnsi="Times New Roman"/>
        </w:rPr>
        <w:t>V. INTEGRATED LEARNING SCENARIOS</w:t>
      </w:r>
    </w:p>
    <w:p w14:paraId="1D67D57F" w14:textId="77777777" w:rsidR="007E1590" w:rsidRDefault="00074FEE">
      <w:pPr>
        <w:pStyle w:val="3"/>
        <w:spacing w:before="140" w:after="60"/>
      </w:pPr>
      <w:bookmarkStart w:id="19" w:name="Xa29a33a3d2cb137b7b03c064c784ad818ec2aae"/>
      <w:r>
        <w:rPr>
          <w:rFonts w:eastAsia="SimSun"/>
          <w:i/>
        </w:rPr>
        <w:t>A. Specimen Observation and Focus Gu</w:t>
      </w:r>
      <w:r>
        <w:rPr>
          <w:rFonts w:eastAsia="SimSun"/>
          <w:i/>
        </w:rPr>
        <w:t>idance under Limited State Access</w:t>
      </w:r>
    </w:p>
    <w:p w14:paraId="33763ABC" w14:textId="77777777" w:rsidR="007E1590" w:rsidRDefault="00074FEE">
      <w:pPr>
        <w:pStyle w:val="FirstParagraph"/>
        <w:ind w:firstLine="202"/>
        <w:jc w:val="both"/>
      </w:pPr>
      <w:r>
        <w:rPr>
          <w:color w:val="000000"/>
        </w:rPr>
        <w:t>The learner places a specimen, enters observation, switches objectives, and searches with coarse/fine focus. The assistant can select an available adjustment and state what to observe, but cannot read focus error, diagnose</w:t>
      </w:r>
      <w:r>
        <w:rPr>
          <w:color w:val="000000"/>
        </w:rPr>
        <w:t xml:space="preserve"> a black field, or calculate direction from image data absent from its snapshot.</w:t>
      </w:r>
    </w:p>
    <w:p w14:paraId="59B810B7" w14:textId="77777777" w:rsidR="007E1590" w:rsidRDefault="00074FEE">
      <w:pPr>
        <w:pStyle w:val="3"/>
        <w:spacing w:before="140" w:after="60"/>
      </w:pPr>
      <w:bookmarkStart w:id="20" w:name="Xfd6b303014106440de7d650910b9d25feabe245"/>
      <w:bookmarkEnd w:id="19"/>
      <w:r>
        <w:rPr>
          <w:rFonts w:eastAsia="SimSun"/>
          <w:i/>
        </w:rPr>
        <w:t>B. Moving from a Component Question into an Experiment</w:t>
      </w:r>
    </w:p>
    <w:p w14:paraId="05663532" w14:textId="77777777" w:rsidR="007E1590" w:rsidRDefault="00074FEE">
      <w:pPr>
        <w:pStyle w:val="FirstParagraph"/>
        <w:ind w:firstLine="202"/>
        <w:jc w:val="both"/>
      </w:pPr>
      <w:r>
        <w:rPr>
          <w:color w:val="000000"/>
        </w:rPr>
        <w:t>In SuperAssembly, selecting the upper optical assembly exposes its NA description and launch action; after the assistant</w:t>
      </w:r>
      <w:r>
        <w:rPr>
          <w:color w:val="000000"/>
        </w:rPr>
        <w:t xml:space="preserve"> explains the relationship, the learner closes the dialog, enters the experiment, and compares light-cone changes. The objective similarly links to spatial frequency. From elsewhere in the room, guidance marks the shared microscope station rather than inve</w:t>
      </w:r>
      <w:r>
        <w:rPr>
          <w:color w:val="000000"/>
        </w:rPr>
        <w:t>nting a separate bench (Fig. 4).</w:t>
      </w:r>
    </w:p>
    <w:p w14:paraId="3D13642E" w14:textId="77777777" w:rsidR="007E1590" w:rsidRDefault="00074FEE">
      <w:pPr>
        <w:pStyle w:val="3"/>
        <w:spacing w:before="140" w:after="60"/>
      </w:pPr>
      <w:bookmarkStart w:id="21" w:name="snom-prerequisites-and-response-changes"/>
      <w:bookmarkEnd w:id="20"/>
      <w:r>
        <w:rPr>
          <w:rFonts w:eastAsia="SimSun"/>
          <w:i/>
        </w:rPr>
        <w:t>C. SNOM Prerequisites and Response Changes</w:t>
      </w:r>
    </w:p>
    <w:p w14:paraId="2BF70836" w14:textId="77777777" w:rsidR="007E1590" w:rsidRDefault="00074FEE">
      <w:pPr>
        <w:pStyle w:val="FirstParagraph"/>
        <w:ind w:firstLine="202"/>
        <w:jc w:val="both"/>
      </w:pPr>
      <w:r>
        <w:rPr>
          <w:color w:val="000000"/>
        </w:rPr>
        <w:t>In SNOM, the assistant can suggest only currently permitted probe, installation, wait, exit, or startup actions. Installation completion unlocks startup, followed by tapping, coupl</w:t>
      </w:r>
      <w:r>
        <w:rPr>
          <w:color w:val="000000"/>
        </w:rPr>
        <w:t>ing, and scanning controls. The client rejects any returned operation that no longer matches state; this demonstrates procedural coupling, not adversarial robustness.</w:t>
      </w:r>
    </w:p>
    <w:p w14:paraId="3F02CEBE" w14:textId="77777777" w:rsidR="007E1590" w:rsidRDefault="00074FEE">
      <w:pPr>
        <w:pStyle w:val="2"/>
        <w:spacing w:before="200" w:after="100"/>
        <w:jc w:val="center"/>
      </w:pPr>
      <w:bookmarkStart w:id="22" w:name="evaluation-method-and-results"/>
      <w:bookmarkEnd w:id="18"/>
      <w:bookmarkEnd w:id="21"/>
      <w:r>
        <w:rPr>
          <w:rFonts w:ascii="Times New Roman" w:eastAsia="SimSun" w:hAnsi="Times New Roman"/>
        </w:rPr>
        <w:t>VI. EVALUATION METHOD AND RESULTS</w:t>
      </w:r>
    </w:p>
    <w:p w14:paraId="69C221AB" w14:textId="77777777" w:rsidR="007E1590" w:rsidRDefault="00074FEE">
      <w:pPr>
        <w:pStyle w:val="FirstParagraph"/>
        <w:ind w:firstLine="202"/>
        <w:jc w:val="both"/>
      </w:pPr>
      <w:r>
        <w:rPr>
          <w:color w:val="000000"/>
        </w:rPr>
        <w:t>Evaluation separates deterministic implementation confo</w:t>
      </w:r>
      <w:r>
        <w:rPr>
          <w:color w:val="000000"/>
        </w:rPr>
        <w:t>rmance from an exploratory user study of workflow completion, usability, and workload, avoiding substitution among code behavior, interaction outcomes, and learning effects [1].</w:t>
      </w:r>
    </w:p>
    <w:p w14:paraId="5792845F" w14:textId="77777777" w:rsidR="007E1590" w:rsidRDefault="00074FEE">
      <w:pPr>
        <w:pStyle w:val="3"/>
        <w:spacing w:before="140" w:after="60"/>
      </w:pPr>
      <w:bookmarkStart w:id="23" w:name="X39a43817875837230bde99b2f7b99b341ecbc22"/>
      <w:r>
        <w:rPr>
          <w:rFonts w:eastAsia="SimSun"/>
          <w:i/>
        </w:rPr>
        <w:t>A. Evaluation Questions and Implementation-Level Checks</w:t>
      </w:r>
    </w:p>
    <w:p w14:paraId="2AED15E4" w14:textId="77777777" w:rsidR="007E1590" w:rsidRDefault="00074FEE">
      <w:pPr>
        <w:pStyle w:val="FirstParagraph"/>
        <w:ind w:firstLine="202"/>
        <w:jc w:val="both"/>
      </w:pPr>
      <w:r>
        <w:rPr>
          <w:color w:val="000000"/>
        </w:rPr>
        <w:t>For reporting, we organize the user study around two evaluation questions:</w:t>
      </w:r>
    </w:p>
    <w:p w14:paraId="646D9C73" w14:textId="77777777" w:rsidR="007E1590" w:rsidRDefault="00074FEE">
      <w:pPr>
        <w:pStyle w:val="Compact"/>
        <w:numPr>
          <w:ilvl w:val="0"/>
          <w:numId w:val="3"/>
        </w:numPr>
        <w:ind w:left="346" w:hanging="173"/>
        <w:jc w:val="both"/>
      </w:pPr>
      <w:r>
        <w:rPr>
          <w:b/>
          <w:bCs/>
          <w:color w:val="000000"/>
        </w:rPr>
        <w:t>RQ1 (workflow feasibility):</w:t>
      </w:r>
      <w:r>
        <w:rPr>
          <w:color w:val="000000"/>
        </w:rPr>
        <w:t xml:space="preserve"> Can participants complete the core VR activities involving specimen handling, microscope observation, focus/illumination adjustment, and structural explo</w:t>
      </w:r>
      <w:r>
        <w:rPr>
          <w:color w:val="000000"/>
        </w:rPr>
        <w:t>ration?</w:t>
      </w:r>
    </w:p>
    <w:p w14:paraId="5C17D2B3" w14:textId="77777777" w:rsidR="007E1590" w:rsidRDefault="00074FEE">
      <w:pPr>
        <w:pStyle w:val="Compact"/>
        <w:numPr>
          <w:ilvl w:val="0"/>
          <w:numId w:val="3"/>
        </w:numPr>
        <w:ind w:left="346" w:hanging="173"/>
        <w:jc w:val="both"/>
      </w:pPr>
      <w:r>
        <w:rPr>
          <w:b/>
          <w:bCs/>
          <w:color w:val="000000"/>
        </w:rPr>
        <w:t>RQ2 (perceived experience):</w:t>
      </w:r>
      <w:r>
        <w:rPr>
          <w:color w:val="000000"/>
        </w:rPr>
        <w:t xml:space="preserve"> How do participants rate the system’s overall usability and subjective workload?</w:t>
      </w:r>
    </w:p>
    <w:p w14:paraId="18FAFE96" w14:textId="77777777" w:rsidR="007E1590" w:rsidRDefault="00074FEE">
      <w:pPr>
        <w:pStyle w:val="FirstParagraph"/>
        <w:ind w:firstLine="202"/>
        <w:jc w:val="both"/>
      </w:pPr>
      <w:r>
        <w:rPr>
          <w:color w:val="000000"/>
        </w:rPr>
        <w:t>Implementation checks concern action-set construction, rejection of absent or unavailable identifiers, stale-response guards, and geometric</w:t>
      </w:r>
      <w:r>
        <w:rPr>
          <w:color w:val="000000"/>
        </w:rPr>
        <w:t xml:space="preserve"> calculations. Section VI-F additionally measures model/gateway responses and latency under fixed snapshots; that replay does not execute live-client freshness or marker behavior. Deterministic conformance is not reported as AI accuracy, and rendering and </w:t>
      </w:r>
      <w:r>
        <w:rPr>
          <w:color w:val="000000"/>
        </w:rPr>
        <w:t>speech performance remain outside the present measurements.</w:t>
      </w:r>
    </w:p>
    <w:p w14:paraId="700586FF"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num="2" w:space="360"/>
        </w:sectPr>
      </w:pPr>
    </w:p>
    <w:tbl>
      <w:tblPr>
        <w:tblStyle w:val="Table"/>
        <w:tblW w:w="10440" w:type="dxa"/>
        <w:jc w:val="center"/>
        <w:tblBorders>
          <w:top w:val="nil"/>
          <w:left w:val="nil"/>
          <w:bottom w:val="nil"/>
          <w:right w:val="nil"/>
          <w:insideH w:val="nil"/>
          <w:insideV w:val="nil"/>
        </w:tblBorders>
        <w:tblLayout w:type="fixed"/>
        <w:tblLook w:val="04A0" w:firstRow="1" w:lastRow="0" w:firstColumn="1" w:lastColumn="0" w:noHBand="0" w:noVBand="1"/>
      </w:tblPr>
      <w:tblGrid>
        <w:gridCol w:w="5220"/>
        <w:gridCol w:w="5220"/>
      </w:tblGrid>
      <w:tr w:rsidR="007E1590" w14:paraId="3398D3D6" w14:textId="77777777" w:rsidTr="007E1590">
        <w:trPr>
          <w:cnfStyle w:val="100000000000" w:firstRow="1" w:lastRow="0" w:firstColumn="0" w:lastColumn="0" w:oddVBand="0" w:evenVBand="0" w:oddHBand="0" w:evenHBand="0" w:firstRowFirstColumn="0" w:firstRowLastColumn="0" w:lastRowFirstColumn="0" w:lastRowLastColumn="0"/>
          <w:cantSplit/>
          <w:jc w:val="center"/>
        </w:trPr>
        <w:tc>
          <w:tcPr>
            <w:tcW w:w="5220" w:type="dxa"/>
            <w:vAlign w:val="top"/>
          </w:tcPr>
          <w:p w14:paraId="1F18E1EB" w14:textId="77777777" w:rsidR="007E1590" w:rsidRDefault="00074FEE">
            <w:pPr>
              <w:keepNext/>
              <w:jc w:val="center"/>
            </w:pPr>
            <w:r>
              <w:rPr>
                <w:noProof/>
              </w:rPr>
              <w:lastRenderedPageBreak/>
              <w:drawing>
                <wp:inline distT="0" distB="0" distL="0" distR="0" wp14:anchorId="373FC007" wp14:editId="23B6A1AA">
                  <wp:extent cx="3136392" cy="17643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 部件说明介绍.png"/>
                          <pic:cNvPicPr/>
                        </pic:nvPicPr>
                        <pic:blipFill>
                          <a:blip r:embed="rId15"/>
                          <a:stretch>
                            <a:fillRect/>
                          </a:stretch>
                        </pic:blipFill>
                        <pic:spPr>
                          <a:xfrm>
                            <a:off x="0" y="0"/>
                            <a:ext cx="3136392" cy="1764383"/>
                          </a:xfrm>
                          <a:prstGeom prst="rect">
                            <a:avLst/>
                          </a:prstGeom>
                        </pic:spPr>
                      </pic:pic>
                    </a:graphicData>
                  </a:graphic>
                </wp:inline>
              </w:drawing>
            </w:r>
          </w:p>
          <w:p w14:paraId="189FC2D3" w14:textId="77777777" w:rsidR="007E1590" w:rsidRDefault="00074FEE">
            <w:pPr>
              <w:keepNext/>
              <w:spacing w:after="100"/>
              <w:jc w:val="center"/>
            </w:pPr>
            <w:r>
              <w:rPr>
                <w:color w:val="000000"/>
                <w:sz w:val="16"/>
              </w:rPr>
              <w:t>(a) Component description with an available experiment entry.</w:t>
            </w:r>
          </w:p>
        </w:tc>
        <w:tc>
          <w:tcPr>
            <w:tcW w:w="5220" w:type="dxa"/>
            <w:vAlign w:val="top"/>
          </w:tcPr>
          <w:p w14:paraId="4401D2F2" w14:textId="77777777" w:rsidR="007E1590" w:rsidRDefault="00074FEE">
            <w:pPr>
              <w:keepNext/>
              <w:jc w:val="center"/>
            </w:pPr>
            <w:r>
              <w:rPr>
                <w:noProof/>
              </w:rPr>
              <w:drawing>
                <wp:inline distT="0" distB="0" distL="0" distR="0" wp14:anchorId="3064B76C" wp14:editId="22DD7AB6">
                  <wp:extent cx="3136392" cy="16756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 AI解释说明.png"/>
                          <pic:cNvPicPr/>
                        </pic:nvPicPr>
                        <pic:blipFill>
                          <a:blip r:embed="rId16"/>
                          <a:stretch>
                            <a:fillRect/>
                          </a:stretch>
                        </pic:blipFill>
                        <pic:spPr>
                          <a:xfrm>
                            <a:off x="0" y="0"/>
                            <a:ext cx="3136392" cy="1675678"/>
                          </a:xfrm>
                          <a:prstGeom prst="rect">
                            <a:avLst/>
                          </a:prstGeom>
                        </pic:spPr>
                      </pic:pic>
                    </a:graphicData>
                  </a:graphic>
                </wp:inline>
              </w:drawing>
            </w:r>
          </w:p>
          <w:p w14:paraId="150673E5" w14:textId="77777777" w:rsidR="007E1590" w:rsidRDefault="00074FEE">
            <w:pPr>
              <w:keepNext/>
              <w:spacing w:after="100"/>
              <w:jc w:val="center"/>
            </w:pPr>
            <w:r>
              <w:rPr>
                <w:color w:val="000000"/>
                <w:sz w:val="16"/>
              </w:rPr>
              <w:t>(b) Contextual explanation of the selected module.</w:t>
            </w:r>
          </w:p>
        </w:tc>
      </w:tr>
      <w:tr w:rsidR="007E1590" w14:paraId="0426931F" w14:textId="77777777" w:rsidTr="007E1590">
        <w:trPr>
          <w:cantSplit/>
          <w:jc w:val="center"/>
        </w:trPr>
        <w:tc>
          <w:tcPr>
            <w:tcW w:w="5220" w:type="dxa"/>
          </w:tcPr>
          <w:p w14:paraId="090382B3" w14:textId="77777777" w:rsidR="007E1590" w:rsidRDefault="00074FEE">
            <w:pPr>
              <w:keepNext/>
              <w:jc w:val="center"/>
            </w:pPr>
            <w:r>
              <w:rPr>
                <w:noProof/>
              </w:rPr>
              <w:drawing>
                <wp:inline distT="0" distB="0" distL="0" distR="0" wp14:anchorId="25B94EBE" wp14:editId="510E9275">
                  <wp:extent cx="3136392" cy="17624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 AI 引路标识.png"/>
                          <pic:cNvPicPr/>
                        </pic:nvPicPr>
                        <pic:blipFill>
                          <a:blip r:embed="rId17"/>
                          <a:stretch>
                            <a:fillRect/>
                          </a:stretch>
                        </pic:blipFill>
                        <pic:spPr>
                          <a:xfrm>
                            <a:off x="0" y="0"/>
                            <a:ext cx="3136392" cy="1762428"/>
                          </a:xfrm>
                          <a:prstGeom prst="rect">
                            <a:avLst/>
                          </a:prstGeom>
                        </pic:spPr>
                      </pic:pic>
                    </a:graphicData>
                  </a:graphic>
                </wp:inline>
              </w:drawing>
            </w:r>
          </w:p>
          <w:p w14:paraId="66B9CB37" w14:textId="77777777" w:rsidR="007E1590" w:rsidRDefault="00074FEE">
            <w:pPr>
              <w:keepNext/>
              <w:spacing w:after="100"/>
              <w:jc w:val="center"/>
            </w:pPr>
            <w:r>
              <w:rPr>
                <w:color w:val="000000"/>
                <w:sz w:val="16"/>
              </w:rPr>
              <w:t>(c) Spatial guidance with a target marker.</w:t>
            </w:r>
          </w:p>
        </w:tc>
        <w:tc>
          <w:tcPr>
            <w:tcW w:w="5220" w:type="dxa"/>
          </w:tcPr>
          <w:p w14:paraId="00B5F40C" w14:textId="77777777" w:rsidR="007E1590" w:rsidRDefault="00074FEE">
            <w:pPr>
              <w:keepNext/>
              <w:jc w:val="center"/>
            </w:pPr>
            <w:r>
              <w:rPr>
                <w:noProof/>
              </w:rPr>
              <w:drawing>
                <wp:inline distT="0" distB="0" distL="0" distR="0" wp14:anchorId="37157EA0" wp14:editId="4EA79E16">
                  <wp:extent cx="3136392" cy="17456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 语音转文字.png"/>
                          <pic:cNvPicPr/>
                        </pic:nvPicPr>
                        <pic:blipFill>
                          <a:blip r:embed="rId18"/>
                          <a:stretch>
                            <a:fillRect/>
                          </a:stretch>
                        </pic:blipFill>
                        <pic:spPr>
                          <a:xfrm>
                            <a:off x="0" y="0"/>
                            <a:ext cx="3136392" cy="1745606"/>
                          </a:xfrm>
                          <a:prstGeom prst="rect">
                            <a:avLst/>
                          </a:prstGeom>
                        </pic:spPr>
                      </pic:pic>
                    </a:graphicData>
                  </a:graphic>
                </wp:inline>
              </w:drawing>
            </w:r>
          </w:p>
          <w:p w14:paraId="5F601586" w14:textId="77777777" w:rsidR="007E1590" w:rsidRDefault="00074FEE">
            <w:pPr>
              <w:keepNext/>
              <w:spacing w:after="100"/>
              <w:jc w:val="center"/>
            </w:pPr>
            <w:r>
              <w:rPr>
                <w:color w:val="000000"/>
                <w:sz w:val="16"/>
              </w:rPr>
              <w:t xml:space="preserve">(d) </w:t>
            </w:r>
            <w:r>
              <w:rPr>
                <w:color w:val="000000"/>
                <w:sz w:val="16"/>
              </w:rPr>
              <w:t>Speech-input interface.</w:t>
            </w:r>
          </w:p>
        </w:tc>
      </w:tr>
    </w:tbl>
    <w:p w14:paraId="56E6B83E" w14:textId="77777777" w:rsidR="007E1590" w:rsidRDefault="00074FEE">
      <w:pPr>
        <w:pStyle w:val="a0"/>
        <w:keepLines/>
        <w:spacing w:before="60" w:after="160"/>
        <w:jc w:val="both"/>
      </w:pPr>
      <w:r>
        <w:rPr>
          <w:color w:val="000000"/>
          <w:sz w:val="16"/>
        </w:rPr>
        <w:t xml:space="preserve">Fig. 4. Representative assistant interfaces: (a) component description and experiment entry; (b) contextual explanation; (c) spatial target guidance; and (d) speech input. These views illustrate interface states, not one </w:t>
      </w:r>
      <w:r>
        <w:rPr>
          <w:color w:val="000000"/>
          <w:sz w:val="16"/>
        </w:rPr>
        <w:t>uninterrupted session. The associated NA experiment feedback is shown in Fig. 2(c).</w:t>
      </w:r>
    </w:p>
    <w:p w14:paraId="6C371443" w14:textId="77777777" w:rsidR="007E1590" w:rsidRDefault="007E1590">
      <w:pPr>
        <w:spacing w:line="20" w:lineRule="exact"/>
        <w:sectPr w:rsidR="007E1590">
          <w:footnotePr>
            <w:numRestart w:val="eachSect"/>
          </w:footnotePr>
          <w:type w:val="continuous"/>
          <w:pgSz w:w="12240" w:h="15840"/>
          <w:pgMar w:top="1080" w:right="900" w:bottom="1440" w:left="900" w:header="432" w:footer="432" w:gutter="0"/>
          <w:cols w:space="360"/>
        </w:sectPr>
      </w:pPr>
    </w:p>
    <w:p w14:paraId="18114434" w14:textId="77777777" w:rsidR="007E1590" w:rsidRDefault="00074FEE">
      <w:pPr>
        <w:pStyle w:val="3"/>
        <w:spacing w:before="140" w:after="60"/>
      </w:pPr>
      <w:bookmarkStart w:id="24" w:name="participants-and-procedure"/>
      <w:bookmarkEnd w:id="23"/>
      <w:r>
        <w:rPr>
          <w:rFonts w:eastAsia="SimSun"/>
          <w:i/>
        </w:rPr>
        <w:t>B. Participants and Procedure</w:t>
      </w:r>
    </w:p>
    <w:p w14:paraId="69724E16" w14:textId="77777777" w:rsidR="007E1590" w:rsidRDefault="00074FEE">
      <w:pPr>
        <w:pStyle w:val="FirstParagraph"/>
        <w:ind w:firstLine="202"/>
        <w:jc w:val="both"/>
      </w:pPr>
      <w:r>
        <w:rPr>
          <w:color w:val="000000"/>
        </w:rPr>
        <w:t>The study included 19 participants; academic background describes sample composition rather than experimental groups or optic</w:t>
      </w:r>
      <w:r>
        <w:rPr>
          <w:color w:val="000000"/>
        </w:rPr>
        <w:t>s expertise.</w:t>
      </w:r>
    </w:p>
    <w:p w14:paraId="612AA1F8" w14:textId="77777777" w:rsidR="007E1590" w:rsidRDefault="00074FEE">
      <w:pPr>
        <w:pStyle w:val="a0"/>
        <w:keepNext/>
        <w:spacing w:before="160" w:after="80"/>
        <w:jc w:val="center"/>
      </w:pPr>
      <w:r>
        <w:rPr>
          <w:color w:val="000000"/>
          <w:sz w:val="16"/>
        </w:rPr>
        <w:t>TABLE III</w:t>
      </w:r>
      <w:r>
        <w:rPr>
          <w:color w:val="000000"/>
          <w:sz w:val="16"/>
        </w:rPr>
        <w:br/>
        <w:t>Academic background of participants (N = 19).</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7E1590" w14:paraId="080A85F9" w14:textId="77777777" w:rsidTr="007E1590">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3B948A39" w14:textId="77777777" w:rsidR="007E1590" w:rsidRDefault="00074FEE">
            <w:pPr>
              <w:pStyle w:val="Compact"/>
              <w:keepNext/>
              <w:spacing w:before="40" w:after="40"/>
            </w:pPr>
            <w:r>
              <w:rPr>
                <w:b/>
                <w:color w:val="000000"/>
                <w:sz w:val="16"/>
              </w:rPr>
              <w:t>Academic background</w:t>
            </w:r>
          </w:p>
        </w:tc>
        <w:tc>
          <w:tcPr>
            <w:tcW w:w="1663" w:type="dxa"/>
            <w:tcBorders>
              <w:bottom w:val="single" w:sz="4" w:space="0" w:color="auto"/>
            </w:tcBorders>
            <w:vAlign w:val="top"/>
          </w:tcPr>
          <w:p w14:paraId="4C879276" w14:textId="77777777" w:rsidR="007E1590" w:rsidRDefault="00074FEE">
            <w:pPr>
              <w:pStyle w:val="Compact"/>
              <w:keepNext/>
              <w:spacing w:before="40" w:after="40"/>
            </w:pPr>
            <w:r>
              <w:rPr>
                <w:b/>
                <w:color w:val="000000"/>
                <w:sz w:val="16"/>
              </w:rPr>
              <w:t>n</w:t>
            </w:r>
          </w:p>
        </w:tc>
      </w:tr>
      <w:tr w:rsidR="007E1590" w14:paraId="77813EA9" w14:textId="77777777" w:rsidTr="007E1590">
        <w:trPr>
          <w:cantSplit/>
          <w:jc w:val="center"/>
        </w:trPr>
        <w:tc>
          <w:tcPr>
            <w:tcW w:w="3377" w:type="dxa"/>
          </w:tcPr>
          <w:p w14:paraId="16C2516A" w14:textId="77777777" w:rsidR="007E1590" w:rsidRDefault="00074FEE">
            <w:pPr>
              <w:pStyle w:val="Compact"/>
              <w:keepNext/>
              <w:spacing w:before="40" w:after="40"/>
            </w:pPr>
            <w:r>
              <w:rPr>
                <w:color w:val="000000"/>
                <w:sz w:val="16"/>
              </w:rPr>
              <w:t>Physics</w:t>
            </w:r>
          </w:p>
        </w:tc>
        <w:tc>
          <w:tcPr>
            <w:tcW w:w="1663" w:type="dxa"/>
          </w:tcPr>
          <w:p w14:paraId="37BA0C93" w14:textId="77777777" w:rsidR="007E1590" w:rsidRDefault="00074FEE">
            <w:pPr>
              <w:pStyle w:val="Compact"/>
              <w:keepNext/>
              <w:spacing w:before="40" w:after="40"/>
            </w:pPr>
            <w:r>
              <w:rPr>
                <w:color w:val="000000"/>
                <w:sz w:val="16"/>
              </w:rPr>
              <w:t>6</w:t>
            </w:r>
          </w:p>
        </w:tc>
      </w:tr>
      <w:tr w:rsidR="007E1590" w14:paraId="4452B189" w14:textId="77777777" w:rsidTr="007E1590">
        <w:trPr>
          <w:cantSplit/>
          <w:jc w:val="center"/>
        </w:trPr>
        <w:tc>
          <w:tcPr>
            <w:tcW w:w="3377" w:type="dxa"/>
          </w:tcPr>
          <w:p w14:paraId="344DE2BD" w14:textId="77777777" w:rsidR="007E1590" w:rsidRDefault="00074FEE">
            <w:pPr>
              <w:pStyle w:val="Compact"/>
              <w:keepNext/>
              <w:spacing w:before="40" w:after="40"/>
            </w:pPr>
            <w:r>
              <w:rPr>
                <w:color w:val="000000"/>
                <w:sz w:val="16"/>
              </w:rPr>
              <w:t>Software Engineering</w:t>
            </w:r>
          </w:p>
        </w:tc>
        <w:tc>
          <w:tcPr>
            <w:tcW w:w="1663" w:type="dxa"/>
          </w:tcPr>
          <w:p w14:paraId="2B00448D" w14:textId="77777777" w:rsidR="007E1590" w:rsidRDefault="00074FEE">
            <w:pPr>
              <w:pStyle w:val="Compact"/>
              <w:keepNext/>
              <w:spacing w:before="40" w:after="40"/>
            </w:pPr>
            <w:r>
              <w:rPr>
                <w:color w:val="000000"/>
                <w:sz w:val="16"/>
              </w:rPr>
              <w:t>10</w:t>
            </w:r>
          </w:p>
        </w:tc>
      </w:tr>
      <w:tr w:rsidR="007E1590" w14:paraId="3B957D9B" w14:textId="77777777" w:rsidTr="007E1590">
        <w:trPr>
          <w:cantSplit/>
          <w:jc w:val="center"/>
        </w:trPr>
        <w:tc>
          <w:tcPr>
            <w:tcW w:w="3377" w:type="dxa"/>
          </w:tcPr>
          <w:p w14:paraId="3371A638" w14:textId="77777777" w:rsidR="007E1590" w:rsidRDefault="00074FEE">
            <w:pPr>
              <w:pStyle w:val="Compact"/>
              <w:keepNext/>
              <w:spacing w:before="40" w:after="40"/>
            </w:pPr>
            <w:r>
              <w:rPr>
                <w:color w:val="000000"/>
                <w:sz w:val="16"/>
              </w:rPr>
              <w:t>Business</w:t>
            </w:r>
          </w:p>
        </w:tc>
        <w:tc>
          <w:tcPr>
            <w:tcW w:w="1663" w:type="dxa"/>
          </w:tcPr>
          <w:p w14:paraId="2A0276D4" w14:textId="77777777" w:rsidR="007E1590" w:rsidRDefault="00074FEE">
            <w:pPr>
              <w:pStyle w:val="Compact"/>
              <w:keepNext/>
              <w:spacing w:before="40" w:after="40"/>
            </w:pPr>
            <w:r>
              <w:rPr>
                <w:color w:val="000000"/>
                <w:sz w:val="16"/>
              </w:rPr>
              <w:t>2</w:t>
            </w:r>
          </w:p>
        </w:tc>
      </w:tr>
      <w:tr w:rsidR="007E1590" w14:paraId="171FE5FC" w14:textId="77777777" w:rsidTr="007E1590">
        <w:trPr>
          <w:cantSplit/>
          <w:jc w:val="center"/>
        </w:trPr>
        <w:tc>
          <w:tcPr>
            <w:tcW w:w="3377" w:type="dxa"/>
          </w:tcPr>
          <w:p w14:paraId="71006DEF" w14:textId="77777777" w:rsidR="007E1590" w:rsidRDefault="00074FEE">
            <w:pPr>
              <w:pStyle w:val="Compact"/>
              <w:spacing w:before="40" w:after="40"/>
            </w:pPr>
            <w:r>
              <w:rPr>
                <w:color w:val="000000"/>
                <w:sz w:val="16"/>
              </w:rPr>
              <w:t>Philosophy</w:t>
            </w:r>
          </w:p>
        </w:tc>
        <w:tc>
          <w:tcPr>
            <w:tcW w:w="1663" w:type="dxa"/>
          </w:tcPr>
          <w:p w14:paraId="388666BB" w14:textId="77777777" w:rsidR="007E1590" w:rsidRDefault="00074FEE">
            <w:pPr>
              <w:pStyle w:val="Compact"/>
              <w:spacing w:before="40" w:after="40"/>
            </w:pPr>
            <w:r>
              <w:rPr>
                <w:color w:val="000000"/>
                <w:sz w:val="16"/>
              </w:rPr>
              <w:t>1</w:t>
            </w:r>
          </w:p>
        </w:tc>
      </w:tr>
    </w:tbl>
    <w:p w14:paraId="3DC6A40D" w14:textId="77777777" w:rsidR="007E1590" w:rsidRDefault="00074FEE">
      <w:pPr>
        <w:pStyle w:val="a0"/>
        <w:ind w:firstLine="202"/>
        <w:jc w:val="both"/>
      </w:pPr>
      <w:r>
        <w:rPr>
          <w:color w:val="000000"/>
        </w:rPr>
        <w:t>Quiet indoor sessions used a Meta Quest 3. After about three minutes of controller familiarization, participants handled and placed a specimen, entered observation, adjusted coarse/fine focus, switched objectives, adjusted illumination, explored SuperAssem</w:t>
      </w:r>
      <w:r>
        <w:rPr>
          <w:color w:val="000000"/>
        </w:rPr>
        <w:t>bly, and optionally consulted the AI. AI use was not a separate condition, so the study cannot identify an AI-versus-no-AI effect.</w:t>
      </w:r>
    </w:p>
    <w:p w14:paraId="089066B6" w14:textId="77777777" w:rsidR="007E1590" w:rsidRDefault="00074FEE">
      <w:pPr>
        <w:pStyle w:val="a0"/>
        <w:ind w:firstLine="202"/>
        <w:jc w:val="both"/>
      </w:pPr>
      <w:r>
        <w:rPr>
          <w:color w:val="000000"/>
        </w:rPr>
        <w:t>Participants then completed SUS [19], NASA-TLX [20], and an approximately 10-minute semi-structured interview. Quantitative a</w:t>
      </w:r>
      <w:r>
        <w:rPr>
          <w:color w:val="000000"/>
        </w:rPr>
        <w:t>nalysis uses completion and questionnaires; interviews provide formative feedback and were not coded as qualitative outcomes.</w:t>
      </w:r>
    </w:p>
    <w:p w14:paraId="26C0FB62" w14:textId="77777777" w:rsidR="007E1590" w:rsidRDefault="00074FEE">
      <w:pPr>
        <w:pStyle w:val="3"/>
        <w:spacing w:before="140" w:after="60"/>
      </w:pPr>
      <w:bookmarkStart w:id="25" w:name="measures-and-analysis"/>
      <w:bookmarkEnd w:id="24"/>
      <w:r>
        <w:rPr>
          <w:rFonts w:eastAsia="SimSun"/>
          <w:i/>
        </w:rPr>
        <w:t>C. Measures and Analysis</w:t>
      </w:r>
    </w:p>
    <w:p w14:paraId="547898F8" w14:textId="77777777" w:rsidR="007E1590" w:rsidRDefault="00074FEE">
      <w:pPr>
        <w:pStyle w:val="FirstParagraph"/>
        <w:ind w:firstLine="202"/>
        <w:jc w:val="both"/>
      </w:pPr>
      <w:r>
        <w:rPr>
          <w:color w:val="000000"/>
        </w:rPr>
        <w:t>Completion is the proportion finishing the required sequence. SUS measures perceived usability [19]; NASA</w:t>
      </w:r>
      <w:r>
        <w:rPr>
          <w:color w:val="000000"/>
        </w:rPr>
        <w:t>-TLX measures workload using the unweighted six-subscale Raw TLX [20], with lower Performance scores denoting greater perceived success. Measures are descriptive, and SUS is not treated as a knowledge score [21], [22].</w:t>
      </w:r>
    </w:p>
    <w:p w14:paraId="31914F0A" w14:textId="77777777" w:rsidR="007E1590" w:rsidRDefault="00074FEE">
      <w:pPr>
        <w:pStyle w:val="3"/>
        <w:spacing w:before="140" w:after="60"/>
      </w:pPr>
      <w:bookmarkStart w:id="26" w:name="user-study-results"/>
      <w:bookmarkEnd w:id="25"/>
      <w:r>
        <w:rPr>
          <w:rFonts w:eastAsia="SimSun"/>
          <w:i/>
        </w:rPr>
        <w:t>D. User-Study Results</w:t>
      </w:r>
    </w:p>
    <w:p w14:paraId="2E921085" w14:textId="77777777" w:rsidR="007E1590" w:rsidRDefault="00074FEE">
      <w:pPr>
        <w:pStyle w:val="FirstParagraph"/>
        <w:keepNext/>
        <w:spacing w:before="160" w:after="80"/>
        <w:jc w:val="center"/>
      </w:pPr>
      <w:r>
        <w:rPr>
          <w:color w:val="000000"/>
          <w:sz w:val="16"/>
        </w:rPr>
        <w:t>TABLE IV</w:t>
      </w:r>
      <w:r>
        <w:rPr>
          <w:color w:val="000000"/>
          <w:sz w:val="16"/>
        </w:rPr>
        <w:br/>
      </w:r>
      <w:r>
        <w:rPr>
          <w:color w:val="000000"/>
          <w:sz w:val="16"/>
        </w:rPr>
        <w:t>Descriptive outcomes for the full sample (N = 19).</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7E1590" w14:paraId="7E99ECE9" w14:textId="77777777" w:rsidTr="007E1590">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349088A5" w14:textId="77777777" w:rsidR="007E1590" w:rsidRDefault="00074FEE">
            <w:pPr>
              <w:pStyle w:val="Compact"/>
              <w:keepNext/>
              <w:spacing w:before="40" w:after="40"/>
            </w:pPr>
            <w:r>
              <w:rPr>
                <w:b/>
                <w:color w:val="000000"/>
                <w:sz w:val="16"/>
              </w:rPr>
              <w:t>Measure</w:t>
            </w:r>
          </w:p>
        </w:tc>
        <w:tc>
          <w:tcPr>
            <w:tcW w:w="1663" w:type="dxa"/>
            <w:tcBorders>
              <w:bottom w:val="single" w:sz="4" w:space="0" w:color="auto"/>
            </w:tcBorders>
            <w:vAlign w:val="top"/>
          </w:tcPr>
          <w:p w14:paraId="27D702FA" w14:textId="77777777" w:rsidR="007E1590" w:rsidRDefault="00074FEE">
            <w:pPr>
              <w:pStyle w:val="Compact"/>
              <w:keepNext/>
              <w:spacing w:before="40" w:after="40"/>
            </w:pPr>
            <w:r>
              <w:rPr>
                <w:b/>
                <w:color w:val="000000"/>
                <w:sz w:val="16"/>
              </w:rPr>
              <w:t>Result</w:t>
            </w:r>
          </w:p>
        </w:tc>
      </w:tr>
      <w:tr w:rsidR="007E1590" w14:paraId="3F78F859" w14:textId="77777777" w:rsidTr="007E1590">
        <w:trPr>
          <w:cantSplit/>
          <w:jc w:val="center"/>
        </w:trPr>
        <w:tc>
          <w:tcPr>
            <w:tcW w:w="3377" w:type="dxa"/>
          </w:tcPr>
          <w:p w14:paraId="72229A68" w14:textId="77777777" w:rsidR="007E1590" w:rsidRDefault="00074FEE">
            <w:pPr>
              <w:pStyle w:val="Compact"/>
              <w:keepNext/>
              <w:spacing w:before="40" w:after="40"/>
            </w:pPr>
            <w:r>
              <w:rPr>
                <w:color w:val="000000"/>
                <w:sz w:val="16"/>
              </w:rPr>
              <w:t>Core-task completion</w:t>
            </w:r>
          </w:p>
        </w:tc>
        <w:tc>
          <w:tcPr>
            <w:tcW w:w="1663" w:type="dxa"/>
          </w:tcPr>
          <w:p w14:paraId="348A7A0C" w14:textId="77777777" w:rsidR="007E1590" w:rsidRDefault="00074FEE">
            <w:pPr>
              <w:pStyle w:val="Compact"/>
              <w:keepNext/>
              <w:spacing w:before="40" w:after="40"/>
            </w:pPr>
            <w:r>
              <w:rPr>
                <w:color w:val="000000"/>
                <w:sz w:val="16"/>
              </w:rPr>
              <w:t>18/19 (94.7%)</w:t>
            </w:r>
          </w:p>
        </w:tc>
      </w:tr>
      <w:tr w:rsidR="007E1590" w14:paraId="12138D01" w14:textId="77777777" w:rsidTr="007E1590">
        <w:trPr>
          <w:cantSplit/>
          <w:jc w:val="center"/>
        </w:trPr>
        <w:tc>
          <w:tcPr>
            <w:tcW w:w="3377" w:type="dxa"/>
          </w:tcPr>
          <w:p w14:paraId="1EDC4DF1" w14:textId="77777777" w:rsidR="007E1590" w:rsidRDefault="00074FEE">
            <w:pPr>
              <w:pStyle w:val="Compact"/>
              <w:keepNext/>
              <w:spacing w:before="40" w:after="40"/>
            </w:pPr>
            <w:r>
              <w:rPr>
                <w:color w:val="000000"/>
                <w:sz w:val="16"/>
              </w:rPr>
              <w:t>SUS (0–100)</w:t>
            </w:r>
          </w:p>
        </w:tc>
        <w:tc>
          <w:tcPr>
            <w:tcW w:w="1663" w:type="dxa"/>
          </w:tcPr>
          <w:p w14:paraId="04A6E7B4" w14:textId="77777777" w:rsidR="007E1590" w:rsidRDefault="00074FEE">
            <w:pPr>
              <w:pStyle w:val="Compact"/>
              <w:keepNext/>
              <w:spacing w:before="40" w:after="40"/>
            </w:pPr>
            <w:r>
              <w:rPr>
                <w:color w:val="000000"/>
                <w:sz w:val="16"/>
              </w:rPr>
              <w:t>82.4</w:t>
            </w:r>
          </w:p>
        </w:tc>
      </w:tr>
      <w:tr w:rsidR="007E1590" w14:paraId="34F53589" w14:textId="77777777" w:rsidTr="007E1590">
        <w:trPr>
          <w:cantSplit/>
          <w:jc w:val="center"/>
        </w:trPr>
        <w:tc>
          <w:tcPr>
            <w:tcW w:w="3377" w:type="dxa"/>
          </w:tcPr>
          <w:p w14:paraId="13152413" w14:textId="77777777" w:rsidR="007E1590" w:rsidRDefault="00074FEE">
            <w:pPr>
              <w:pStyle w:val="Compact"/>
              <w:keepNext/>
              <w:spacing w:before="40" w:after="40"/>
            </w:pPr>
            <w:r>
              <w:rPr>
                <w:color w:val="000000"/>
                <w:sz w:val="16"/>
              </w:rPr>
              <w:t>NASA-TLX: Mental Demand (0–100)</w:t>
            </w:r>
          </w:p>
        </w:tc>
        <w:tc>
          <w:tcPr>
            <w:tcW w:w="1663" w:type="dxa"/>
          </w:tcPr>
          <w:p w14:paraId="2D15B609" w14:textId="77777777" w:rsidR="007E1590" w:rsidRDefault="00074FEE">
            <w:pPr>
              <w:pStyle w:val="Compact"/>
              <w:keepNext/>
              <w:spacing w:before="40" w:after="40"/>
            </w:pPr>
            <w:r>
              <w:rPr>
                <w:color w:val="000000"/>
                <w:sz w:val="16"/>
              </w:rPr>
              <w:t>42.9</w:t>
            </w:r>
          </w:p>
        </w:tc>
      </w:tr>
      <w:tr w:rsidR="007E1590" w14:paraId="72B66687" w14:textId="77777777" w:rsidTr="007E1590">
        <w:trPr>
          <w:cantSplit/>
          <w:jc w:val="center"/>
        </w:trPr>
        <w:tc>
          <w:tcPr>
            <w:tcW w:w="3377" w:type="dxa"/>
          </w:tcPr>
          <w:p w14:paraId="3E13A070" w14:textId="77777777" w:rsidR="007E1590" w:rsidRDefault="00074FEE">
            <w:pPr>
              <w:pStyle w:val="Compact"/>
              <w:keepNext/>
              <w:spacing w:before="40" w:after="40"/>
            </w:pPr>
            <w:r>
              <w:rPr>
                <w:color w:val="000000"/>
                <w:sz w:val="16"/>
              </w:rPr>
              <w:t>NASA-TLX: Physical Demand (0–100)</w:t>
            </w:r>
          </w:p>
        </w:tc>
        <w:tc>
          <w:tcPr>
            <w:tcW w:w="1663" w:type="dxa"/>
          </w:tcPr>
          <w:p w14:paraId="11FEB019" w14:textId="77777777" w:rsidR="007E1590" w:rsidRDefault="00074FEE">
            <w:pPr>
              <w:pStyle w:val="Compact"/>
              <w:keepNext/>
              <w:spacing w:before="40" w:after="40"/>
            </w:pPr>
            <w:r>
              <w:rPr>
                <w:color w:val="000000"/>
                <w:sz w:val="16"/>
              </w:rPr>
              <w:t>27.9</w:t>
            </w:r>
          </w:p>
        </w:tc>
      </w:tr>
      <w:tr w:rsidR="007E1590" w14:paraId="2F695B03" w14:textId="77777777" w:rsidTr="007E1590">
        <w:trPr>
          <w:cantSplit/>
          <w:jc w:val="center"/>
        </w:trPr>
        <w:tc>
          <w:tcPr>
            <w:tcW w:w="3377" w:type="dxa"/>
          </w:tcPr>
          <w:p w14:paraId="5A8832C4" w14:textId="77777777" w:rsidR="007E1590" w:rsidRDefault="00074FEE">
            <w:pPr>
              <w:pStyle w:val="Compact"/>
              <w:keepNext/>
              <w:spacing w:before="40" w:after="40"/>
            </w:pPr>
            <w:r>
              <w:rPr>
                <w:color w:val="000000"/>
                <w:sz w:val="16"/>
              </w:rPr>
              <w:t>NASA-TLX: Temporal Demand (0–100)</w:t>
            </w:r>
          </w:p>
        </w:tc>
        <w:tc>
          <w:tcPr>
            <w:tcW w:w="1663" w:type="dxa"/>
          </w:tcPr>
          <w:p w14:paraId="36106E6F" w14:textId="77777777" w:rsidR="007E1590" w:rsidRDefault="00074FEE">
            <w:pPr>
              <w:pStyle w:val="Compact"/>
              <w:keepNext/>
              <w:spacing w:before="40" w:after="40"/>
            </w:pPr>
            <w:r>
              <w:rPr>
                <w:color w:val="000000"/>
                <w:sz w:val="16"/>
              </w:rPr>
              <w:t>30.8</w:t>
            </w:r>
          </w:p>
        </w:tc>
      </w:tr>
      <w:tr w:rsidR="007E1590" w14:paraId="39EE77C4" w14:textId="77777777" w:rsidTr="007E1590">
        <w:trPr>
          <w:cantSplit/>
          <w:jc w:val="center"/>
        </w:trPr>
        <w:tc>
          <w:tcPr>
            <w:tcW w:w="3377" w:type="dxa"/>
          </w:tcPr>
          <w:p w14:paraId="77D54EE3" w14:textId="77777777" w:rsidR="007E1590" w:rsidRDefault="00074FEE">
            <w:pPr>
              <w:pStyle w:val="Compact"/>
              <w:keepNext/>
              <w:spacing w:before="40" w:after="40"/>
            </w:pPr>
            <w:r>
              <w:rPr>
                <w:color w:val="000000"/>
                <w:sz w:val="16"/>
              </w:rPr>
              <w:t>NASA-TLX: Performance (0–100)*</w:t>
            </w:r>
          </w:p>
        </w:tc>
        <w:tc>
          <w:tcPr>
            <w:tcW w:w="1663" w:type="dxa"/>
          </w:tcPr>
          <w:p w14:paraId="4D4061A3" w14:textId="77777777" w:rsidR="007E1590" w:rsidRDefault="00074FEE">
            <w:pPr>
              <w:pStyle w:val="Compact"/>
              <w:keepNext/>
              <w:spacing w:before="40" w:after="40"/>
            </w:pPr>
            <w:r>
              <w:rPr>
                <w:color w:val="000000"/>
                <w:sz w:val="16"/>
              </w:rPr>
              <w:t>23.7</w:t>
            </w:r>
          </w:p>
        </w:tc>
      </w:tr>
      <w:tr w:rsidR="007E1590" w14:paraId="31A75E9F" w14:textId="77777777" w:rsidTr="007E1590">
        <w:trPr>
          <w:cantSplit/>
          <w:jc w:val="center"/>
        </w:trPr>
        <w:tc>
          <w:tcPr>
            <w:tcW w:w="3377" w:type="dxa"/>
          </w:tcPr>
          <w:p w14:paraId="0C7573F8" w14:textId="77777777" w:rsidR="007E1590" w:rsidRDefault="00074FEE">
            <w:pPr>
              <w:pStyle w:val="Compact"/>
              <w:keepNext/>
              <w:spacing w:before="40" w:after="40"/>
            </w:pPr>
            <w:r>
              <w:rPr>
                <w:color w:val="000000"/>
                <w:sz w:val="16"/>
              </w:rPr>
              <w:t>NASA-TLX: Effort (0–100)</w:t>
            </w:r>
          </w:p>
        </w:tc>
        <w:tc>
          <w:tcPr>
            <w:tcW w:w="1663" w:type="dxa"/>
          </w:tcPr>
          <w:p w14:paraId="10EEBBCD" w14:textId="77777777" w:rsidR="007E1590" w:rsidRDefault="00074FEE">
            <w:pPr>
              <w:pStyle w:val="Compact"/>
              <w:keepNext/>
              <w:spacing w:before="40" w:after="40"/>
            </w:pPr>
            <w:r>
              <w:rPr>
                <w:color w:val="000000"/>
                <w:sz w:val="16"/>
              </w:rPr>
              <w:t>44.7</w:t>
            </w:r>
          </w:p>
        </w:tc>
      </w:tr>
      <w:tr w:rsidR="007E1590" w14:paraId="0964346F" w14:textId="77777777" w:rsidTr="007E1590">
        <w:trPr>
          <w:cantSplit/>
          <w:jc w:val="center"/>
        </w:trPr>
        <w:tc>
          <w:tcPr>
            <w:tcW w:w="3377" w:type="dxa"/>
          </w:tcPr>
          <w:p w14:paraId="7CE5C79C" w14:textId="77777777" w:rsidR="007E1590" w:rsidRDefault="00074FEE">
            <w:pPr>
              <w:pStyle w:val="Compact"/>
              <w:keepNext/>
              <w:spacing w:before="40" w:after="40"/>
            </w:pPr>
            <w:r>
              <w:rPr>
                <w:color w:val="000000"/>
                <w:sz w:val="16"/>
              </w:rPr>
              <w:t>NASA-TLX: Frustration (0–100)</w:t>
            </w:r>
          </w:p>
        </w:tc>
        <w:tc>
          <w:tcPr>
            <w:tcW w:w="1663" w:type="dxa"/>
          </w:tcPr>
          <w:p w14:paraId="1627A150" w14:textId="77777777" w:rsidR="007E1590" w:rsidRDefault="00074FEE">
            <w:pPr>
              <w:pStyle w:val="Compact"/>
              <w:keepNext/>
              <w:spacing w:before="40" w:after="40"/>
            </w:pPr>
            <w:r>
              <w:rPr>
                <w:color w:val="000000"/>
                <w:sz w:val="16"/>
              </w:rPr>
              <w:t>24.2</w:t>
            </w:r>
          </w:p>
        </w:tc>
      </w:tr>
      <w:tr w:rsidR="007E1590" w14:paraId="78E0C1F2" w14:textId="77777777" w:rsidTr="007E1590">
        <w:trPr>
          <w:cantSplit/>
          <w:jc w:val="center"/>
        </w:trPr>
        <w:tc>
          <w:tcPr>
            <w:tcW w:w="3377" w:type="dxa"/>
          </w:tcPr>
          <w:p w14:paraId="643C4CE8" w14:textId="77777777" w:rsidR="007E1590" w:rsidRDefault="00074FEE">
            <w:pPr>
              <w:pStyle w:val="Compact"/>
              <w:spacing w:before="40" w:after="40"/>
            </w:pPr>
            <w:r>
              <w:rPr>
                <w:color w:val="000000"/>
                <w:sz w:val="16"/>
              </w:rPr>
              <w:t>NASA-TLX: Overall Workload (R-TLX, 0–100)</w:t>
            </w:r>
          </w:p>
        </w:tc>
        <w:tc>
          <w:tcPr>
            <w:tcW w:w="1663" w:type="dxa"/>
          </w:tcPr>
          <w:p w14:paraId="785F3E2A" w14:textId="77777777" w:rsidR="007E1590" w:rsidRDefault="00074FEE">
            <w:pPr>
              <w:pStyle w:val="Compact"/>
              <w:spacing w:before="40" w:after="40"/>
            </w:pPr>
            <w:r>
              <w:rPr>
                <w:color w:val="000000"/>
                <w:sz w:val="16"/>
              </w:rPr>
              <w:t>32.4</w:t>
            </w:r>
          </w:p>
        </w:tc>
      </w:tr>
    </w:tbl>
    <w:p w14:paraId="617D684F" w14:textId="77777777" w:rsidR="007E1590" w:rsidRDefault="00074FEE">
      <w:pPr>
        <w:pStyle w:val="a0"/>
        <w:spacing w:before="40" w:after="120"/>
        <w:jc w:val="both"/>
      </w:pPr>
      <w:r>
        <w:rPr>
          <w:i/>
          <w:color w:val="000000"/>
          <w:sz w:val="16"/>
        </w:rPr>
        <w:t>*Note: NASA-TLX Performance is scored on a workload-oriented scale (0 = Good/high success, 100 = Poor/failure) consistent with Hart &amp; Staveland [20]; lower values reflect higher self-rated success. Overall Workload is the unweighted Raw TLX (R-TLX) composi</w:t>
      </w:r>
      <w:r>
        <w:rPr>
          <w:i/>
          <w:color w:val="000000"/>
          <w:sz w:val="16"/>
        </w:rPr>
        <w:t>te score across all six subscales.</w:t>
      </w:r>
    </w:p>
    <w:p w14:paraId="2317813B" w14:textId="77777777" w:rsidR="007E1590" w:rsidRDefault="00074FEE">
      <w:pPr>
        <w:pStyle w:val="a0"/>
        <w:ind w:firstLine="202"/>
        <w:jc w:val="both"/>
      </w:pPr>
      <w:r>
        <w:rPr>
          <w:color w:val="000000"/>
        </w:rPr>
        <w:lastRenderedPageBreak/>
        <w:t>Eighteen participants completed the sequence; SUS of 82.4 indicates high perceived usability [22]. Effort and Mental Demand were the largest workload dimensions. Without a control condition, these differences remain descr</w:t>
      </w:r>
      <w:r>
        <w:rPr>
          <w:color w:val="000000"/>
        </w:rPr>
        <w:t>iptive.</w:t>
      </w:r>
    </w:p>
    <w:p w14:paraId="57C588CD" w14:textId="77777777" w:rsidR="007E1590" w:rsidRDefault="00074FEE">
      <w:pPr>
        <w:pStyle w:val="3"/>
        <w:spacing w:before="140" w:after="60"/>
      </w:pPr>
      <w:bookmarkStart w:id="27" w:name="interpretation-and-validity-boundaries"/>
      <w:bookmarkEnd w:id="26"/>
      <w:r>
        <w:rPr>
          <w:rFonts w:eastAsia="SimSun"/>
          <w:i/>
        </w:rPr>
        <w:t>E. Interpretation and Validity Boundaries</w:t>
      </w:r>
    </w:p>
    <w:p w14:paraId="501E0E8B" w14:textId="77777777" w:rsidR="007E1590" w:rsidRDefault="00074FEE">
      <w:pPr>
        <w:pStyle w:val="FirstParagraph"/>
        <w:ind w:firstLine="202"/>
        <w:jc w:val="both"/>
      </w:pPr>
      <w:r>
        <w:rPr>
          <w:color w:val="000000"/>
        </w:rPr>
        <w:t>This single-group study supports feasibility and perceived usability, not causal AI learning gains or real-instrument transfer. Uneven academic categories are not compared statistically. Speech, frame rate,</w:t>
      </w:r>
      <w:r>
        <w:rPr>
          <w:color w:val="000000"/>
        </w:rPr>
        <w:t xml:space="preserve"> and adversarial robustness need separate tests; Section VI-F evaluates model/gateway responses.</w:t>
      </w:r>
    </w:p>
    <w:p w14:paraId="2C20BDD1" w14:textId="77777777" w:rsidR="007E1590" w:rsidRDefault="00074FEE">
      <w:pPr>
        <w:pStyle w:val="3"/>
        <w:spacing w:before="140" w:after="60"/>
      </w:pPr>
      <w:bookmarkStart w:id="28" w:name="fixed-state-ai-guidance-benchmark"/>
      <w:bookmarkEnd w:id="27"/>
      <w:r>
        <w:rPr>
          <w:rFonts w:eastAsia="SimSun"/>
          <w:i/>
        </w:rPr>
        <w:t>F. Fixed-State AI Guidance Benchmark</w:t>
      </w:r>
    </w:p>
    <w:p w14:paraId="7F1ED429" w14:textId="77777777" w:rsidR="007E1590" w:rsidRDefault="00074FEE">
      <w:pPr>
        <w:pStyle w:val="FirstParagraph"/>
        <w:ind w:firstLine="202"/>
        <w:jc w:val="both"/>
      </w:pPr>
      <w:r>
        <w:rPr>
          <w:color w:val="000000"/>
        </w:rPr>
        <w:t>We replayed 26 implementation-derived cases three times through the gateway (78 requests): eight availability, eight goal,</w:t>
      </w:r>
      <w:r>
        <w:rPr>
          <w:color w:val="000000"/>
        </w:rPr>
        <w:t xml:space="preserve"> six boundary, and four navigation cases. Desktop snapshots and synthetic geometry were supplied, without live Unity capture. Goal-relevant actions satisfy </w:t>
      </w:r>
      <m:oMath>
        <m:r>
          <m:rPr>
            <m:scr m:val="script"/>
            <m:sty m:val="p"/>
          </m:rP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Pr>
          <w:color w:val="000000"/>
        </w:rPr>
        <w:t>. The original rubric required operations in 14 cases (42 requests) and navigation i</w:t>
      </w:r>
      <w:r>
        <w:rPr>
          <w:color w:val="000000"/>
        </w:rPr>
        <w:t>n four (12 requests).</w:t>
      </w:r>
    </w:p>
    <w:p w14:paraId="5CBE35E8" w14:textId="77777777" w:rsidR="007E1590" w:rsidRDefault="00074FEE">
      <w:pPr>
        <w:pStyle w:val="a0"/>
        <w:ind w:firstLine="202"/>
        <w:jc w:val="both"/>
      </w:pPr>
      <w:r>
        <w:rPr>
          <w:color w:val="000000"/>
        </w:rPr>
        <w:t xml:space="preserve">The 19 September 2026 run used DeepSeek </w:t>
      </w:r>
      <w:r>
        <w:rPr>
          <w:rStyle w:val="VerbatimChar"/>
          <w:rFonts w:ascii="Times New Roman" w:hAnsi="Times New Roman"/>
          <w:color w:val="000000"/>
          <w:sz w:val="20"/>
        </w:rPr>
        <w:t>deepseek-flash</w:t>
      </w:r>
      <w:r>
        <w:rPr>
          <w:color w:val="000000"/>
        </w:rPr>
        <w:t xml:space="preserve">, protocol </w:t>
      </w:r>
      <w:r>
        <w:rPr>
          <w:rStyle w:val="VerbatimChar"/>
          <w:rFonts w:ascii="Times New Roman" w:hAnsi="Times New Roman"/>
          <w:color w:val="000000"/>
          <w:sz w:val="20"/>
        </w:rPr>
        <w:t>assistant-chat-v4-guidance</w:t>
      </w:r>
      <w:r>
        <w:rPr>
          <w:color w:val="000000"/>
        </w:rPr>
        <w:t xml:space="preserve">, knowledge </w:t>
      </w:r>
      <w:r>
        <w:rPr>
          <w:rStyle w:val="VerbatimChar"/>
          <w:rFonts w:ascii="Times New Roman" w:hAnsi="Times New Roman"/>
          <w:color w:val="000000"/>
          <w:sz w:val="20"/>
        </w:rPr>
        <w:t>0a594b7b56cbda74</w:t>
      </w:r>
      <w:r>
        <w:rPr>
          <w:color w:val="000000"/>
        </w:rPr>
        <w:t>, temperature 0.2, 1,500 output tokens, disabled thinking, non-streaming JSON, and an 18-s timeout. Seed 2027 contr</w:t>
      </w:r>
      <w:r>
        <w:rPr>
          <w:color w:val="000000"/>
        </w:rPr>
        <w:t>olled request order only; the model alias is not an immutable revision.</w:t>
      </w:r>
    </w:p>
    <w:p w14:paraId="0826FFCB" w14:textId="77777777" w:rsidR="007E1590" w:rsidRDefault="00074FEE">
      <w:pPr>
        <w:pStyle w:val="a0"/>
        <w:ind w:firstLine="202"/>
        <w:jc w:val="both"/>
      </w:pPr>
      <w:r>
        <w:rPr>
          <w:color w:val="000000"/>
        </w:rPr>
        <w:t>All 42 raw/final operating actions were available and matched the original goal labels; all 12 navigation targets matched. Subsequent author review of Chinese-translated question–answe</w:t>
      </w:r>
      <w:r>
        <w:rPr>
          <w:color w:val="000000"/>
        </w:rPr>
        <w:t>r pairs accepted 75/78 final responses (96.2%). This single binary review had no independent raters; operating answers used canonical catalog prose.</w:t>
      </w:r>
    </w:p>
    <w:p w14:paraId="5B2FC18C" w14:textId="77777777" w:rsidR="007E1590" w:rsidRDefault="00074FEE">
      <w:pPr>
        <w:pStyle w:val="a0"/>
        <w:keepNext/>
        <w:spacing w:before="160" w:after="80"/>
        <w:jc w:val="center"/>
      </w:pPr>
      <w:r>
        <w:rPr>
          <w:color w:val="000000"/>
          <w:sz w:val="16"/>
        </w:rPr>
        <w:t>TABLE V</w:t>
      </w:r>
      <w:r>
        <w:rPr>
          <w:color w:val="000000"/>
          <w:sz w:val="16"/>
        </w:rPr>
        <w:br/>
        <w:t>Gateway replay and subsequent manual review. Operation decisions retain the original 42-request coh</w:t>
      </w:r>
      <w:r>
        <w:rPr>
          <w:color w:val="000000"/>
          <w:sz w:val="16"/>
        </w:rPr>
        <w:t>ort.</w:t>
      </w:r>
    </w:p>
    <w:tbl>
      <w:tblPr>
        <w:tblStyle w:val="Table"/>
        <w:tblW w:w="5040" w:type="dxa"/>
        <w:jc w:val="center"/>
        <w:tblBorders>
          <w:top w:val="single" w:sz="6" w:space="0" w:color="auto"/>
          <w:left w:val="nil"/>
          <w:bottom w:val="single" w:sz="6" w:space="0" w:color="auto"/>
          <w:right w:val="nil"/>
          <w:insideH w:val="nil"/>
          <w:insideV w:val="nil"/>
        </w:tblBorders>
        <w:tblLayout w:type="fixed"/>
        <w:tblLook w:val="0020" w:firstRow="1" w:lastRow="0" w:firstColumn="0" w:lastColumn="0" w:noHBand="0" w:noVBand="0"/>
      </w:tblPr>
      <w:tblGrid>
        <w:gridCol w:w="3377"/>
        <w:gridCol w:w="1663"/>
      </w:tblGrid>
      <w:tr w:rsidR="007E1590" w14:paraId="1124BCE4" w14:textId="77777777" w:rsidTr="007E1590">
        <w:trPr>
          <w:cnfStyle w:val="100000000000" w:firstRow="1" w:lastRow="0" w:firstColumn="0" w:lastColumn="0" w:oddVBand="0" w:evenVBand="0" w:oddHBand="0" w:evenHBand="0" w:firstRowFirstColumn="0" w:firstRowLastColumn="0" w:lastRowFirstColumn="0" w:lastRowLastColumn="0"/>
          <w:cantSplit/>
          <w:tblHeader/>
          <w:jc w:val="center"/>
        </w:trPr>
        <w:tc>
          <w:tcPr>
            <w:tcW w:w="3377" w:type="dxa"/>
            <w:tcBorders>
              <w:bottom w:val="single" w:sz="4" w:space="0" w:color="auto"/>
            </w:tcBorders>
            <w:vAlign w:val="top"/>
          </w:tcPr>
          <w:p w14:paraId="5220F78B" w14:textId="77777777" w:rsidR="007E1590" w:rsidRDefault="00074FEE">
            <w:pPr>
              <w:pStyle w:val="Compact"/>
              <w:keepNext/>
              <w:spacing w:before="40" w:after="40"/>
            </w:pPr>
            <w:r>
              <w:rPr>
                <w:b/>
                <w:color w:val="000000"/>
                <w:sz w:val="16"/>
              </w:rPr>
              <w:t>Metric</w:t>
            </w:r>
          </w:p>
        </w:tc>
        <w:tc>
          <w:tcPr>
            <w:tcW w:w="1663" w:type="dxa"/>
            <w:tcBorders>
              <w:bottom w:val="single" w:sz="4" w:space="0" w:color="auto"/>
            </w:tcBorders>
            <w:vAlign w:val="top"/>
          </w:tcPr>
          <w:p w14:paraId="55C5679C" w14:textId="77777777" w:rsidR="007E1590" w:rsidRDefault="00074FEE">
            <w:pPr>
              <w:pStyle w:val="Compact"/>
              <w:keepNext/>
              <w:spacing w:before="40" w:after="40"/>
            </w:pPr>
            <w:r>
              <w:rPr>
                <w:b/>
                <w:color w:val="000000"/>
                <w:sz w:val="16"/>
              </w:rPr>
              <w:t>Result</w:t>
            </w:r>
          </w:p>
        </w:tc>
      </w:tr>
      <w:tr w:rsidR="007E1590" w14:paraId="612D8E6C" w14:textId="77777777" w:rsidTr="007E1590">
        <w:trPr>
          <w:cantSplit/>
          <w:jc w:val="center"/>
        </w:trPr>
        <w:tc>
          <w:tcPr>
            <w:tcW w:w="3377" w:type="dxa"/>
          </w:tcPr>
          <w:p w14:paraId="496F3BE9" w14:textId="77777777" w:rsidR="007E1590" w:rsidRDefault="00074FEE">
            <w:pPr>
              <w:pStyle w:val="Compact"/>
              <w:keepNext/>
              <w:spacing w:before="40" w:after="40"/>
            </w:pPr>
            <w:r>
              <w:rPr>
                <w:color w:val="000000"/>
                <w:sz w:val="16"/>
              </w:rPr>
              <w:t>Completed / initial contract valid</w:t>
            </w:r>
          </w:p>
        </w:tc>
        <w:tc>
          <w:tcPr>
            <w:tcW w:w="1663" w:type="dxa"/>
          </w:tcPr>
          <w:p w14:paraId="4B5A459E" w14:textId="77777777" w:rsidR="007E1590" w:rsidRDefault="00074FEE">
            <w:pPr>
              <w:pStyle w:val="Compact"/>
              <w:keepNext/>
              <w:spacing w:before="40" w:after="40"/>
            </w:pPr>
            <w:r>
              <w:rPr>
                <w:color w:val="000000"/>
                <w:sz w:val="16"/>
              </w:rPr>
              <w:t>78/78 each</w:t>
            </w:r>
          </w:p>
        </w:tc>
      </w:tr>
      <w:tr w:rsidR="007E1590" w14:paraId="013AD23C" w14:textId="77777777" w:rsidTr="007E1590">
        <w:trPr>
          <w:cantSplit/>
          <w:jc w:val="center"/>
        </w:trPr>
        <w:tc>
          <w:tcPr>
            <w:tcW w:w="3377" w:type="dxa"/>
          </w:tcPr>
          <w:p w14:paraId="2BBD9EC6" w14:textId="77777777" w:rsidR="007E1590" w:rsidRDefault="00074FEE">
            <w:pPr>
              <w:pStyle w:val="Compact"/>
              <w:keepNext/>
              <w:spacing w:before="40" w:after="40"/>
            </w:pPr>
            <w:r>
              <w:rPr>
                <w:color w:val="000000"/>
                <w:sz w:val="16"/>
              </w:rPr>
              <w:t>Available actions, raw / final</w:t>
            </w:r>
          </w:p>
        </w:tc>
        <w:tc>
          <w:tcPr>
            <w:tcW w:w="1663" w:type="dxa"/>
          </w:tcPr>
          <w:p w14:paraId="2480EE18" w14:textId="77777777" w:rsidR="007E1590" w:rsidRDefault="00074FEE">
            <w:pPr>
              <w:pStyle w:val="Compact"/>
              <w:keepNext/>
              <w:spacing w:before="40" w:after="40"/>
            </w:pPr>
            <w:r>
              <w:rPr>
                <w:color w:val="000000"/>
                <w:sz w:val="16"/>
              </w:rPr>
              <w:t>42/42 each</w:t>
            </w:r>
          </w:p>
        </w:tc>
      </w:tr>
      <w:tr w:rsidR="007E1590" w14:paraId="6D0B2D6E" w14:textId="77777777" w:rsidTr="007E1590">
        <w:trPr>
          <w:cantSplit/>
          <w:jc w:val="center"/>
        </w:trPr>
        <w:tc>
          <w:tcPr>
            <w:tcW w:w="3377" w:type="dxa"/>
          </w:tcPr>
          <w:p w14:paraId="489FEE29" w14:textId="77777777" w:rsidR="007E1590" w:rsidRDefault="00074FEE">
            <w:pPr>
              <w:pStyle w:val="Compact"/>
              <w:keepNext/>
              <w:spacing w:before="40" w:after="40"/>
            </w:pPr>
            <w:r>
              <w:rPr>
                <w:color w:val="000000"/>
                <w:sz w:val="16"/>
              </w:rPr>
              <w:t>Operation decisions, manual</w:t>
            </w:r>
          </w:p>
        </w:tc>
        <w:tc>
          <w:tcPr>
            <w:tcW w:w="1663" w:type="dxa"/>
          </w:tcPr>
          <w:p w14:paraId="3A8074BC" w14:textId="77777777" w:rsidR="007E1590" w:rsidRDefault="00074FEE">
            <w:pPr>
              <w:pStyle w:val="Compact"/>
              <w:keepNext/>
              <w:spacing w:before="40" w:after="40"/>
            </w:pPr>
            <w:r>
              <w:rPr>
                <w:color w:val="000000"/>
                <w:sz w:val="16"/>
              </w:rPr>
              <w:t>39/42 (92.9%)</w:t>
            </w:r>
          </w:p>
        </w:tc>
      </w:tr>
      <w:tr w:rsidR="007E1590" w14:paraId="204CEEF3" w14:textId="77777777" w:rsidTr="007E1590">
        <w:trPr>
          <w:cantSplit/>
          <w:jc w:val="center"/>
        </w:trPr>
        <w:tc>
          <w:tcPr>
            <w:tcW w:w="3377" w:type="dxa"/>
          </w:tcPr>
          <w:p w14:paraId="60DACCB2" w14:textId="77777777" w:rsidR="007E1590" w:rsidRDefault="00074FEE">
            <w:pPr>
              <w:pStyle w:val="Compact"/>
              <w:keepNext/>
              <w:spacing w:before="40" w:after="40"/>
            </w:pPr>
            <w:r>
              <w:rPr>
                <w:color w:val="000000"/>
                <w:sz w:val="16"/>
              </w:rPr>
              <w:t>Navigation targets, raw / final</w:t>
            </w:r>
          </w:p>
        </w:tc>
        <w:tc>
          <w:tcPr>
            <w:tcW w:w="1663" w:type="dxa"/>
          </w:tcPr>
          <w:p w14:paraId="44EBACB1" w14:textId="77777777" w:rsidR="007E1590" w:rsidRDefault="00074FEE">
            <w:pPr>
              <w:pStyle w:val="Compact"/>
              <w:keepNext/>
              <w:spacing w:before="40" w:after="40"/>
            </w:pPr>
            <w:r>
              <w:rPr>
                <w:color w:val="000000"/>
                <w:sz w:val="16"/>
              </w:rPr>
              <w:t>12/12 each</w:t>
            </w:r>
          </w:p>
        </w:tc>
      </w:tr>
      <w:tr w:rsidR="007E1590" w14:paraId="61284B32" w14:textId="77777777" w:rsidTr="007E1590">
        <w:trPr>
          <w:cantSplit/>
          <w:jc w:val="center"/>
        </w:trPr>
        <w:tc>
          <w:tcPr>
            <w:tcW w:w="3377" w:type="dxa"/>
          </w:tcPr>
          <w:p w14:paraId="4277A24A" w14:textId="77777777" w:rsidR="007E1590" w:rsidRDefault="00074FEE">
            <w:pPr>
              <w:pStyle w:val="Compact"/>
              <w:keepNext/>
              <w:spacing w:before="40" w:after="40"/>
            </w:pPr>
            <w:r>
              <w:rPr>
                <w:color w:val="000000"/>
                <w:sz w:val="16"/>
              </w:rPr>
              <w:t>Accepted answers, manual</w:t>
            </w:r>
          </w:p>
        </w:tc>
        <w:tc>
          <w:tcPr>
            <w:tcW w:w="1663" w:type="dxa"/>
          </w:tcPr>
          <w:p w14:paraId="0299CBB3" w14:textId="77777777" w:rsidR="007E1590" w:rsidRDefault="00074FEE">
            <w:pPr>
              <w:pStyle w:val="Compact"/>
              <w:keepNext/>
              <w:spacing w:before="40" w:after="40"/>
            </w:pPr>
            <w:r>
              <w:rPr>
                <w:color w:val="000000"/>
                <w:sz w:val="16"/>
              </w:rPr>
              <w:t>75/78 (96.2%)</w:t>
            </w:r>
          </w:p>
        </w:tc>
      </w:tr>
      <w:tr w:rsidR="007E1590" w14:paraId="05B0A6D5" w14:textId="77777777" w:rsidTr="007E1590">
        <w:trPr>
          <w:cantSplit/>
          <w:jc w:val="center"/>
        </w:trPr>
        <w:tc>
          <w:tcPr>
            <w:tcW w:w="3377" w:type="dxa"/>
          </w:tcPr>
          <w:p w14:paraId="61D9ADB5" w14:textId="77777777" w:rsidR="007E1590" w:rsidRDefault="00074FEE">
            <w:pPr>
              <w:pStyle w:val="Compact"/>
              <w:keepNext/>
              <w:spacing w:before="40" w:after="40"/>
            </w:pPr>
            <w:r>
              <w:rPr>
                <w:color w:val="000000"/>
                <w:sz w:val="16"/>
              </w:rPr>
              <w:t>GC01 clarification failures</w:t>
            </w:r>
          </w:p>
        </w:tc>
        <w:tc>
          <w:tcPr>
            <w:tcW w:w="1663" w:type="dxa"/>
          </w:tcPr>
          <w:p w14:paraId="76E9E2D9" w14:textId="77777777" w:rsidR="007E1590" w:rsidRDefault="00074FEE">
            <w:pPr>
              <w:pStyle w:val="Compact"/>
              <w:keepNext/>
              <w:spacing w:before="40" w:after="40"/>
            </w:pPr>
            <w:r>
              <w:rPr>
                <w:color w:val="000000"/>
                <w:sz w:val="16"/>
              </w:rPr>
              <w:t>3/3</w:t>
            </w:r>
          </w:p>
        </w:tc>
      </w:tr>
      <w:tr w:rsidR="007E1590" w14:paraId="34915DC1" w14:textId="77777777" w:rsidTr="007E1590">
        <w:trPr>
          <w:cantSplit/>
          <w:jc w:val="center"/>
        </w:trPr>
        <w:tc>
          <w:tcPr>
            <w:tcW w:w="3377" w:type="dxa"/>
          </w:tcPr>
          <w:p w14:paraId="64FCE091" w14:textId="77777777" w:rsidR="007E1590" w:rsidRDefault="00074FEE">
            <w:pPr>
              <w:pStyle w:val="Compact"/>
              <w:keepNext/>
              <w:spacing w:before="40" w:after="40"/>
            </w:pPr>
            <w:r>
              <w:rPr>
                <w:color w:val="000000"/>
                <w:sz w:val="16"/>
              </w:rPr>
              <w:t>Internal review accepted</w:t>
            </w:r>
          </w:p>
        </w:tc>
        <w:tc>
          <w:tcPr>
            <w:tcW w:w="1663" w:type="dxa"/>
          </w:tcPr>
          <w:p w14:paraId="543FF470" w14:textId="77777777" w:rsidR="007E1590" w:rsidRDefault="00074FEE">
            <w:pPr>
              <w:pStyle w:val="Compact"/>
              <w:keepNext/>
              <w:spacing w:before="40" w:after="40"/>
            </w:pPr>
            <w:r>
              <w:rPr>
                <w:color w:val="000000"/>
                <w:sz w:val="16"/>
              </w:rPr>
              <w:t>66/66</w:t>
            </w:r>
          </w:p>
        </w:tc>
      </w:tr>
      <w:tr w:rsidR="007E1590" w14:paraId="4FCB3318" w14:textId="77777777" w:rsidTr="007E1590">
        <w:trPr>
          <w:cantSplit/>
          <w:jc w:val="center"/>
        </w:trPr>
        <w:tc>
          <w:tcPr>
            <w:tcW w:w="3377" w:type="dxa"/>
          </w:tcPr>
          <w:p w14:paraId="47C692A0" w14:textId="77777777" w:rsidR="007E1590" w:rsidRDefault="00074FEE">
            <w:pPr>
              <w:pStyle w:val="Compact"/>
              <w:keepNext/>
              <w:spacing w:before="40" w:after="40"/>
            </w:pPr>
            <w:r>
              <w:rPr>
                <w:color w:val="000000"/>
                <w:sz w:val="16"/>
              </w:rPr>
              <w:t>Structural / semantic repairs</w:t>
            </w:r>
          </w:p>
        </w:tc>
        <w:tc>
          <w:tcPr>
            <w:tcW w:w="1663" w:type="dxa"/>
          </w:tcPr>
          <w:p w14:paraId="27F3D1FA" w14:textId="77777777" w:rsidR="007E1590" w:rsidRDefault="00074FEE">
            <w:pPr>
              <w:pStyle w:val="Compact"/>
              <w:keepNext/>
              <w:spacing w:before="40" w:after="40"/>
            </w:pPr>
            <w:r>
              <w:rPr>
                <w:color w:val="000000"/>
                <w:sz w:val="16"/>
              </w:rPr>
              <w:t>0/78 / 0/78</w:t>
            </w:r>
          </w:p>
        </w:tc>
      </w:tr>
      <w:tr w:rsidR="007E1590" w14:paraId="1A944B50" w14:textId="77777777" w:rsidTr="007E1590">
        <w:trPr>
          <w:cantSplit/>
          <w:jc w:val="center"/>
        </w:trPr>
        <w:tc>
          <w:tcPr>
            <w:tcW w:w="3377" w:type="dxa"/>
          </w:tcPr>
          <w:p w14:paraId="4174004D" w14:textId="77777777" w:rsidR="007E1590" w:rsidRDefault="00074FEE">
            <w:pPr>
              <w:pStyle w:val="Compact"/>
              <w:spacing w:before="40" w:after="40"/>
            </w:pPr>
            <w:r>
              <w:rPr>
                <w:color w:val="000000"/>
                <w:sz w:val="16"/>
              </w:rPr>
              <w:t>Latency, median / P95</w:t>
            </w:r>
          </w:p>
        </w:tc>
        <w:tc>
          <w:tcPr>
            <w:tcW w:w="1663" w:type="dxa"/>
          </w:tcPr>
          <w:p w14:paraId="1A3C68FC" w14:textId="77777777" w:rsidR="007E1590" w:rsidRDefault="00074FEE">
            <w:pPr>
              <w:pStyle w:val="Compact"/>
              <w:spacing w:before="40" w:after="40"/>
            </w:pPr>
            <w:r>
              <w:rPr>
                <w:color w:val="000000"/>
                <w:sz w:val="16"/>
              </w:rPr>
              <w:t>1.82 s / 2.30 s</w:t>
            </w:r>
          </w:p>
        </w:tc>
      </w:tr>
    </w:tbl>
    <w:p w14:paraId="461A05A4" w14:textId="77777777" w:rsidR="007E1590" w:rsidRDefault="00074FEE">
      <w:pPr>
        <w:pStyle w:val="a0"/>
        <w:ind w:firstLine="202"/>
        <w:jc w:val="both"/>
      </w:pPr>
      <w:r>
        <w:rPr>
          <w:color w:val="000000"/>
        </w:rPr>
        <w:t>All three failures were GC01: “What should I do next?” elicited expansion instructions in PreAssembly. The request included a prior NA-learning goal and its upper-optical-assembly link, but the review sheet omitted this history. The original rubric rewarde</w:t>
      </w:r>
      <w:r>
        <w:rPr>
          <w:color w:val="000000"/>
        </w:rPr>
        <w:t>d expansion; the reviewer required clarification. This is a post-run interpretation and rubric revision, not an availability violation. Retaining GC01 in the original operation cohort gives 39/42 accepted decisions. All three replies passed internal semant</w:t>
      </w:r>
      <w:r>
        <w:rPr>
          <w:color w:val="000000"/>
        </w:rPr>
        <w:t xml:space="preserve">ic review, demonstrating </w:t>
      </w:r>
      <w:r>
        <w:rPr>
          <w:color w:val="000000"/>
        </w:rPr>
        <w:t>that acceptance by this gate does not establish human agreement.</w:t>
      </w:r>
    </w:p>
    <w:p w14:paraId="6F574CA7" w14:textId="77777777" w:rsidR="007E1590" w:rsidRDefault="00074FEE">
      <w:pPr>
        <w:pStyle w:val="a0"/>
        <w:ind w:firstLine="202"/>
        <w:jc w:val="both"/>
      </w:pPr>
      <w:r>
        <w:rPr>
          <w:color w:val="000000"/>
        </w:rPr>
        <w:t>Refusals skipped review: 78 generations and 66 reviews produced 144 provider calls, with no timeout or repair. Latency includes dispatch, generation, review, network,</w:t>
      </w:r>
      <w:r>
        <w:rPr>
          <w:color w:val="000000"/>
        </w:rPr>
        <w:t xml:space="preserve"> and editor processing, excluding speech and visible rendering; P95 uses nearest rank.</w:t>
      </w:r>
    </w:p>
    <w:p w14:paraId="032487FA" w14:textId="77777777" w:rsidR="007E1590" w:rsidRDefault="00074FEE">
      <w:pPr>
        <w:pStyle w:val="a0"/>
        <w:ind w:firstLine="202"/>
        <w:jc w:val="both"/>
      </w:pPr>
      <w:r>
        <w:rPr>
          <w:color w:val="000000"/>
        </w:rPr>
        <w:t>The prompt and GC01 expectation were subsequently revised to clarify; no revised-model result is reported. These 78 requests repeat 26 development cases, with post-hoc a</w:t>
      </w:r>
      <w:r>
        <w:rPr>
          <w:color w:val="000000"/>
        </w:rPr>
        <w:t>uthor judgments. Translation and omitted review context warrant independent full-context review. Held-out generalization, live-client display/markers, stale-response rejection, and state-ablated comparison remain untested.</w:t>
      </w:r>
    </w:p>
    <w:p w14:paraId="2B81251D" w14:textId="77777777" w:rsidR="007E1590" w:rsidRDefault="00074FEE">
      <w:pPr>
        <w:pStyle w:val="2"/>
        <w:spacing w:before="200" w:after="100"/>
        <w:jc w:val="center"/>
      </w:pPr>
      <w:bookmarkStart w:id="29" w:name="discussion-and-limitations"/>
      <w:bookmarkEnd w:id="22"/>
      <w:bookmarkEnd w:id="28"/>
      <w:r>
        <w:rPr>
          <w:rFonts w:ascii="Times New Roman" w:eastAsia="SimSun" w:hAnsi="Times New Roman"/>
        </w:rPr>
        <w:t>VII. DISCUSSION AND LIMITATIONS</w:t>
      </w:r>
    </w:p>
    <w:p w14:paraId="14799239" w14:textId="77777777" w:rsidR="007E1590" w:rsidRDefault="00074FEE">
      <w:pPr>
        <w:pStyle w:val="FirstParagraph"/>
        <w:ind w:firstLine="202"/>
        <w:jc w:val="both"/>
      </w:pPr>
      <w:r>
        <w:rPr>
          <w:color w:val="000000"/>
        </w:rPr>
        <w:t>S</w:t>
      </w:r>
      <w:r>
        <w:rPr>
          <w:color w:val="000000"/>
        </w:rPr>
        <w:t>hared state connects components, controls, feedback, and guidance. GC01 illustrates that an available action may still be considered premature. Neither deterministic validation nor same-model review establishes semantic correctness.</w:t>
      </w:r>
    </w:p>
    <w:p w14:paraId="16EB402B" w14:textId="77777777" w:rsidR="007E1590" w:rsidRDefault="00074FEE">
      <w:pPr>
        <w:pStyle w:val="a0"/>
        <w:ind w:firstLine="202"/>
        <w:jc w:val="both"/>
      </w:pPr>
      <w:r>
        <w:rPr>
          <w:color w:val="000000"/>
        </w:rPr>
        <w:t>The authored mappings a</w:t>
      </w:r>
      <w:r>
        <w:rPr>
          <w:color w:val="000000"/>
        </w:rPr>
        <w:t>nd synthetic imagery support instruction, not a calibrated digital twin. Scientific fidelity needs domain-expert review and comparison with real instruments.</w:t>
      </w:r>
    </w:p>
    <w:p w14:paraId="5A097295" w14:textId="77777777" w:rsidR="007E1590" w:rsidRDefault="00074FEE">
      <w:pPr>
        <w:pStyle w:val="a0"/>
        <w:ind w:firstLine="202"/>
        <w:jc w:val="both"/>
      </w:pPr>
      <w:r>
        <w:rPr>
          <w:color w:val="000000"/>
        </w:rPr>
        <w:t>The single-group study cannot isolate tutoring effects [1], [21]. Controlled AI-on/off comparisons</w:t>
      </w:r>
      <w:r>
        <w:rPr>
          <w:color w:val="000000"/>
        </w:rPr>
        <w:t>, knowledge pre/post tests, and expert-scored transfer tasks remain necessary.</w:t>
      </w:r>
    </w:p>
    <w:p w14:paraId="377DAA7A" w14:textId="77777777" w:rsidR="007E1590" w:rsidRDefault="00074FEE">
      <w:pPr>
        <w:pStyle w:val="2"/>
        <w:spacing w:before="200" w:after="100"/>
        <w:jc w:val="center"/>
      </w:pPr>
      <w:bookmarkStart w:id="30" w:name="conclusion-and-future-work"/>
      <w:bookmarkEnd w:id="29"/>
      <w:r>
        <w:rPr>
          <w:rFonts w:ascii="Times New Roman" w:eastAsia="SimSun" w:hAnsi="Times New Roman"/>
        </w:rPr>
        <w:t>VIII. CONCLUSION AND FUTURE WORK</w:t>
      </w:r>
    </w:p>
    <w:p w14:paraId="6B01D6D2" w14:textId="77777777" w:rsidR="007E1590" w:rsidRDefault="00074FEE">
      <w:pPr>
        <w:pStyle w:val="FirstParagraph"/>
        <w:ind w:firstLine="202"/>
        <w:jc w:val="both"/>
      </w:pPr>
      <w:r>
        <w:rPr>
          <w:color w:val="000000"/>
        </w:rPr>
        <w:t>VRMicroscope connects microscopy interaction, bounded simulation, and state-aware guidance. The 19-participant study supports feasibility and pe</w:t>
      </w:r>
      <w:r>
        <w:rPr>
          <w:color w:val="000000"/>
        </w:rPr>
        <w:t>rceived usability. Author review accepted 75/78 benchmark answers (96.2%), despite all 42 operating actions being available; GC01 exposed disagreement over clarification. Median latency was 1.82 s. Future work will evaluate the revised policy using held-ou</w:t>
      </w:r>
      <w:r>
        <w:rPr>
          <w:color w:val="000000"/>
        </w:rPr>
        <w:t>t cases, independent full-context ratings, live-client tests, and controlled learning/transfer studies.</w:t>
      </w:r>
    </w:p>
    <w:p w14:paraId="409B2196" w14:textId="77777777" w:rsidR="007E1590" w:rsidRDefault="00074FEE">
      <w:pPr>
        <w:pStyle w:val="2"/>
        <w:spacing w:before="200" w:after="100"/>
        <w:jc w:val="center"/>
      </w:pPr>
      <w:bookmarkStart w:id="31" w:name="X0cc70d2706e8a1e7ae6302f38916f7d10d49390"/>
      <w:bookmarkEnd w:id="30"/>
      <w:r>
        <w:rPr>
          <w:rFonts w:ascii="Times New Roman" w:eastAsia="SimSun" w:hAnsi="Times New Roman"/>
        </w:rPr>
        <w:t>RESEARCH ETHICS AND GENERATIVE AI DISCLOSURE</w:t>
      </w:r>
    </w:p>
    <w:p w14:paraId="1A645588" w14:textId="77777777" w:rsidR="007E1590" w:rsidRDefault="00074FEE">
      <w:pPr>
        <w:pStyle w:val="FirstParagraph"/>
        <w:ind w:firstLine="202"/>
        <w:jc w:val="both"/>
      </w:pPr>
      <w:r>
        <w:rPr>
          <w:color w:val="000000"/>
        </w:rPr>
        <w:t xml:space="preserve">This study involved an exploratory usability evaluation of educational virtual reality software with adult </w:t>
      </w:r>
      <w:r>
        <w:rPr>
          <w:color w:val="000000"/>
        </w:rPr>
        <w:t>participants. No formal institutional ethics review was sought or obtained. The research team judged the activity to be a minimal-risk educational software usability evaluation collecting anonymized questionnaires and formative feedback; this was an author</w:t>
      </w:r>
      <w:r>
        <w:rPr>
          <w:color w:val="000000"/>
        </w:rPr>
        <w:t xml:space="preserve"> judgment, not an institutional exemption determination. Before participation, individuals were informed of the study objectives and data-collection procedures and provided informed consent. Participation was voluntary, and participants could withdraw at a</w:t>
      </w:r>
      <w:r>
        <w:rPr>
          <w:color w:val="000000"/>
        </w:rPr>
        <w:t>ny time without penalty.</w:t>
      </w:r>
    </w:p>
    <w:p w14:paraId="1631F450" w14:textId="58AF41F0" w:rsidR="007E1590" w:rsidRDefault="00074FEE">
      <w:pPr>
        <w:pStyle w:val="a0"/>
        <w:ind w:firstLine="202"/>
        <w:jc w:val="both"/>
      </w:pPr>
      <w:r>
        <w:rPr>
          <w:color w:val="000000"/>
        </w:rPr>
        <w:t>Codex assisted with implementation and manuscript content</w:t>
      </w:r>
      <w:r>
        <w:rPr>
          <w:color w:val="000000"/>
        </w:rPr>
        <w:t xml:space="preserve"> revision, and consistency checks; DeepSeek supplies runtime question answering. Human authors are responsible for verifying the implementation description, study</w:t>
      </w:r>
      <w:r>
        <w:rPr>
          <w:color w:val="000000"/>
        </w:rPr>
        <w:t xml:space="preserve"> records, analyses, and references.</w:t>
      </w:r>
    </w:p>
    <w:p w14:paraId="1576537E" w14:textId="77777777" w:rsidR="007E1590" w:rsidRDefault="00074FEE">
      <w:pPr>
        <w:pStyle w:val="2"/>
        <w:spacing w:before="200" w:after="100"/>
        <w:jc w:val="center"/>
      </w:pPr>
      <w:bookmarkStart w:id="32" w:name="references"/>
      <w:bookmarkEnd w:id="31"/>
      <w:r>
        <w:rPr>
          <w:rFonts w:ascii="Times New Roman" w:eastAsia="SimSun" w:hAnsi="Times New Roman"/>
        </w:rPr>
        <w:lastRenderedPageBreak/>
        <w:t>REFERENCES</w:t>
      </w:r>
    </w:p>
    <w:p w14:paraId="776DC59D" w14:textId="77777777" w:rsidR="007E1590" w:rsidRDefault="00074FEE">
      <w:pPr>
        <w:pStyle w:val="FirstParagraph"/>
        <w:spacing w:after="60"/>
        <w:ind w:left="288" w:hanging="288"/>
      </w:pPr>
      <w:r>
        <w:rPr>
          <w:color w:val="000000"/>
          <w:sz w:val="16"/>
        </w:rPr>
        <w:t xml:space="preserve">[1] V. Chheang et al., “Towards Anatomy Education with Generative AI-based Virtual Assistants in Immersive Virtual Reality Environments,” in </w:t>
      </w:r>
      <w:r>
        <w:rPr>
          <w:i/>
          <w:iCs/>
          <w:color w:val="000000"/>
          <w:sz w:val="16"/>
        </w:rPr>
        <w:t>Proc. 2024 IEEE Int. Conf. on Artificial Intelligence and eXtended a</w:t>
      </w:r>
      <w:r>
        <w:rPr>
          <w:i/>
          <w:iCs/>
          <w:color w:val="000000"/>
          <w:sz w:val="16"/>
        </w:rPr>
        <w:t>nd Virtual Reality (AIxVR)</w:t>
      </w:r>
      <w:r>
        <w:rPr>
          <w:color w:val="000000"/>
          <w:sz w:val="16"/>
        </w:rPr>
        <w:t xml:space="preserve">, pp. 21–30, 2024. </w:t>
      </w:r>
      <w:hyperlink r:id="rId19">
        <w:r>
          <w:rPr>
            <w:rStyle w:val="af"/>
          </w:rPr>
          <w:t>doi:10.1109/AIxVR59861.2024.00011</w:t>
        </w:r>
      </w:hyperlink>
      <w:r>
        <w:rPr>
          <w:color w:val="000000"/>
          <w:sz w:val="16"/>
        </w:rPr>
        <w:t>.</w:t>
      </w:r>
    </w:p>
    <w:p w14:paraId="494304C2" w14:textId="77777777" w:rsidR="007E1590" w:rsidRDefault="00074FEE">
      <w:pPr>
        <w:pStyle w:val="a0"/>
        <w:spacing w:after="60"/>
        <w:ind w:left="288" w:hanging="288"/>
      </w:pPr>
      <w:r>
        <w:rPr>
          <w:color w:val="000000"/>
          <w:sz w:val="16"/>
        </w:rPr>
        <w:t xml:space="preserve">[2] A. Geris and G. Alce, “Real-Time Voice-Based LLM Integration for XR Tutoring: A Prototype Implementation,” in </w:t>
      </w:r>
      <w:r>
        <w:rPr>
          <w:i/>
          <w:iCs/>
          <w:color w:val="000000"/>
          <w:sz w:val="16"/>
        </w:rPr>
        <w:t>Proc. 2026 IEEE Int. Conf. on Artificial Intelligence and eXtended and Virtual Reality (AIxVR)</w:t>
      </w:r>
      <w:r>
        <w:rPr>
          <w:color w:val="000000"/>
          <w:sz w:val="16"/>
        </w:rPr>
        <w:t xml:space="preserve">, pp. 285–289, 2026. </w:t>
      </w:r>
      <w:hyperlink r:id="rId20">
        <w:r>
          <w:rPr>
            <w:rStyle w:val="af"/>
          </w:rPr>
          <w:t>doi:10.1109/AIxVR67263.2026.00050</w:t>
        </w:r>
      </w:hyperlink>
      <w:r>
        <w:rPr>
          <w:color w:val="000000"/>
          <w:sz w:val="16"/>
        </w:rPr>
        <w:t>.</w:t>
      </w:r>
    </w:p>
    <w:p w14:paraId="2B1A4F89" w14:textId="77777777" w:rsidR="007E1590" w:rsidRDefault="00074FEE">
      <w:pPr>
        <w:pStyle w:val="a0"/>
        <w:spacing w:after="60"/>
        <w:ind w:left="288" w:hanging="288"/>
      </w:pPr>
      <w:r>
        <w:rPr>
          <w:color w:val="000000"/>
          <w:sz w:val="16"/>
        </w:rPr>
        <w:t xml:space="preserve">[3] D. Wang et al., “SpatialTutor: Object-Aware Mixed Reality Training for Procedural Medical Skills Training with AI-Driven Support,” in </w:t>
      </w:r>
      <w:r>
        <w:rPr>
          <w:i/>
          <w:iCs/>
          <w:color w:val="000000"/>
          <w:sz w:val="16"/>
        </w:rPr>
        <w:t>Proc. 2026 IEEE Int. Conf. on Artificial Inte</w:t>
      </w:r>
      <w:r>
        <w:rPr>
          <w:i/>
          <w:iCs/>
          <w:color w:val="000000"/>
          <w:sz w:val="16"/>
        </w:rPr>
        <w:t>lligence and eXtended and Virtual Reality (AIxVR)</w:t>
      </w:r>
      <w:r>
        <w:rPr>
          <w:color w:val="000000"/>
          <w:sz w:val="16"/>
        </w:rPr>
        <w:t xml:space="preserve">, pp. 57–66, 2026. </w:t>
      </w:r>
      <w:hyperlink r:id="rId21">
        <w:r>
          <w:rPr>
            <w:rStyle w:val="af"/>
          </w:rPr>
          <w:t>doi:10.1109/AIxVR67263.2026.00016</w:t>
        </w:r>
      </w:hyperlink>
      <w:r>
        <w:rPr>
          <w:color w:val="000000"/>
          <w:sz w:val="16"/>
        </w:rPr>
        <w:t>.</w:t>
      </w:r>
    </w:p>
    <w:p w14:paraId="2B69F211" w14:textId="77777777" w:rsidR="007E1590" w:rsidRDefault="00074FEE">
      <w:pPr>
        <w:pStyle w:val="a0"/>
        <w:spacing w:after="60"/>
        <w:ind w:left="288" w:hanging="288"/>
      </w:pPr>
      <w:r>
        <w:rPr>
          <w:color w:val="000000"/>
          <w:sz w:val="16"/>
        </w:rPr>
        <w:t xml:space="preserve">[4] J. Jonkman et al., “Tutorial: guidance for quantitative confocal microscopy,” </w:t>
      </w:r>
      <w:r>
        <w:rPr>
          <w:i/>
          <w:iCs/>
          <w:color w:val="000000"/>
          <w:sz w:val="16"/>
        </w:rPr>
        <w:t>Nature</w:t>
      </w:r>
      <w:r>
        <w:rPr>
          <w:i/>
          <w:iCs/>
          <w:color w:val="000000"/>
          <w:sz w:val="16"/>
        </w:rPr>
        <w:t xml:space="preserve"> Protocols</w:t>
      </w:r>
      <w:r>
        <w:rPr>
          <w:color w:val="000000"/>
          <w:sz w:val="16"/>
        </w:rPr>
        <w:t xml:space="preserve">, vol. 15, pp. 1585–1611, 2020. </w:t>
      </w:r>
      <w:hyperlink r:id="rId22">
        <w:r>
          <w:rPr>
            <w:rStyle w:val="af"/>
          </w:rPr>
          <w:t>doi:10.1038/s41596-020-0313-9</w:t>
        </w:r>
      </w:hyperlink>
      <w:r>
        <w:rPr>
          <w:color w:val="000000"/>
          <w:sz w:val="16"/>
        </w:rPr>
        <w:t>.</w:t>
      </w:r>
    </w:p>
    <w:p w14:paraId="1A7851F7" w14:textId="77777777" w:rsidR="007E1590" w:rsidRDefault="00074FEE">
      <w:pPr>
        <w:pStyle w:val="a0"/>
        <w:spacing w:after="60"/>
        <w:ind w:left="288" w:hanging="288"/>
      </w:pPr>
      <w:r>
        <w:rPr>
          <w:color w:val="000000"/>
          <w:sz w:val="16"/>
        </w:rPr>
        <w:t xml:space="preserve">[5] Carl ZEISS Microscopy, “Numerical Aperture and Light Cone Geometry.” </w:t>
      </w:r>
      <w:hyperlink r:id="rId23">
        <w:r>
          <w:rPr>
            <w:rStyle w:val="af"/>
          </w:rPr>
          <w:t>Online tutorial</w:t>
        </w:r>
      </w:hyperlink>
      <w:r>
        <w:rPr>
          <w:color w:val="000000"/>
          <w:sz w:val="16"/>
        </w:rPr>
        <w:t>. Accessed Sep. 13, 2026.</w:t>
      </w:r>
    </w:p>
    <w:p w14:paraId="14ED37C4" w14:textId="77777777" w:rsidR="007E1590" w:rsidRDefault="00074FEE">
      <w:pPr>
        <w:pStyle w:val="a0"/>
        <w:spacing w:after="60"/>
        <w:ind w:left="288" w:hanging="288"/>
      </w:pPr>
      <w:r>
        <w:rPr>
          <w:color w:val="000000"/>
          <w:sz w:val="16"/>
        </w:rPr>
        <w:t xml:space="preserve">[6] Carl ZEISS Microscopy, “Spatial Frequency and Image Resolution.” </w:t>
      </w:r>
      <w:hyperlink r:id="rId24">
        <w:r>
          <w:rPr>
            <w:rStyle w:val="af"/>
          </w:rPr>
          <w:t>Online tutorial</w:t>
        </w:r>
      </w:hyperlink>
      <w:r>
        <w:rPr>
          <w:color w:val="000000"/>
          <w:sz w:val="16"/>
        </w:rPr>
        <w:t>. Accessed Sep. 13, 2026.</w:t>
      </w:r>
    </w:p>
    <w:p w14:paraId="6B81152B" w14:textId="77777777" w:rsidR="007E1590" w:rsidRDefault="00074FEE">
      <w:pPr>
        <w:pStyle w:val="a0"/>
        <w:spacing w:after="60"/>
        <w:ind w:left="288" w:hanging="288"/>
      </w:pPr>
      <w:r>
        <w:rPr>
          <w:color w:val="000000"/>
          <w:sz w:val="16"/>
        </w:rPr>
        <w:t xml:space="preserve">[7] C. Eggeling, K. I. Willig, S. J. Sahl, and S. W. Hell, “Lens-based fluorescence nanoscopy,” </w:t>
      </w:r>
      <w:r>
        <w:rPr>
          <w:i/>
          <w:iCs/>
          <w:color w:val="000000"/>
          <w:sz w:val="16"/>
        </w:rPr>
        <w:t>Quarterly Reviews of</w:t>
      </w:r>
      <w:r>
        <w:rPr>
          <w:i/>
          <w:iCs/>
          <w:color w:val="000000"/>
          <w:sz w:val="16"/>
        </w:rPr>
        <w:t xml:space="preserve"> Biophysics</w:t>
      </w:r>
      <w:r>
        <w:rPr>
          <w:color w:val="000000"/>
          <w:sz w:val="16"/>
        </w:rPr>
        <w:t xml:space="preserve">, vol. 48, no. 2, pp. 178–243, 2015. </w:t>
      </w:r>
      <w:hyperlink r:id="rId25">
        <w:r>
          <w:rPr>
            <w:rStyle w:val="af"/>
          </w:rPr>
          <w:t>doi:10.1017/S0033583514000146</w:t>
        </w:r>
      </w:hyperlink>
      <w:r>
        <w:rPr>
          <w:color w:val="000000"/>
          <w:sz w:val="16"/>
        </w:rPr>
        <w:t>.</w:t>
      </w:r>
    </w:p>
    <w:p w14:paraId="521610F3" w14:textId="77777777" w:rsidR="007E1590" w:rsidRDefault="00074FEE">
      <w:pPr>
        <w:pStyle w:val="a0"/>
        <w:spacing w:after="60"/>
        <w:ind w:left="288" w:hanging="288"/>
      </w:pPr>
      <w:r>
        <w:rPr>
          <w:color w:val="000000"/>
          <w:sz w:val="16"/>
        </w:rPr>
        <w:t xml:space="preserve">[8] E. Abbe, “Beiträge zur Theorie des Mikroskops und der mikroskopischen Wahrnehmung,” </w:t>
      </w:r>
      <w:r>
        <w:rPr>
          <w:i/>
          <w:iCs/>
          <w:color w:val="000000"/>
          <w:sz w:val="16"/>
        </w:rPr>
        <w:t>Archiv für Mikroskopische An</w:t>
      </w:r>
      <w:r>
        <w:rPr>
          <w:i/>
          <w:iCs/>
          <w:color w:val="000000"/>
          <w:sz w:val="16"/>
        </w:rPr>
        <w:t>atomie</w:t>
      </w:r>
      <w:r>
        <w:rPr>
          <w:color w:val="000000"/>
          <w:sz w:val="16"/>
        </w:rPr>
        <w:t xml:space="preserve">, vol. 9, no. 1, pp. 413–468, 1873. </w:t>
      </w:r>
      <w:hyperlink r:id="rId26">
        <w:r>
          <w:rPr>
            <w:rStyle w:val="af"/>
          </w:rPr>
          <w:t>doi:10.1007/BF02956173</w:t>
        </w:r>
      </w:hyperlink>
      <w:r>
        <w:rPr>
          <w:color w:val="000000"/>
          <w:sz w:val="16"/>
        </w:rPr>
        <w:t>.</w:t>
      </w:r>
    </w:p>
    <w:p w14:paraId="33951DB5" w14:textId="77777777" w:rsidR="007E1590" w:rsidRDefault="00074FEE">
      <w:pPr>
        <w:pStyle w:val="a0"/>
        <w:spacing w:after="60"/>
        <w:ind w:left="288" w:hanging="288"/>
      </w:pPr>
      <w:r>
        <w:rPr>
          <w:color w:val="000000"/>
          <w:sz w:val="16"/>
        </w:rPr>
        <w:t xml:space="preserve">[9] S. B. Mehta and R. Oldenbourg, “Image simulation for biological microscopy: microlith,” </w:t>
      </w:r>
      <w:r>
        <w:rPr>
          <w:i/>
          <w:iCs/>
          <w:color w:val="000000"/>
          <w:sz w:val="16"/>
        </w:rPr>
        <w:t>Biomedical Optics Express</w:t>
      </w:r>
      <w:r>
        <w:rPr>
          <w:color w:val="000000"/>
          <w:sz w:val="16"/>
        </w:rPr>
        <w:t>, vol. 5, no. 6, pp</w:t>
      </w:r>
      <w:r>
        <w:rPr>
          <w:color w:val="000000"/>
          <w:sz w:val="16"/>
        </w:rPr>
        <w:t xml:space="preserve">. 1822–1838, 2014. </w:t>
      </w:r>
      <w:hyperlink r:id="rId27">
        <w:r>
          <w:rPr>
            <w:rStyle w:val="af"/>
          </w:rPr>
          <w:t>doi:10.1364/BOE.5.001822</w:t>
        </w:r>
      </w:hyperlink>
      <w:r>
        <w:rPr>
          <w:color w:val="000000"/>
          <w:sz w:val="16"/>
        </w:rPr>
        <w:t>.</w:t>
      </w:r>
    </w:p>
    <w:p w14:paraId="7AA18403" w14:textId="77777777" w:rsidR="007E1590" w:rsidRDefault="00074FEE">
      <w:pPr>
        <w:pStyle w:val="a0"/>
        <w:spacing w:after="60"/>
        <w:ind w:left="288" w:hanging="288"/>
      </w:pPr>
      <w:r>
        <w:rPr>
          <w:color w:val="000000"/>
          <w:sz w:val="16"/>
        </w:rPr>
        <w:t xml:space="preserve">[10] F. J. Harris, “On the Use of Windows for Harmonic Analysis with the Discrete Fourier Transform,” </w:t>
      </w:r>
      <w:r>
        <w:rPr>
          <w:i/>
          <w:iCs/>
          <w:color w:val="000000"/>
          <w:sz w:val="16"/>
        </w:rPr>
        <w:t>Proceedings of the IEEE</w:t>
      </w:r>
      <w:r>
        <w:rPr>
          <w:color w:val="000000"/>
          <w:sz w:val="16"/>
        </w:rPr>
        <w:t>, vol. 66, no. 1, pp. 51–83, 1</w:t>
      </w:r>
      <w:r>
        <w:rPr>
          <w:color w:val="000000"/>
          <w:sz w:val="16"/>
        </w:rPr>
        <w:t xml:space="preserve">978. </w:t>
      </w:r>
      <w:hyperlink r:id="rId28">
        <w:r>
          <w:rPr>
            <w:rStyle w:val="af"/>
          </w:rPr>
          <w:t>doi:10.1109/PROC.1978.10837</w:t>
        </w:r>
      </w:hyperlink>
      <w:r>
        <w:rPr>
          <w:color w:val="000000"/>
          <w:sz w:val="16"/>
        </w:rPr>
        <w:t>.</w:t>
      </w:r>
    </w:p>
    <w:p w14:paraId="21527070" w14:textId="77777777" w:rsidR="007E1590" w:rsidRDefault="00074FEE">
      <w:pPr>
        <w:pStyle w:val="a0"/>
        <w:spacing w:after="60"/>
        <w:ind w:left="288" w:hanging="288"/>
      </w:pPr>
      <w:r>
        <w:rPr>
          <w:color w:val="000000"/>
          <w:sz w:val="16"/>
        </w:rPr>
        <w:t xml:space="preserve">[11] J. W. Cooley and J. W. Tukey, “An Algorithm for the Machine Calculation of Complex Fourier Series,” </w:t>
      </w:r>
      <w:r>
        <w:rPr>
          <w:i/>
          <w:iCs/>
          <w:color w:val="000000"/>
          <w:sz w:val="16"/>
        </w:rPr>
        <w:t>Mathematics of Computation</w:t>
      </w:r>
      <w:r>
        <w:rPr>
          <w:color w:val="000000"/>
          <w:sz w:val="16"/>
        </w:rPr>
        <w:t xml:space="preserve">, vol. 19, no. 90, pp. 297–301, 1965. </w:t>
      </w:r>
      <w:hyperlink r:id="rId29">
        <w:r>
          <w:rPr>
            <w:rStyle w:val="af"/>
          </w:rPr>
          <w:t>doi:10.1090/S0025-</w:t>
        </w:r>
        <w:r>
          <w:rPr>
            <w:rStyle w:val="af"/>
          </w:rPr>
          <w:t>5718-1965-0178586-1</w:t>
        </w:r>
      </w:hyperlink>
      <w:r>
        <w:rPr>
          <w:color w:val="000000"/>
          <w:sz w:val="16"/>
        </w:rPr>
        <w:t>.</w:t>
      </w:r>
    </w:p>
    <w:p w14:paraId="72B02A36" w14:textId="77777777" w:rsidR="007E1590" w:rsidRDefault="00074FEE">
      <w:pPr>
        <w:pStyle w:val="a0"/>
        <w:spacing w:after="60"/>
        <w:ind w:left="288" w:hanging="288"/>
      </w:pPr>
      <w:r>
        <w:rPr>
          <w:color w:val="000000"/>
          <w:sz w:val="16"/>
        </w:rPr>
        <w:t xml:space="preserve">[12] M. G. L. Gustafsson, “Surpassing the lateral resolution limit by a factor of two using structured illumination microscopy,” </w:t>
      </w:r>
      <w:r>
        <w:rPr>
          <w:i/>
          <w:iCs/>
          <w:color w:val="000000"/>
          <w:sz w:val="16"/>
        </w:rPr>
        <w:t>Journal of Microscopy</w:t>
      </w:r>
      <w:r>
        <w:rPr>
          <w:color w:val="000000"/>
          <w:sz w:val="16"/>
        </w:rPr>
        <w:t xml:space="preserve">, vol. 198, no. 2, pp. 82–87, 2000. </w:t>
      </w:r>
      <w:hyperlink r:id="rId30">
        <w:r>
          <w:rPr>
            <w:rStyle w:val="af"/>
          </w:rPr>
          <w:t>doi:10.1046/j.1365-2818.2000.00710.x</w:t>
        </w:r>
      </w:hyperlink>
      <w:r>
        <w:rPr>
          <w:color w:val="000000"/>
          <w:sz w:val="16"/>
        </w:rPr>
        <w:t>.</w:t>
      </w:r>
    </w:p>
    <w:p w14:paraId="6B505C4A" w14:textId="77777777" w:rsidR="007E1590" w:rsidRDefault="00074FEE">
      <w:pPr>
        <w:pStyle w:val="a0"/>
        <w:spacing w:after="60"/>
        <w:ind w:left="288" w:hanging="288"/>
      </w:pPr>
      <w:r>
        <w:rPr>
          <w:color w:val="000000"/>
          <w:sz w:val="16"/>
        </w:rPr>
        <w:t xml:space="preserve">[13] R. Heintzmann and T. Huser, “Super-Resolution Structured Illumination Microscopy,” </w:t>
      </w:r>
      <w:r>
        <w:rPr>
          <w:i/>
          <w:iCs/>
          <w:color w:val="000000"/>
          <w:sz w:val="16"/>
        </w:rPr>
        <w:t>Chemical Reviews</w:t>
      </w:r>
      <w:r>
        <w:rPr>
          <w:color w:val="000000"/>
          <w:sz w:val="16"/>
        </w:rPr>
        <w:t xml:space="preserve">, vol. 117, no. 23, pp. 13890–13908, 2017. </w:t>
      </w:r>
      <w:hyperlink r:id="rId31">
        <w:r>
          <w:rPr>
            <w:rStyle w:val="af"/>
          </w:rPr>
          <w:t>doi:10.1021/acs.chemrev.7b00218</w:t>
        </w:r>
      </w:hyperlink>
      <w:r>
        <w:rPr>
          <w:color w:val="000000"/>
          <w:sz w:val="16"/>
        </w:rPr>
        <w:t>.</w:t>
      </w:r>
    </w:p>
    <w:p w14:paraId="04F17AB2" w14:textId="77777777" w:rsidR="007E1590" w:rsidRDefault="00074FEE">
      <w:pPr>
        <w:pStyle w:val="a0"/>
        <w:spacing w:after="60"/>
        <w:ind w:left="288" w:hanging="288"/>
      </w:pPr>
      <w:r>
        <w:rPr>
          <w:color w:val="000000"/>
          <w:sz w:val="16"/>
        </w:rPr>
        <w:t xml:space="preserve">[14] P. U. Jepsen, D. G. Cooke, and M. Koch, “Terahertz spectroscopy and imaging – Modern techniques and applications,” </w:t>
      </w:r>
      <w:r>
        <w:rPr>
          <w:i/>
          <w:iCs/>
          <w:color w:val="000000"/>
          <w:sz w:val="16"/>
        </w:rPr>
        <w:t>Laser &amp; Photonics Reviews</w:t>
      </w:r>
      <w:r>
        <w:rPr>
          <w:color w:val="000000"/>
          <w:sz w:val="16"/>
        </w:rPr>
        <w:t xml:space="preserve">, vol. 5, no. 1, pp. 124–166, 2011. </w:t>
      </w:r>
      <w:hyperlink r:id="rId32">
        <w:r>
          <w:rPr>
            <w:rStyle w:val="af"/>
          </w:rPr>
          <w:t>doi:10.1002/lpor.201000011</w:t>
        </w:r>
      </w:hyperlink>
      <w:r>
        <w:rPr>
          <w:color w:val="000000"/>
          <w:sz w:val="16"/>
        </w:rPr>
        <w:t>.</w:t>
      </w:r>
    </w:p>
    <w:p w14:paraId="3EFCC339" w14:textId="77777777" w:rsidR="007E1590" w:rsidRDefault="00074FEE">
      <w:pPr>
        <w:pStyle w:val="a0"/>
        <w:spacing w:after="60"/>
        <w:ind w:left="288" w:hanging="288"/>
      </w:pPr>
      <w:r>
        <w:rPr>
          <w:color w:val="000000"/>
          <w:sz w:val="16"/>
        </w:rPr>
        <w:t xml:space="preserve">[15] T. L. Cocker </w:t>
      </w:r>
      <w:r>
        <w:rPr>
          <w:i/>
          <w:iCs/>
          <w:color w:val="000000"/>
          <w:sz w:val="16"/>
        </w:rPr>
        <w:t>et al</w:t>
      </w:r>
      <w:r>
        <w:rPr>
          <w:color w:val="000000"/>
          <w:sz w:val="16"/>
        </w:rPr>
        <w:t xml:space="preserve">., “Nanoscale terahertz scanning probe microscopy,” </w:t>
      </w:r>
      <w:r>
        <w:rPr>
          <w:i/>
          <w:iCs/>
          <w:color w:val="000000"/>
          <w:sz w:val="16"/>
        </w:rPr>
        <w:t>Nature Photonics</w:t>
      </w:r>
      <w:r>
        <w:rPr>
          <w:color w:val="000000"/>
          <w:sz w:val="16"/>
        </w:rPr>
        <w:t xml:space="preserve">, vol. 15, pp. 558–569, 2021. </w:t>
      </w:r>
      <w:hyperlink r:id="rId33">
        <w:r>
          <w:rPr>
            <w:rStyle w:val="af"/>
          </w:rPr>
          <w:t>doi:10.1038/s41566</w:t>
        </w:r>
        <w:r>
          <w:rPr>
            <w:rStyle w:val="af"/>
          </w:rPr>
          <w:t>-021-00835-6</w:t>
        </w:r>
      </w:hyperlink>
      <w:r>
        <w:rPr>
          <w:color w:val="000000"/>
          <w:sz w:val="16"/>
        </w:rPr>
        <w:t>.</w:t>
      </w:r>
    </w:p>
    <w:p w14:paraId="01DA4345" w14:textId="77777777" w:rsidR="007E1590" w:rsidRDefault="00074FEE">
      <w:pPr>
        <w:pStyle w:val="a0"/>
        <w:spacing w:after="60"/>
        <w:ind w:left="288" w:hanging="288"/>
      </w:pPr>
      <w:r>
        <w:rPr>
          <w:color w:val="000000"/>
          <w:sz w:val="16"/>
        </w:rPr>
        <w:t xml:space="preserve">[16] F. Keilmann and R. Hillenbrand, “Near-field microscopy by elastic light scattering from a tip,” </w:t>
      </w:r>
      <w:r>
        <w:rPr>
          <w:i/>
          <w:iCs/>
          <w:color w:val="000000"/>
          <w:sz w:val="16"/>
        </w:rPr>
        <w:t>Philosophical Transactions of the Royal Society A: Mathematical, Physical and Engineering Sciences</w:t>
      </w:r>
      <w:r>
        <w:rPr>
          <w:color w:val="000000"/>
          <w:sz w:val="16"/>
        </w:rPr>
        <w:t xml:space="preserve">, vol. 362, no. 1817, pp. 787–805, 2004. </w:t>
      </w:r>
      <w:hyperlink r:id="rId34">
        <w:r>
          <w:rPr>
            <w:rStyle w:val="af"/>
          </w:rPr>
          <w:t>doi:10.1098/rsta.2003.1347</w:t>
        </w:r>
      </w:hyperlink>
      <w:r>
        <w:rPr>
          <w:color w:val="000000"/>
          <w:sz w:val="16"/>
        </w:rPr>
        <w:t>.</w:t>
      </w:r>
    </w:p>
    <w:p w14:paraId="2D534E36" w14:textId="77777777" w:rsidR="007E1590" w:rsidRDefault="00074FEE">
      <w:pPr>
        <w:pStyle w:val="a0"/>
        <w:spacing w:after="60"/>
        <w:ind w:left="288" w:hanging="288"/>
      </w:pPr>
      <w:r>
        <w:rPr>
          <w:color w:val="000000"/>
          <w:sz w:val="16"/>
        </w:rPr>
        <w:t xml:space="preserve">[17] R. Hillenbrand, B. Knoll, and F. Keilmann, “Pure optical contrast in scattering-type scanning near-field microscopy,” </w:t>
      </w:r>
      <w:r>
        <w:rPr>
          <w:i/>
          <w:iCs/>
          <w:color w:val="000000"/>
          <w:sz w:val="16"/>
        </w:rPr>
        <w:t>Journal of Microscopy</w:t>
      </w:r>
      <w:r>
        <w:rPr>
          <w:color w:val="000000"/>
          <w:sz w:val="16"/>
        </w:rPr>
        <w:t>, vol. 202, no. 1, pp. 77–83</w:t>
      </w:r>
      <w:r>
        <w:rPr>
          <w:color w:val="000000"/>
          <w:sz w:val="16"/>
        </w:rPr>
        <w:t xml:space="preserve">, 2001. </w:t>
      </w:r>
      <w:hyperlink r:id="rId35">
        <w:r>
          <w:rPr>
            <w:rStyle w:val="af"/>
          </w:rPr>
          <w:t>doi:10.1046/j.1365-2818.2001.00794.x</w:t>
        </w:r>
      </w:hyperlink>
      <w:r>
        <w:rPr>
          <w:color w:val="000000"/>
          <w:sz w:val="16"/>
        </w:rPr>
        <w:t>.</w:t>
      </w:r>
    </w:p>
    <w:p w14:paraId="6FEC4489" w14:textId="77777777" w:rsidR="007E1590" w:rsidRDefault="00074FEE">
      <w:pPr>
        <w:pStyle w:val="a0"/>
        <w:spacing w:after="60"/>
        <w:ind w:left="288" w:hanging="288"/>
      </w:pPr>
      <w:r>
        <w:rPr>
          <w:color w:val="000000"/>
          <w:sz w:val="16"/>
        </w:rPr>
        <w:t xml:space="preserve">[18] Groq, “Speech to Text.” </w:t>
      </w:r>
      <w:hyperlink r:id="rId36">
        <w:r>
          <w:rPr>
            <w:rStyle w:val="af"/>
          </w:rPr>
          <w:t>API documentation</w:t>
        </w:r>
      </w:hyperlink>
      <w:r>
        <w:rPr>
          <w:color w:val="000000"/>
          <w:sz w:val="16"/>
        </w:rPr>
        <w:t>. Accessed Sep. 13, 2026.</w:t>
      </w:r>
    </w:p>
    <w:p w14:paraId="560E2139" w14:textId="77777777" w:rsidR="007E1590" w:rsidRDefault="00074FEE">
      <w:pPr>
        <w:pStyle w:val="a0"/>
        <w:spacing w:after="60"/>
        <w:ind w:left="288" w:hanging="288"/>
      </w:pPr>
      <w:r>
        <w:rPr>
          <w:color w:val="000000"/>
          <w:sz w:val="16"/>
        </w:rPr>
        <w:t>[19] J</w:t>
      </w:r>
      <w:r>
        <w:rPr>
          <w:color w:val="000000"/>
          <w:sz w:val="16"/>
        </w:rPr>
        <w:t xml:space="preserve">. Brooke, “SUS: A ‘Quick and Dirty’ Usability Scale,” in </w:t>
      </w:r>
      <w:r>
        <w:rPr>
          <w:i/>
          <w:iCs/>
          <w:color w:val="000000"/>
          <w:sz w:val="16"/>
        </w:rPr>
        <w:t>Usability Evaluation in Industry</w:t>
      </w:r>
      <w:r>
        <w:rPr>
          <w:color w:val="000000"/>
          <w:sz w:val="16"/>
        </w:rPr>
        <w:t xml:space="preserve">, 1996. </w:t>
      </w:r>
      <w:hyperlink r:id="rId37">
        <w:r>
          <w:rPr>
            <w:rStyle w:val="af"/>
          </w:rPr>
          <w:t>doi:10.1201/9781498710411-35</w:t>
        </w:r>
      </w:hyperlink>
      <w:r>
        <w:rPr>
          <w:color w:val="000000"/>
          <w:sz w:val="16"/>
        </w:rPr>
        <w:t>.</w:t>
      </w:r>
    </w:p>
    <w:p w14:paraId="771D5F72" w14:textId="77777777" w:rsidR="007E1590" w:rsidRDefault="00074FEE">
      <w:pPr>
        <w:pStyle w:val="a0"/>
        <w:spacing w:after="60"/>
        <w:ind w:left="288" w:hanging="288"/>
      </w:pPr>
      <w:r>
        <w:rPr>
          <w:color w:val="000000"/>
          <w:sz w:val="16"/>
        </w:rPr>
        <w:t>[20] S. G. Hart and L. E. Staveland, “Development of NASA-TLX (Task L</w:t>
      </w:r>
      <w:r>
        <w:rPr>
          <w:color w:val="000000"/>
          <w:sz w:val="16"/>
        </w:rPr>
        <w:t xml:space="preserve">oad Index): Results of empirical and theoretical research,” </w:t>
      </w:r>
      <w:r>
        <w:rPr>
          <w:i/>
          <w:iCs/>
          <w:color w:val="000000"/>
          <w:sz w:val="16"/>
        </w:rPr>
        <w:t>Advances in Psychology</w:t>
      </w:r>
      <w:r>
        <w:rPr>
          <w:color w:val="000000"/>
          <w:sz w:val="16"/>
        </w:rPr>
        <w:t xml:space="preserve">, vol. 52, pp. 139–183, 1988. </w:t>
      </w:r>
      <w:hyperlink r:id="rId38">
        <w:r>
          <w:rPr>
            <w:rStyle w:val="af"/>
          </w:rPr>
          <w:t>Author text hosted by NASA</w:t>
        </w:r>
      </w:hyperlink>
      <w:r>
        <w:rPr>
          <w:color w:val="000000"/>
          <w:sz w:val="16"/>
        </w:rPr>
        <w:t>.</w:t>
      </w:r>
    </w:p>
    <w:p w14:paraId="3CE38D27" w14:textId="77777777" w:rsidR="007E1590" w:rsidRDefault="00074FEE">
      <w:pPr>
        <w:pStyle w:val="a0"/>
        <w:spacing w:after="60"/>
        <w:ind w:left="288" w:hanging="288"/>
      </w:pPr>
      <w:r>
        <w:rPr>
          <w:color w:val="000000"/>
          <w:sz w:val="16"/>
        </w:rPr>
        <w:t xml:space="preserve">[21] Y. Duan, X. Xu, H. He, Y. Gu, S. Li, and J. Bueno Vesga, “Supplementing Patient Encounter Training for Preservice Nurses: Towards an AI×VR Approach,” in </w:t>
      </w:r>
      <w:r>
        <w:rPr>
          <w:i/>
          <w:iCs/>
          <w:color w:val="000000"/>
          <w:sz w:val="16"/>
        </w:rPr>
        <w:t>Proc. 2026 IEEE Int. Conf. on Artificial Intelligence and eXtended and</w:t>
      </w:r>
      <w:r>
        <w:rPr>
          <w:i/>
          <w:iCs/>
          <w:color w:val="000000"/>
          <w:sz w:val="16"/>
        </w:rPr>
        <w:t xml:space="preserve"> Virtual Reality (AIxVR)</w:t>
      </w:r>
      <w:r>
        <w:rPr>
          <w:color w:val="000000"/>
          <w:sz w:val="16"/>
        </w:rPr>
        <w:t xml:space="preserve">, pp. 98–107, 2026. </w:t>
      </w:r>
      <w:hyperlink r:id="rId39">
        <w:r>
          <w:rPr>
            <w:rStyle w:val="af"/>
          </w:rPr>
          <w:t>doi:10.1109/AIxVR67263.2026.00020</w:t>
        </w:r>
      </w:hyperlink>
      <w:r>
        <w:rPr>
          <w:color w:val="000000"/>
          <w:sz w:val="16"/>
        </w:rPr>
        <w:t>.</w:t>
      </w:r>
    </w:p>
    <w:p w14:paraId="00AAEB03" w14:textId="77777777" w:rsidR="007E1590" w:rsidRDefault="00074FEE">
      <w:pPr>
        <w:pStyle w:val="a0"/>
        <w:spacing w:after="60"/>
        <w:ind w:left="288" w:hanging="288"/>
      </w:pPr>
      <w:r>
        <w:rPr>
          <w:color w:val="000000"/>
          <w:sz w:val="16"/>
        </w:rPr>
        <w:t xml:space="preserve">[22] A. Bangor, P. T. Kortum, and J. T. Miller, “An Empirical Evaluation of the System Usability Scale,” </w:t>
      </w:r>
      <w:r>
        <w:rPr>
          <w:i/>
          <w:iCs/>
          <w:color w:val="000000"/>
          <w:sz w:val="16"/>
        </w:rPr>
        <w:t>Interna</w:t>
      </w:r>
      <w:r>
        <w:rPr>
          <w:i/>
          <w:iCs/>
          <w:color w:val="000000"/>
          <w:sz w:val="16"/>
        </w:rPr>
        <w:t>tional Journal of Human–Computer Interaction</w:t>
      </w:r>
      <w:r>
        <w:rPr>
          <w:color w:val="000000"/>
          <w:sz w:val="16"/>
        </w:rPr>
        <w:t xml:space="preserve">, vol. 24, no. 6, pp. 574–594, 2008. </w:t>
      </w:r>
      <w:hyperlink r:id="rId40">
        <w:r>
          <w:rPr>
            <w:rStyle w:val="af"/>
          </w:rPr>
          <w:t>doi:10.1080/10447310802205776</w:t>
        </w:r>
      </w:hyperlink>
      <w:r>
        <w:rPr>
          <w:color w:val="000000"/>
          <w:sz w:val="16"/>
        </w:rPr>
        <w:t>.</w:t>
      </w:r>
      <w:bookmarkEnd w:id="0"/>
      <w:bookmarkEnd w:id="32"/>
    </w:p>
    <w:sectPr w:rsidR="007E1590">
      <w:footnotePr>
        <w:numRestart w:val="eachSect"/>
      </w:footnotePr>
      <w:type w:val="continuous"/>
      <w:pgSz w:w="12240" w:h="15840"/>
      <w:pgMar w:top="1080" w:right="900" w:bottom="1440" w:left="900" w:header="432" w:footer="432"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30040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46ED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15A09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1590"/>
    <w:rsid w:val="00074FEE"/>
    <w:rsid w:val="007E1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8ACB"/>
  <w15:docId w15:val="{5F09EE52-8212-4F55-876D-DF01B88D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pPr>
    <w:rPr>
      <w:rFonts w:ascii="Times New Roman" w:eastAsia="SimSun" w:hAnsi="Times New Roman"/>
      <w:sz w:val="20"/>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color w:val="000000"/>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u w:val="none"/>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07/BF02956173" TargetMode="External"/><Relationship Id="rId39" Type="http://schemas.openxmlformats.org/officeDocument/2006/relationships/hyperlink" Target="https://doi.org/10.1109/AIxVR67263.2026.00020" TargetMode="External"/><Relationship Id="rId21" Type="http://schemas.openxmlformats.org/officeDocument/2006/relationships/hyperlink" Target="https://doi.org/10.1109/AIxVR67263.2026.00016" TargetMode="External"/><Relationship Id="rId34" Type="http://schemas.openxmlformats.org/officeDocument/2006/relationships/hyperlink" Target="https://doi.org/10.1098/rsta.2003.1347"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109/AIxVR67263.2026.00050" TargetMode="External"/><Relationship Id="rId29" Type="http://schemas.openxmlformats.org/officeDocument/2006/relationships/hyperlink" Target="https://doi.org/10.1090/S0025-5718-1965-0178586-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zeiss.com/microscopy/en/resources/insights-hub/foundational-knowledge/spatial-frequency-and-image-resolution.html" TargetMode="External"/><Relationship Id="rId32" Type="http://schemas.openxmlformats.org/officeDocument/2006/relationships/hyperlink" Target="https://doi.org/10.1002/lpor.201000011" TargetMode="External"/><Relationship Id="rId37" Type="http://schemas.openxmlformats.org/officeDocument/2006/relationships/hyperlink" Target="https://doi.org/10.1201/9781498710411-35" TargetMode="External"/><Relationship Id="rId40" Type="http://schemas.openxmlformats.org/officeDocument/2006/relationships/hyperlink" Target="https://doi.org/10.1080/10447310802205776"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zeiss.com/microscopy/en/resources/insights-hub/foundational-knowledge/numerical-aperture-and-light-cone-geometry.html" TargetMode="External"/><Relationship Id="rId28" Type="http://schemas.openxmlformats.org/officeDocument/2006/relationships/hyperlink" Target="https://doi.org/10.1109/PROC.1978.10837" TargetMode="External"/><Relationship Id="rId36" Type="http://schemas.openxmlformats.org/officeDocument/2006/relationships/hyperlink" Target="https://console.groq.com/docs/speech-to-text" TargetMode="External"/><Relationship Id="rId10" Type="http://schemas.openxmlformats.org/officeDocument/2006/relationships/image" Target="media/image6.png"/><Relationship Id="rId19" Type="http://schemas.openxmlformats.org/officeDocument/2006/relationships/hyperlink" Target="https://doi.org/10.1109/AIxVR59861.2024.00011" TargetMode="External"/><Relationship Id="rId31" Type="http://schemas.openxmlformats.org/officeDocument/2006/relationships/hyperlink" Target="https://doi.org/10.1021/acs.chemrev.7b0021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38/s41596-020-0313-9" TargetMode="External"/><Relationship Id="rId27" Type="http://schemas.openxmlformats.org/officeDocument/2006/relationships/hyperlink" Target="https://doi.org/10.1364/BOE.5.001822" TargetMode="External"/><Relationship Id="rId30" Type="http://schemas.openxmlformats.org/officeDocument/2006/relationships/hyperlink" Target="https://doi.org/10.1046/j.1365-2818.2000.00710.x" TargetMode="External"/><Relationship Id="rId35" Type="http://schemas.openxmlformats.org/officeDocument/2006/relationships/hyperlink" Target="https://doi.org/10.1046/j.1365-2818.2001.00794.x"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17/S0033583514000146" TargetMode="External"/><Relationship Id="rId33" Type="http://schemas.openxmlformats.org/officeDocument/2006/relationships/hyperlink" Target="https://doi.org/10.1038/s41566-021-00835-6" TargetMode="External"/><Relationship Id="rId38" Type="http://schemas.openxmlformats.org/officeDocument/2006/relationships/hyperlink" Target="https://human-factors.arc.nasa.gov/publications/Hart_Staveland_ORIGINAL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5259</Words>
  <Characters>29978</Characters>
  <Application>Microsoft Office Word</Application>
  <DocSecurity>0</DocSecurity>
  <Lines>249</Lines>
  <Paragraphs>70</Paragraphs>
  <ScaleCrop>false</ScaleCrop>
  <Company/>
  <LinksUpToDate>false</LinksUpToDate>
  <CharactersWithSpaces>35167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 Integrating Interactive Microscopy Simulation with Task-State-Aware AI Guidance in Virtual Reality</dc:title>
  <dc:creator>Tang Shaoyan; Pu Yunpin; Sui Si‘ao; Qammer Abbasi; Sajjad Hussain; Hu Min; Hasan Abbas</dc:creator>
  <cp:keywords/>
  <dc:description/>
  <cp:lastModifiedBy>秦时 微雨</cp:lastModifiedBy>
  <cp:revision>2</cp:revision>
  <dcterms:created xsi:type="dcterms:W3CDTF">2026-09-19T12:09:00Z</dcterms:created>
  <dcterms:modified xsi:type="dcterms:W3CDTF">2026-09-20T16:22:00Z</dcterms:modified>
</cp:coreProperties>
</file>