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Demo Video | Production &amp; Submission Guide</w:t>
      </w:r>
    </w:p>
    <w:p>
      <w:pPr>
        <w:spacing w:after="320"/>
      </w:pPr>
      <w:r>
        <w:rPr>
          <w:color w:val="616C7F"/>
          <w:sz w:val="20"/>
        </w:rPr>
        <w:t>Required for the International AI Track. The video must be no longer than five minutes.</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队伍名称 / Team</w:t>
            </w:r>
          </w:p>
        </w:tc>
        <w:tc>
          <w:tcPr>
            <w:tcW w:type="dxa" w:w="7704"/>
          </w:tcPr>
          <w:p>
            <w:r>
              <w:rPr>
                <w:color w:val="17213A"/>
              </w:rPr>
              <w:t>[TEAM NAME]</w:t>
            </w:r>
          </w:p>
        </w:tc>
      </w:tr>
      <w:tr>
        <w:tc>
          <w:tcPr>
            <w:tcW w:type="dxa" w:w="2088"/>
            <w:shd w:fill="EEF3FF"/>
          </w:tcPr>
          <w:p>
            <w:pPr>
              <w:spacing w:after="0"/>
            </w:pPr>
            <w:r>
              <w:rPr>
                <w:b/>
                <w:sz w:val="18"/>
              </w:rPr>
              <w:t>参赛赛道 / Track</w:t>
            </w:r>
          </w:p>
        </w:tc>
        <w:tc>
          <w:tcPr>
            <w:tcW w:type="dxa" w:w="7704"/>
          </w:tcPr>
          <w:p>
            <w:r>
              <w:rPr>
                <w:color w:val="17213A"/>
              </w:rPr>
              <w:t>International AI Track · Topic C — Cross-border &amp; Student Finance Assistant · Setu 桥</w:t>
            </w:r>
          </w:p>
        </w:tc>
      </w:tr>
      <w:tr>
        <w:tc>
          <w:tcPr>
            <w:tcW w:type="dxa" w:w="2088"/>
            <w:shd w:fill="EEF3FF"/>
          </w:tcPr>
          <w:p>
            <w:pPr>
              <w:spacing w:after="0"/>
            </w:pPr>
            <w:r>
              <w:rPr>
                <w:b/>
                <w:sz w:val="18"/>
              </w:rPr>
              <w:t>提交日期 / Date</w:t>
            </w:r>
          </w:p>
        </w:tc>
        <w:tc>
          <w:tcPr>
            <w:tcW w:type="dxa" w:w="7704"/>
          </w:tcPr>
          <w:p>
            <w:r>
              <w:rPr>
                <w:color w:val="17213A"/>
              </w:rPr>
              <w:t>[SUBMISSION DATE]</w:t>
            </w:r>
          </w:p>
        </w:tc>
      </w:tr>
    </w:tbl>
    <w:p/>
    <w:p>
      <w:pPr>
        <w:pStyle w:val="Heading1"/>
      </w:pPr>
      <w:r>
        <w:t>01 Recommended Structure</w:t>
      </w:r>
    </w:p>
    <w:p>
      <w:pPr>
        <w:pStyle w:val="ListBullet"/>
        <w:spacing w:after="100"/>
      </w:pPr>
      <w:r>
        <w:t>Project and team introduction</w:t>
      </w:r>
    </w:p>
    <w:p>
      <w:pPr>
        <w:spacing w:after="120"/>
        <w:ind w:left="317"/>
      </w:pPr>
      <w:r>
        <w:t xml:space="preserve">File: </w:t>
      </w:r>
      <w:r>
        <w:rPr>
          <w:rFonts w:ascii="Consolas" w:hAnsi="Consolas" w:eastAsia="Consolas"/>
          <w:color w:val="1F3A8A"/>
        </w:rPr>
        <w:t>submission/Setu_Demo.mp4</w:t>
      </w:r>
      <w:r>
        <w:t xml:space="preserve"> (copy in this folder as </w:t>
      </w:r>
      <w:r>
        <w:rPr>
          <w:rFonts w:ascii="Consolas" w:hAnsi="Consolas" w:eastAsia="Consolas"/>
          <w:color w:val="1F3A8A"/>
        </w:rPr>
        <w:t>C-[TeamName]-DemoVideo.mp4</w:t>
      </w:r>
      <w:r>
        <w:t>), 3 min 26 s. Link: https://github.com/Zul-Qarnain/setu-fintechathon/blob/main/submission/Setu_Demo.mp4</w:t>
      </w:r>
    </w:p>
    <w:p>
      <w:pPr>
        <w:spacing w:after="120"/>
        <w:ind w:left="317"/>
      </w:pPr>
      <w:r>
        <w:t>0:00–0:16 — opening: "This is Setu, a bridge for international students paying fees abroad. Everything in this video is the real application, recorded live, using synthetic data and a sandbox bank."</w:t>
      </w:r>
    </w:p>
    <w:p>
      <w:pPr>
        <w:spacing w:after="120"/>
        <w:ind w:left="317"/>
      </w:pPr>
      <w:r>
        <w:t>Team introduction: [TEAM NAME] and members — [TEAM MEMBERS] (to be added; the current cut opens directly with the project).</w:t>
      </w:r>
    </w:p>
    <w:p>
      <w:pPr>
        <w:pStyle w:val="ListBullet"/>
        <w:spacing w:after="100"/>
      </w:pPr>
      <w:r>
        <w:t>End-to-end demonstration of the core scenario</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720"/>
        <w:gridCol w:w="3024"/>
        <w:gridCol w:w="5616"/>
      </w:tblGrid>
      <w:tr>
        <w:trPr>
          <w:tblHeader w:val="true"/>
        </w:trPr>
        <w:tc>
          <w:tcPr>
            <w:tcW w:type="dxa" w:w="720"/>
            <w:shd w:val="clear" w:color="auto" w:fill="EEF3FF"/>
          </w:tcPr>
          <w:p>
            <w:pPr>
              <w:spacing w:after="20"/>
            </w:pPr>
            <w:r>
              <w:rPr>
                <w:b/>
                <w:sz w:val="15"/>
              </w:rPr>
              <w:t>Start</w:t>
            </w:r>
          </w:p>
        </w:tc>
        <w:tc>
          <w:tcPr>
            <w:tcW w:type="dxa" w:w="3024"/>
            <w:shd w:val="clear" w:color="auto" w:fill="EEF3FF"/>
          </w:tcPr>
          <w:p>
            <w:pPr>
              <w:spacing w:after="20"/>
            </w:pPr>
            <w:r>
              <w:rPr>
                <w:b/>
                <w:sz w:val="15"/>
              </w:rPr>
              <w:t>On-screen caption</w:t>
            </w:r>
          </w:p>
        </w:tc>
        <w:tc>
          <w:tcPr>
            <w:tcW w:type="dxa" w:w="5616"/>
            <w:shd w:val="clear" w:color="auto" w:fill="EEF3FF"/>
          </w:tcPr>
          <w:p>
            <w:pPr>
              <w:spacing w:after="20"/>
            </w:pPr>
            <w:r>
              <w:rPr>
                <w:b/>
                <w:sz w:val="15"/>
              </w:rPr>
              <w:t>Narration (English)</w:t>
            </w:r>
          </w:p>
        </w:tc>
      </w:tr>
      <w:tr>
        <w:tc>
          <w:tcPr>
            <w:tcW w:type="dxa" w:w="720"/>
          </w:tcPr>
          <w:p>
            <w:pPr>
              <w:spacing w:after="20"/>
            </w:pPr>
            <w:r>
              <w:rPr>
                <w:sz w:val="15"/>
              </w:rPr>
              <w:t>0:16</w:t>
            </w:r>
          </w:p>
        </w:tc>
        <w:tc>
          <w:tcPr>
            <w:tcW w:type="dxa" w:w="3024"/>
          </w:tcPr>
          <w:p>
            <w:pPr>
              <w:spacing w:after="20"/>
            </w:pPr>
            <w:r>
              <w:rPr>
                <w:sz w:val="15"/>
              </w:rPr>
              <w:t>Sign in as a seeded persona</w:t>
            </w:r>
          </w:p>
        </w:tc>
        <w:tc>
          <w:tcPr>
            <w:tcW w:type="dxa" w:w="5616"/>
          </w:tcPr>
          <w:p>
            <w:pPr>
              <w:spacing w:after="20"/>
            </w:pPr>
            <w:r>
              <w:rPr>
                <w:sz w:val="15"/>
              </w:rPr>
              <w:t>I sign in as Aisha, a synthetic student persona. The dashboard shows upcoming obligations, her budget, and an exchange rate that is clearly labelled as a sample.</w:t>
            </w:r>
          </w:p>
        </w:tc>
      </w:tr>
      <w:tr>
        <w:tc>
          <w:tcPr>
            <w:tcW w:type="dxa" w:w="720"/>
          </w:tcPr>
          <w:p>
            <w:pPr>
              <w:spacing w:after="20"/>
            </w:pPr>
            <w:r>
              <w:rPr>
                <w:sz w:val="15"/>
              </w:rPr>
              <w:t>0:29</w:t>
            </w:r>
          </w:p>
        </w:tc>
        <w:tc>
          <w:tcPr>
            <w:tcW w:type="dxa" w:w="3024"/>
          </w:tcPr>
          <w:p>
            <w:pPr>
              <w:spacing w:after="20"/>
            </w:pPr>
            <w:r>
              <w:rPr>
                <w:sz w:val="15"/>
              </w:rPr>
              <w:t>Agent chat with live trace</w:t>
            </w:r>
          </w:p>
        </w:tc>
        <w:tc>
          <w:tcPr>
            <w:tcW w:type="dxa" w:w="5616"/>
          </w:tcPr>
          <w:p>
            <w:pPr>
              <w:spacing w:after="20"/>
            </w:pPr>
            <w:r>
              <w:rPr>
                <w:sz w:val="15"/>
              </w:rPr>
              <w:t>In the agent chat I ask how much taka I need by the first of March. A scripted planner reads the intent, all numbers come from deterministic code, and the live trace shows every pipeline step.</w:t>
            </w:r>
          </w:p>
        </w:tc>
      </w:tr>
      <w:tr>
        <w:tc>
          <w:tcPr>
            <w:tcW w:type="dxa" w:w="720"/>
          </w:tcPr>
          <w:p>
            <w:pPr>
              <w:spacing w:after="20"/>
            </w:pPr>
            <w:r>
              <w:rPr>
                <w:sz w:val="15"/>
              </w:rPr>
              <w:t>0:44</w:t>
            </w:r>
          </w:p>
        </w:tc>
        <w:tc>
          <w:tcPr>
            <w:tcW w:type="dxa" w:w="3024"/>
          </w:tcPr>
          <w:p>
            <w:pPr>
              <w:spacing w:after="20"/>
            </w:pPr>
            <w:r>
              <w:rPr>
                <w:sz w:val="15"/>
              </w:rPr>
              <w:t>Tier 2 — payment up to CNY 2,000 to a verified payee</w:t>
            </w:r>
          </w:p>
        </w:tc>
        <w:tc>
          <w:tcPr>
            <w:tcW w:type="dxa" w:w="5616"/>
          </w:tcPr>
          <w:p>
            <w:pPr>
              <w:spacing w:after="20"/>
            </w:pPr>
            <w:r>
              <w:rPr>
                <w:sz w:val="15"/>
              </w:rPr>
              <w:t>Next, a tier two payment. I ask it to pay my dorm fee, which is under the two thousand yuan cap and goes to a verified payee. The agent only drafts the payment and explains why. I confirm with a one-time code, and the sandbox bank settles it.</w:t>
            </w:r>
          </w:p>
        </w:tc>
      </w:tr>
      <w:tr>
        <w:tc>
          <w:tcPr>
            <w:tcW w:type="dxa" w:w="720"/>
          </w:tcPr>
          <w:p>
            <w:pPr>
              <w:spacing w:after="20"/>
            </w:pPr>
            <w:r>
              <w:rPr>
                <w:sz w:val="15"/>
              </w:rPr>
              <w:t>1:02</w:t>
            </w:r>
          </w:p>
        </w:tc>
        <w:tc>
          <w:tcPr>
            <w:tcW w:type="dxa" w:w="3024"/>
          </w:tcPr>
          <w:p>
            <w:pPr>
              <w:spacing w:after="20"/>
            </w:pPr>
            <w:r>
              <w:rPr>
                <w:sz w:val="15"/>
              </w:rPr>
              <w:t>Tier 3 — spring tuition, CNY 18,500 (over the cap)</w:t>
            </w:r>
          </w:p>
        </w:tc>
        <w:tc>
          <w:tcPr>
            <w:tcW w:type="dxa" w:w="5616"/>
          </w:tcPr>
          <w:p>
            <w:pPr>
              <w:spacing w:after="20"/>
            </w:pPr>
            <w:r>
              <w:rPr>
                <w:sz w:val="15"/>
              </w:rPr>
              <w:t>A tier three payment: spring tuition, eighteen thousand five hundred yuan, over the cap. First I load the synthetic fee notice and confirm the parsed fields myself.</w:t>
            </w:r>
          </w:p>
        </w:tc>
      </w:tr>
      <w:tr>
        <w:tc>
          <w:tcPr>
            <w:tcW w:type="dxa" w:w="720"/>
          </w:tcPr>
          <w:p>
            <w:pPr>
              <w:spacing w:after="20"/>
            </w:pPr>
            <w:r>
              <w:rPr>
                <w:sz w:val="15"/>
              </w:rPr>
              <w:t>1:14</w:t>
            </w:r>
          </w:p>
        </w:tc>
        <w:tc>
          <w:tcPr>
            <w:tcW w:type="dxa" w:w="3024"/>
          </w:tcPr>
          <w:p>
            <w:pPr>
              <w:spacing w:after="20"/>
            </w:pPr>
            <w:r>
              <w:rPr>
                <w:sz w:val="15"/>
              </w:rPr>
              <w:t>Tier 3 needs TOTP + a family approver</w:t>
            </w:r>
          </w:p>
        </w:tc>
        <w:tc>
          <w:tcPr>
            <w:tcW w:type="dxa" w:w="5616"/>
          </w:tcPr>
          <w:p>
            <w:pPr>
              <w:spacing w:after="20"/>
            </w:pPr>
            <w:r>
              <w:rPr>
                <w:sz w:val="15"/>
              </w:rPr>
              <w:t>The agent drafts the payment and the policy engine requires two approvals: my code, and a family approver. I approve with my code, and the payment now waits for my father.</w:t>
            </w:r>
          </w:p>
        </w:tc>
      </w:tr>
      <w:tr>
        <w:tc>
          <w:tcPr>
            <w:tcW w:type="dxa" w:w="720"/>
          </w:tcPr>
          <w:p>
            <w:pPr>
              <w:spacing w:after="20"/>
            </w:pPr>
            <w:r>
              <w:rPr>
                <w:sz w:val="15"/>
              </w:rPr>
              <w:t>1:28</w:t>
            </w:r>
          </w:p>
        </w:tc>
        <w:tc>
          <w:tcPr>
            <w:tcW w:type="dxa" w:w="3024"/>
          </w:tcPr>
          <w:p>
            <w:pPr>
              <w:spacing w:after="20"/>
            </w:pPr>
            <w:r>
              <w:rPr>
                <w:sz w:val="15"/>
              </w:rPr>
              <w:t>Family approver signs in separately</w:t>
            </w:r>
          </w:p>
        </w:tc>
        <w:tc>
          <w:tcPr>
            <w:tcW w:type="dxa" w:w="5616"/>
          </w:tcPr>
          <w:p>
            <w:pPr>
              <w:spacing w:after="20"/>
            </w:pPr>
            <w:r>
              <w:rPr>
                <w:sz w:val="15"/>
              </w:rPr>
              <w:t>Her father, a family approver, signs in on his own account, sees the request, and approves with his own code. Only then does the sandbox bank execute the payment.</w:t>
            </w:r>
          </w:p>
        </w:tc>
      </w:tr>
      <w:tr>
        <w:tc>
          <w:tcPr>
            <w:tcW w:type="dxa" w:w="720"/>
          </w:tcPr>
          <w:p>
            <w:pPr>
              <w:spacing w:after="20"/>
            </w:pPr>
            <w:r>
              <w:rPr>
                <w:sz w:val="15"/>
              </w:rPr>
              <w:t>1:44</w:t>
            </w:r>
          </w:p>
        </w:tc>
        <w:tc>
          <w:tcPr>
            <w:tcW w:type="dxa" w:w="3024"/>
          </w:tcPr>
          <w:p>
            <w:pPr>
              <w:spacing w:after="20"/>
            </w:pPr>
            <w:r>
              <w:rPr>
                <w:sz w:val="15"/>
              </w:rPr>
              <w:t>New payee: verification is Tier 3 + family approver + 24-hour cooling-off</w:t>
            </w:r>
          </w:p>
        </w:tc>
        <w:tc>
          <w:tcPr>
            <w:tcW w:type="dxa" w:w="5616"/>
          </w:tcPr>
          <w:p>
            <w:pPr>
              <w:spacing w:after="20"/>
            </w:pPr>
            <w:r>
              <w:rPr>
                <w:sz w:val="15"/>
              </w:rPr>
              <w:t>Now a message claims the school's bank account has changed. Setu treats it as data. The new payee stays unverified, and verifying it needs a family approver, plus a twenty four hour cooling-off before approval is even possible.</w:t>
            </w:r>
          </w:p>
        </w:tc>
      </w:tr>
      <w:tr>
        <w:tc>
          <w:tcPr>
            <w:tcW w:type="dxa" w:w="720"/>
          </w:tcPr>
          <w:p>
            <w:pPr>
              <w:spacing w:after="20"/>
            </w:pPr>
            <w:r>
              <w:rPr>
                <w:sz w:val="15"/>
              </w:rPr>
              <w:t>2:02</w:t>
            </w:r>
          </w:p>
        </w:tc>
        <w:tc>
          <w:tcPr>
            <w:tcW w:type="dxa" w:w="3024"/>
          </w:tcPr>
          <w:p>
            <w:pPr>
              <w:spacing w:after="20"/>
            </w:pPr>
            <w:r>
              <w:rPr>
                <w:sz w:val="15"/>
              </w:rPr>
              <w:t>Attack: instructions hidden inside a fee notice</w:t>
            </w:r>
          </w:p>
        </w:tc>
        <w:tc>
          <w:tcPr>
            <w:tcW w:type="dxa" w:w="5616"/>
          </w:tcPr>
          <w:p>
            <w:pPr>
              <w:spacing w:after="20"/>
            </w:pPr>
            <w:r>
              <w:rPr>
                <w:sz w:val="15"/>
              </w:rPr>
              <w:t>Now an attack. This fee notice hides an instruction telling the assistant to ignore its rules and pay another account. The guardian flags it, and the document is blocked. It cannot even be confirmed.</w:t>
            </w:r>
          </w:p>
        </w:tc>
      </w:tr>
      <w:tr>
        <w:tc>
          <w:tcPr>
            <w:tcW w:type="dxa" w:w="720"/>
          </w:tcPr>
          <w:p>
            <w:pPr>
              <w:spacing w:after="20"/>
            </w:pPr>
            <w:r>
              <w:rPr>
                <w:sz w:val="15"/>
              </w:rPr>
              <w:t>2:18</w:t>
            </w:r>
          </w:p>
        </w:tc>
        <w:tc>
          <w:tcPr>
            <w:tcW w:type="dxa" w:w="3024"/>
          </w:tcPr>
          <w:p>
            <w:pPr>
              <w:spacing w:after="20"/>
            </w:pPr>
            <w:r>
              <w:rPr>
                <w:sz w:val="15"/>
              </w:rPr>
              <w:t>Tier 4 — blocked: INJECTION_DETECTED</w:t>
            </w:r>
          </w:p>
        </w:tc>
        <w:tc>
          <w:tcPr>
            <w:tcW w:type="dxa" w:w="5616"/>
          </w:tcPr>
          <w:p>
            <w:pPr>
              <w:spacing w:after="20"/>
            </w:pPr>
            <w:r>
              <w:rPr>
                <w:sz w:val="15"/>
              </w:rPr>
              <w:t>If I ask the agent to pay from that notice, the answer is a red tier four block, reason injection detected. There is no approval path, no money moves, and the event is written to the audit log.</w:t>
            </w:r>
          </w:p>
        </w:tc>
      </w:tr>
      <w:tr>
        <w:tc>
          <w:tcPr>
            <w:tcW w:type="dxa" w:w="720"/>
          </w:tcPr>
          <w:p>
            <w:pPr>
              <w:spacing w:after="20"/>
            </w:pPr>
            <w:r>
              <w:rPr>
                <w:sz w:val="15"/>
              </w:rPr>
              <w:t>2:32</w:t>
            </w:r>
          </w:p>
        </w:tc>
        <w:tc>
          <w:tcPr>
            <w:tcW w:type="dxa" w:w="3024"/>
          </w:tcPr>
          <w:p>
            <w:pPr>
              <w:spacing w:after="20"/>
            </w:pPr>
            <w:r>
              <w:rPr>
                <w:sz w:val="15"/>
              </w:rPr>
              <w:t>Hash-chained audit log</w:t>
            </w:r>
          </w:p>
        </w:tc>
        <w:tc>
          <w:tcPr>
            <w:tcW w:type="dxa" w:w="5616"/>
          </w:tcPr>
          <w:p>
            <w:pPr>
              <w:spacing w:after="20"/>
            </w:pPr>
            <w:r>
              <w:rPr>
                <w:sz w:val="15"/>
              </w:rPr>
              <w:t>Every decision and approval is recorded in a hash chained audit log. One click re-verifies the entire chain.</w:t>
            </w:r>
          </w:p>
        </w:tc>
      </w:tr>
      <w:tr>
        <w:tc>
          <w:tcPr>
            <w:tcW w:type="dxa" w:w="720"/>
          </w:tcPr>
          <w:p>
            <w:pPr>
              <w:spacing w:after="20"/>
            </w:pPr>
            <w:r>
              <w:rPr>
                <w:sz w:val="15"/>
              </w:rPr>
              <w:t>2:42</w:t>
            </w:r>
          </w:p>
        </w:tc>
        <w:tc>
          <w:tcPr>
            <w:tcW w:type="dxa" w:w="3024"/>
          </w:tcPr>
          <w:p>
            <w:pPr>
              <w:spacing w:after="20"/>
            </w:pPr>
            <w:r>
              <w:rPr>
                <w:sz w:val="15"/>
              </w:rPr>
              <w:t>界面支持简体中文 · Simplified Chinese UI</w:t>
            </w:r>
          </w:p>
        </w:tc>
        <w:tc>
          <w:tcPr>
            <w:tcW w:type="dxa" w:w="5616"/>
          </w:tcPr>
          <w:p>
            <w:pPr>
              <w:spacing w:after="20"/>
            </w:pPr>
            <w:r>
              <w:rPr>
                <w:sz w:val="15"/>
              </w:rPr>
              <w:t>The interface also runs in Simplified Chinese. Here is the dashboard, and the agent answering the same question with its live trace.</w:t>
            </w:r>
          </w:p>
        </w:tc>
      </w:tr>
    </w:tbl>
    <w:p>
      <w:pPr>
        <w:spacing w:after="40"/>
        <w:ind w:left="317"/>
      </w:pPr>
    </w:p>
    <w:p>
      <w:pPr>
        <w:pStyle w:val="ListBullet"/>
        <w:spacing w:after="100"/>
      </w:pPr>
      <w:r>
        <w:t>Safety mechanisms, innovation and results</w:t>
      </w:r>
    </w:p>
    <w:p>
      <w:pPr>
        <w:spacing w:after="120"/>
        <w:ind w:left="317"/>
      </w:pPr>
      <w:r>
        <w:t xml:space="preserve">2:55 — </w:t>
      </w:r>
      <w:r>
        <w:rPr>
          <w:b/>
        </w:rPr>
        <w:t>Evidence generated from real runs</w:t>
      </w:r>
      <w:r>
        <w:t xml:space="preserve"> · 25/25 golden agent tasks · 17/17 adversarial scenarios blocked · verified audit export. "Evidence is generated from real runs of the application code: twenty five golden tasks passed, and all seventeen adversarial scenarios were blocked, offline, with synthetic data. The audit export carries the verified hash chain."</w:t>
      </w:r>
    </w:p>
    <w:p>
      <w:pPr>
        <w:spacing w:after="120"/>
        <w:ind w:left="317"/>
      </w:pPr>
      <w:r>
        <w:t>3:12 — "Setu. A scripted planner interprets the request, deterministic code computes the numbers, a policy engine decides, and people approve. Thank you for watching."</w:t>
      </w:r>
    </w:p>
    <w:p>
      <w:pPr>
        <w:spacing w:after="120"/>
        <w:ind w:left="317"/>
      </w:pPr>
      <w:r>
        <w:t>Safety mechanisms shown: T2 single TOTP, T3 two-person approval, 24 h cooling-off for a changed payee, T4 block of an injected notice, hash-chained audit verification, bilingual UI. Results shown: 25/25 golden tasks, 17/17 adversarial scenarios blocked, verified audit export.</w:t>
      </w:r>
    </w:p>
    <w:p>
      <w:pPr>
        <w:pStyle w:val="Heading1"/>
      </w:pPr>
      <w:r>
        <w:t>02 Video Quality</w:t>
      </w:r>
    </w:p>
    <w:p>
      <w:pPr>
        <w:pStyle w:val="ListBullet"/>
        <w:spacing w:after="100"/>
      </w:pPr>
      <w:r>
        <w:t>Use 16:9 landscape and preferably 1080p</w:t>
      </w:r>
    </w:p>
    <w:p>
      <w:pPr>
        <w:spacing w:after="120"/>
        <w:ind w:left="317"/>
      </w:pPr>
      <w:r>
        <w:t>16:9 landscape, 1280×720 (720p), 25 fps, H.264 + AAC. Recorded headless from the real UI with Playwright (</w:t>
      </w:r>
      <w:r>
        <w:rPr>
          <w:rFonts w:ascii="Consolas" w:hAnsi="Consolas" w:eastAsia="Consolas"/>
          <w:color w:val="1F3A8A"/>
        </w:rPr>
        <w:t>submission/record/</w:t>
      </w:r>
      <w:r>
        <w:t>).</w:t>
      </w:r>
    </w:p>
    <w:p>
      <w:pPr>
        <w:pStyle w:val="ListBullet"/>
        <w:spacing w:after="100"/>
      </w:pPr>
      <w:r>
        <w:t>Make interface text, narration and English subtitles clearly legible</w:t>
      </w:r>
    </w:p>
    <w:p>
      <w:pPr>
        <w:spacing w:after="120"/>
        <w:ind w:left="317"/>
      </w:pPr>
      <w:r>
        <w:t>Interface recorded at 1280×720; English narration (synthesised piper TTS voice-over) on every scene; on-screen captions on 12 of the 14 narration segments (English; the Chinese-UI scene is captioned in 简体中文 and English). The narration is not provided as a separate full English subtitle track.</w:t>
      </w:r>
    </w:p>
    <w:p>
      <w:pPr>
        <w:pStyle w:val="Heading1"/>
      </w:pPr>
      <w:r>
        <w:t>03 Final Check</w:t>
      </w:r>
    </w:p>
    <w:p>
      <w:pPr>
        <w:pStyle w:val="ListBullet"/>
        <w:spacing w:after="100"/>
      </w:pPr>
      <w:r>
        <w:t>No copyrighted or sensitive material</w:t>
      </w:r>
    </w:p>
    <w:p>
      <w:pPr>
        <w:spacing w:after="120"/>
        <w:ind w:left="317"/>
      </w:pPr>
      <w:r>
        <w:t>All content is the project's own UI and SYNTHETIC data (personas, notices, accounts); no third-party footage or music. No real personal or financial data appears.</w:t>
      </w:r>
    </w:p>
    <w:p>
      <w:pPr>
        <w:pStyle w:val="ListBullet"/>
        <w:spacing w:after="100"/>
      </w:pPr>
      <w:r>
        <w:t>Suggested filename: Track-TeamName-DemoVideo</w:t>
      </w:r>
    </w:p>
    <w:p>
      <w:pPr>
        <w:spacing w:after="120"/>
        <w:ind w:left="317"/>
      </w:pPr>
      <w:r>
        <w:t xml:space="preserve">Suggested name for this submission: </w:t>
      </w:r>
      <w:r>
        <w:rPr>
          <w:rFonts w:ascii="Consolas" w:hAnsi="Consolas" w:eastAsia="Consolas"/>
          <w:color w:val="1F3A8A"/>
        </w:rPr>
        <w:t>C-[TeamName]-DemoVideo.mp4</w:t>
      </w:r>
      <w:r>
        <w:t>. Duration 3 min 26 s (limit 5 minutes).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