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13A"/>
              </w:rPr>
              <w:t>VIRSYS</w:t>
            </w:r>
          </w:p>
        </w:tc>
      </w:tr>
      <w:tr>
        <w:tc>
          <w:tcPr>
            <w:tcW w:type="dxa" w:w="2088"/>
            <w:shd w:fill="EEF3FF"/>
          </w:tcPr>
          <w:p>
            <w:pPr>
              <w:spacing w:after="0"/>
            </w:pPr>
            <w:r>
              <w:rPr>
                <w:b/>
                <w:sz w:val="18"/>
              </w:rPr>
              <w:t>Competition track</w:t>
            </w:r>
          </w:p>
        </w:tc>
        <w:tc>
          <w:tcPr>
            <w:tcW w:type="dxa" w:w="7704"/>
          </w:tcPr>
          <w:p>
            <w:r>
              <w:rPr>
                <w:color w:val="17213A"/>
              </w:rPr>
              <w:t>International AI Track · Topic C — Cross-border &amp; Student Finance Assistant · Project: Setu 桥</w:t>
            </w:r>
          </w:p>
        </w:tc>
      </w:tr>
      <w:tr>
        <w:tc>
          <w:tcPr>
            <w:tcW w:type="dxa" w:w="2088"/>
            <w:shd w:fill="EEF3FF"/>
          </w:tcPr>
          <w:p>
            <w:pPr>
              <w:spacing w:after="0"/>
            </w:pPr>
            <w:r>
              <w:rPr>
                <w:b/>
                <w:sz w:val="18"/>
              </w:rPr>
              <w:t>Submission date</w:t>
            </w:r>
          </w:p>
        </w:tc>
        <w:tc>
          <w:tcPr>
            <w:tcW w:type="dxa" w:w="7704"/>
          </w:tcPr>
          <w:p>
            <w:r>
              <w:rPr>
                <w:color w:val="17213A"/>
              </w:rPr>
              <w:t>[SUBMISSION DATE] (deadline 20 Oct 2026, 23:59 Beijing time)</w:t>
            </w:r>
          </w:p>
        </w:tc>
      </w:tr>
    </w:tbl>
    <w:p/>
    <w:p>
      <w:pPr>
        <w:pStyle w:val="Heading1"/>
      </w:pPr>
      <w:r>
        <w:t>01 Project Overview</w:t>
      </w:r>
    </w:p>
    <w:p>
      <w:pPr>
        <w:pStyle w:val="ListBullet"/>
        <w:spacing w:after="100"/>
      </w:pPr>
      <w:r>
        <w:t>Problem, target users and selected topic</w:t>
      </w:r>
    </w:p>
    <w:p>
      <w:pPr>
        <w:spacing w:after="120"/>
        <w:ind w:left="317"/>
      </w:pPr>
      <w:r>
        <w:rPr>
          <w:b/>
        </w:rPr>
        <w:t>Setu 桥</w:t>
      </w:r>
      <w:r>
        <w:t xml:space="preserve"> ("setu" and "桥" both mean bridge) is a guarded cross-border finance agent for international students. Selected topic: </w:t>
      </w:r>
      <w:r>
        <w:rPr>
          <w:b/>
        </w:rPr>
        <w:t>Topic C — Cross-border &amp; Student Finance Assistant.</w:t>
      </w:r>
      <w:r>
        <w:t xml:space="preserve"> Source code: https://github.com/Zul-Qarnain/setu-fintechathon</w:t>
      </w:r>
    </w:p>
    <w:p>
      <w:pPr>
        <w:spacing w:after="120"/>
        <w:ind w:left="317"/>
      </w:pPr>
      <w:r>
        <w:rPr>
          <w:b/>
        </w:rPr>
        <w:t>Problem.</w:t>
      </w:r>
      <w:r>
        <w:t xml:space="preserve"> South Asian students in China pay tuition, dorm fees and insurance across borders: bills are in CNY while the family budget is in BDT, and fees, FX margin and deadlines are hard to see in advance. Official notices often arrive in Chinese or mixed English/Chinese, so a student who cannot fully read one cannot check the payee, the amount or the deadline. Students are also a prime target for "the account number changed" scams by SMS and forged notices — and an AI assistant that obeys document text would be a new attack surface.</w:t>
      </w:r>
    </w:p>
    <w:p>
      <w:pPr>
        <w:spacing w:after="120"/>
        <w:ind w:left="317"/>
      </w:pPr>
      <w:r>
        <w:rPr>
          <w:b/>
        </w:rPr>
        <w:t>Target users.</w:t>
      </w:r>
      <w:r>
        <w:t xml:space="preserve"> International students (demo personas Aisha, Rafi and Nusrat), their family approvers (the parent or relative who funds and co-signs large payments, e.g. Mr. Rahman), and an admin with read-only oversight who cannot approve payments.</w:t>
      </w:r>
    </w:p>
    <w:p>
      <w:pPr>
        <w:spacing w:after="120"/>
        <w:ind w:left="317"/>
      </w:pPr>
      <w:r>
        <w:rPr>
          <w:b/>
        </w:rPr>
        <w:t>What Setu does.</w:t>
      </w:r>
      <w:r>
        <w:t xml:space="preserve"> It reads the fee notice, explains it in English or 简体中文, shows the real total cost (fees + FX), and prepares the payment — but never moves money on a model's say-so. A deterministic policy engine plus a family approver decide, and every step is written to a tamper-evident audit log.</w:t>
      </w:r>
    </w:p>
    <w:p>
      <w:pPr>
        <w:spacing w:after="120"/>
        <w:ind w:left="317"/>
      </w:pPr>
      <w:r>
        <w:rPr>
          <w:b/>
          <w:sz w:val="18"/>
        </w:rPr>
        <w:t>Data notice.</w:t>
      </w:r>
      <w:r>
        <w:rPr>
          <w:sz w:val="18"/>
        </w:rPr>
        <w:t xml:space="preserve"> All data is SYNTHETIC (personas, fee notices, SMS, accounts). The bank is a SANDBOX ledger and Setu never holds funds. Offline FX rates are labelled SAMPLE (not live) and channel fees are illustrative. The default planner is a deterministic scripted planner that runs fully offline.</w:t>
      </w:r>
    </w:p>
    <w:p>
      <w:pPr>
        <w:pStyle w:val="ListBullet"/>
        <w:spacing w:after="100"/>
      </w:pPr>
      <w:r>
        <w:t>Core value and innovation</w:t>
      </w:r>
    </w:p>
    <w:p>
      <w:pPr>
        <w:pStyle w:val="ListBullet2"/>
        <w:spacing w:after="60"/>
      </w:pPr>
      <w:r>
        <w:rPr>
          <w:b/>
        </w:rPr>
        <w:t>The model interprets; deterministic code computes.</w:t>
      </w:r>
      <w:r>
        <w:t xml:space="preserve"> Every number a user sees (fees, BDT needed, rates, dates) comes from deterministic </w:t>
      </w:r>
      <w:r>
        <w:rPr>
          <w:rFonts w:ascii="Consolas" w:hAnsi="Consolas" w:eastAsia="Consolas"/>
          <w:color w:val="1F3A8A"/>
        </w:rPr>
        <w:t>decimal.js</w:t>
      </w:r>
      <w:r>
        <w:t xml:space="preserve"> code. A reply validator rejects any reply containing a number that is not in a tool output or the user's own message.</w:t>
      </w:r>
    </w:p>
    <w:p>
      <w:pPr>
        <w:pStyle w:val="ListBullet2"/>
        <w:spacing w:after="60"/>
      </w:pPr>
      <w:r>
        <w:rPr>
          <w:b/>
        </w:rPr>
        <w:t>The server decides, never the model.</w:t>
      </w:r>
      <w:r>
        <w:t xml:space="preserve"> One pure function, </w:t>
      </w:r>
      <w:r>
        <w:rPr>
          <w:rFonts w:ascii="Consolas" w:hAnsi="Consolas" w:eastAsia="Consolas"/>
          <w:color w:val="1F3A8A"/>
        </w:rPr>
        <w:t>policy.decide(action, ctx)</w:t>
      </w:r>
      <w:r>
        <w:t xml:space="preserve">, assigns tiers T0–T4. It runs when an action is proposed, again on every approval and a last time inside the executor, which accepts only </w:t>
      </w:r>
      <w:r>
        <w:rPr>
          <w:rFonts w:ascii="Consolas" w:hAnsi="Consolas" w:eastAsia="Consolas"/>
          <w:color w:val="1F3A8A"/>
        </w:rPr>
        <w:t>ALLOW</w:t>
      </w:r>
      <w:r>
        <w:t>.</w:t>
      </w:r>
    </w:p>
    <w:p>
      <w:pPr>
        <w:pStyle w:val="ListBullet2"/>
        <w:spacing w:after="60"/>
      </w:pPr>
      <w:r>
        <w:rPr>
          <w:b/>
        </w:rPr>
        <w:t>Documents and SMS are data, not instructions.</w:t>
      </w:r>
      <w:r>
        <w:t xml:space="preserve"> They are wrapped in </w:t>
      </w:r>
      <w:r>
        <w:rPr>
          <w:rFonts w:ascii="Consolas" w:hAnsi="Consolas" w:eastAsia="Consolas"/>
          <w:color w:val="1F3A8A"/>
        </w:rPr>
        <w:t>&lt;untrusted&gt;</w:t>
      </w:r>
      <w:r>
        <w:t>, scanned by a rule-based guardian and can never be the source of a payee or an amount; document-sourced actions are T4 regardless of the guardian verdict.</w:t>
      </w:r>
    </w:p>
    <w:p>
      <w:pPr>
        <w:pStyle w:val="ListBullet2"/>
        <w:spacing w:after="60"/>
      </w:pPr>
      <w:r>
        <w:rPr>
          <w:b/>
        </w:rPr>
        <w:t>Two-person rule that matches how student fees are funded.</w:t>
      </w:r>
      <w:r>
        <w:t xml:space="preserve"> Payments over CNY 2,000, split payments past the cap, and new/changed payees need the student's TOTP and the linked family approver's TOTP, plus a 24-hour cooling-off for new payees.</w:t>
      </w:r>
    </w:p>
    <w:p>
      <w:pPr>
        <w:pStyle w:val="ListBullet2"/>
        <w:spacing w:after="60"/>
      </w:pPr>
      <w:r>
        <w:rPr>
          <w:b/>
        </w:rPr>
        <w:t>Tamper-evident accountability.</w:t>
      </w:r>
      <w:r>
        <w:t xml:space="preserve"> A SHA-256 hash-chained audit log (PII redacted before hashing) pinpoints the first altered row and exports a </w:t>
      </w:r>
      <w:r>
        <w:rPr>
          <w:rFonts w:ascii="Consolas" w:hAnsi="Consolas" w:eastAsia="Consolas"/>
          <w:color w:val="1F3A8A"/>
        </w:rPr>
        <w:t>head_hash</w:t>
      </w:r>
      <w:r>
        <w:t xml:space="preserve"> for external comparison.</w:t>
      </w:r>
    </w:p>
    <w:p>
      <w:pPr>
        <w:pStyle w:val="ListBullet2"/>
        <w:spacing w:after="60"/>
      </w:pPr>
      <w:r>
        <w:rPr>
          <w:b/>
        </w:rPr>
        <w:t>Bilingual end to end.</w:t>
      </w:r>
      <w:r>
        <w:t xml:space="preserve"> Parser, guardian rules, planner and UI cover English and 简体中文.</w:t>
      </w:r>
    </w:p>
    <w:p>
      <w:pPr>
        <w:pStyle w:val="ListBullet2"/>
        <w:spacing w:after="60"/>
      </w:pPr>
      <w:r>
        <w:rPr>
          <w:b/>
        </w:rPr>
        <w:t>Offline and reproducible.</w:t>
      </w:r>
      <w:r>
        <w:t xml:space="preserve"> No keys, network or model are needed; </w:t>
      </w:r>
      <w:r>
        <w:rPr>
          <w:rFonts w:ascii="Consolas" w:hAnsi="Consolas" w:eastAsia="Consolas"/>
          <w:color w:val="1F3A8A"/>
        </w:rPr>
        <w:t>make evidence</w:t>
      </w:r>
      <w:r>
        <w:t xml:space="preserve"> regenerates every report quoted in this document.</w:t>
      </w:r>
    </w:p>
    <w:p>
      <w:pPr>
        <w:spacing w:after="120"/>
        <w:ind w:left="317"/>
      </w:pPr>
      <w:r>
        <w:t>Example (golden task G01): a confirmed CNY 18,500.00 tuition notice due 2027-03-01 → estimated fees CNY 95.43 (0.52 %) → about BDT 319,841.40 at 17.2000 (SAMPLE rate) → payment drafted at Tier 3, nothing sent until approved.</w:t>
      </w:r>
    </w:p>
    <w:p>
      <w:pPr>
        <w:pStyle w:val="Heading1"/>
      </w:pPr>
      <w:r>
        <w:t>02 System Architecture</w:t>
      </w:r>
    </w:p>
    <w:p>
      <w:pPr>
        <w:pStyle w:val="ListBullet"/>
        <w:spacing w:after="100"/>
      </w:pPr>
      <w:r>
        <w:t>Architecture diagram and component responsibilities</w:t>
      </w:r>
    </w:p>
    <w:p>
      <w:pPr>
        <w:keepNext/>
        <w:ind w:left="317"/>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714750"/>
                    </a:xfrm>
                    <a:prstGeom prst="rect"/>
                  </pic:spPr>
                </pic:pic>
              </a:graphicData>
            </a:graphic>
          </wp:inline>
        </w:drawing>
      </w:r>
    </w:p>
    <w:p>
      <w:pPr>
        <w:spacing w:after="160"/>
        <w:ind w:left="317"/>
      </w:pPr>
      <w:r>
        <w:rPr>
          <w:i/>
          <w:color w:val="616C7F"/>
          <w:sz w:val="17"/>
        </w:rPr>
        <w:t>Figure 1 — Setu components and trust boundaries (as built). Only an ALLOW decision from policy.decide reaches the executor and the sandbox bank.</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1872"/>
        <w:gridCol w:w="2736"/>
        <w:gridCol w:w="4752"/>
      </w:tblGrid>
      <w:tr>
        <w:trPr>
          <w:tblHeader w:val="true"/>
        </w:trPr>
        <w:tc>
          <w:tcPr>
            <w:tcW w:type="dxa" w:w="1872"/>
            <w:shd w:val="clear" w:color="auto" w:fill="EEF3FF"/>
          </w:tcPr>
          <w:p>
            <w:pPr>
              <w:spacing w:after="20"/>
            </w:pPr>
            <w:r>
              <w:rPr>
                <w:b/>
                <w:sz w:val="17"/>
              </w:rPr>
              <w:t>Component</w:t>
            </w:r>
          </w:p>
        </w:tc>
        <w:tc>
          <w:tcPr>
            <w:tcW w:type="dxa" w:w="2736"/>
            <w:shd w:val="clear" w:color="auto" w:fill="EEF3FF"/>
          </w:tcPr>
          <w:p>
            <w:pPr>
              <w:spacing w:after="20"/>
            </w:pPr>
            <w:r>
              <w:rPr>
                <w:b/>
                <w:sz w:val="17"/>
              </w:rPr>
              <w:t>Location</w:t>
            </w:r>
          </w:p>
        </w:tc>
        <w:tc>
          <w:tcPr>
            <w:tcW w:type="dxa" w:w="4752"/>
            <w:shd w:val="clear" w:color="auto" w:fill="EEF3FF"/>
          </w:tcPr>
          <w:p>
            <w:pPr>
              <w:spacing w:after="20"/>
            </w:pPr>
            <w:r>
              <w:rPr>
                <w:b/>
                <w:sz w:val="17"/>
              </w:rPr>
              <w:t>Responsibility</w:t>
            </w:r>
          </w:p>
        </w:tc>
      </w:tr>
      <w:tr>
        <w:tc>
          <w:tcPr>
            <w:tcW w:type="dxa" w:w="1872"/>
          </w:tcPr>
          <w:p>
            <w:pPr>
              <w:spacing w:after="20"/>
            </w:pPr>
            <w:r>
              <w:rPr>
                <w:sz w:val="17"/>
              </w:rPr>
              <w:t>Web app</w:t>
            </w:r>
          </w:p>
        </w:tc>
        <w:tc>
          <w:tcPr>
            <w:tcW w:type="dxa" w:w="2736"/>
          </w:tcPr>
          <w:p>
            <w:pPr>
              <w:spacing w:after="20"/>
            </w:pPr>
            <w:r>
              <w:rPr>
                <w:rFonts w:ascii="Consolas" w:hAnsi="Consolas" w:eastAsia="Consolas"/>
                <w:color w:val="1F3A8A"/>
                <w:sz w:val="17"/>
              </w:rPr>
              <w:t>web/</w:t>
            </w:r>
          </w:p>
        </w:tc>
        <w:tc>
          <w:tcPr>
            <w:tcW w:type="dxa" w:w="4752"/>
          </w:tcPr>
          <w:p>
            <w:pPr>
              <w:spacing w:after="20"/>
            </w:pPr>
            <w:r>
              <w:rPr>
                <w:sz w:val="17"/>
              </w:rPr>
              <w:t>Next.js (16.4.2, React 19), bilingual via next-intl: dashboard, documents, agent chat with live trace, payees, approvals, audit, settings</w:t>
            </w:r>
          </w:p>
        </w:tc>
      </w:tr>
      <w:tr>
        <w:tc>
          <w:tcPr>
            <w:tcW w:type="dxa" w:w="1872"/>
          </w:tcPr>
          <w:p>
            <w:pPr>
              <w:spacing w:after="20"/>
            </w:pPr>
            <w:r>
              <w:rPr>
                <w:sz w:val="17"/>
              </w:rPr>
              <w:t>API</w:t>
            </w:r>
          </w:p>
        </w:tc>
        <w:tc>
          <w:tcPr>
            <w:tcW w:type="dxa" w:w="2736"/>
          </w:tcPr>
          <w:p>
            <w:pPr>
              <w:spacing w:after="20"/>
            </w:pPr>
            <w:r>
              <w:rPr>
                <w:rFonts w:ascii="Consolas" w:hAnsi="Consolas" w:eastAsia="Consolas"/>
                <w:color w:val="1F3A8A"/>
                <w:sz w:val="17"/>
              </w:rPr>
              <w:t>server/src/app.ts</w:t>
            </w:r>
            <w:r>
              <w:rPr>
                <w:sz w:val="17"/>
              </w:rPr>
              <w:t xml:space="preserve">, </w:t>
            </w:r>
            <w:r>
              <w:rPr>
                <w:rFonts w:ascii="Consolas" w:hAnsi="Consolas" w:eastAsia="Consolas"/>
                <w:color w:val="1F3A8A"/>
                <w:sz w:val="17"/>
              </w:rPr>
              <w:t>routes/</w:t>
            </w:r>
          </w:p>
        </w:tc>
        <w:tc>
          <w:tcPr>
            <w:tcW w:type="dxa" w:w="4752"/>
          </w:tcPr>
          <w:p>
            <w:pPr>
              <w:spacing w:after="20"/>
            </w:pPr>
            <w:r>
              <w:rPr>
                <w:sz w:val="17"/>
              </w:rPr>
              <w:t xml:space="preserve">Fastify + Zod: auth, documents, chat, actions, payees, fx, audit, evidence, dashboard, sandbox; </w:t>
            </w:r>
            <w:r>
              <w:rPr>
                <w:rFonts w:ascii="Consolas" w:hAnsi="Consolas" w:eastAsia="Consolas"/>
                <w:color w:val="1F3A8A"/>
                <w:sz w:val="17"/>
              </w:rPr>
              <w:t>/demo/*</w:t>
            </w:r>
            <w:r>
              <w:rPr>
                <w:sz w:val="17"/>
              </w:rPr>
              <w:t xml:space="preserve"> only with </w:t>
            </w:r>
            <w:r>
              <w:rPr>
                <w:rFonts w:ascii="Consolas" w:hAnsi="Consolas" w:eastAsia="Consolas"/>
                <w:color w:val="1F3A8A"/>
                <w:sz w:val="17"/>
              </w:rPr>
              <w:t>DEMO_MODE=true</w:t>
            </w:r>
          </w:p>
        </w:tc>
      </w:tr>
      <w:tr>
        <w:tc>
          <w:tcPr>
            <w:tcW w:type="dxa" w:w="1872"/>
          </w:tcPr>
          <w:p>
            <w:pPr>
              <w:spacing w:after="20"/>
            </w:pPr>
            <w:r>
              <w:rPr>
                <w:sz w:val="17"/>
              </w:rPr>
              <w:t>Agent pipeline</w:t>
            </w:r>
          </w:p>
        </w:tc>
        <w:tc>
          <w:tcPr>
            <w:tcW w:type="dxa" w:w="2736"/>
          </w:tcPr>
          <w:p>
            <w:pPr>
              <w:spacing w:after="20"/>
            </w:pPr>
            <w:r>
              <w:rPr>
                <w:rFonts w:ascii="Consolas" w:hAnsi="Consolas" w:eastAsia="Consolas"/>
                <w:color w:val="1F3A8A"/>
                <w:sz w:val="17"/>
              </w:rPr>
              <w:t>server/src/agents/graph.ts</w:t>
            </w:r>
          </w:p>
        </w:tc>
        <w:tc>
          <w:tcPr>
            <w:tcW w:type="dxa" w:w="4752"/>
          </w:tcPr>
          <w:p>
            <w:pPr>
              <w:spacing w:after="20"/>
            </w:pPr>
            <w:r>
              <w:rPr>
                <w:sz w:val="17"/>
              </w:rPr>
              <w:t>Hand-written state machine (no agent framework): intake → planner → tools → guardian → policy → executor | await_approval → validator</w:t>
            </w:r>
          </w:p>
        </w:tc>
      </w:tr>
      <w:tr>
        <w:tc>
          <w:tcPr>
            <w:tcW w:type="dxa" w:w="1872"/>
          </w:tcPr>
          <w:p>
            <w:pPr>
              <w:spacing w:after="20"/>
            </w:pPr>
            <w:r>
              <w:rPr>
                <w:sz w:val="17"/>
              </w:rPr>
              <w:t>Policy engine</w:t>
            </w:r>
          </w:p>
        </w:tc>
        <w:tc>
          <w:tcPr>
            <w:tcW w:type="dxa" w:w="2736"/>
          </w:tcPr>
          <w:p>
            <w:pPr>
              <w:spacing w:after="20"/>
            </w:pPr>
            <w:r>
              <w:rPr>
                <w:rFonts w:ascii="Consolas" w:hAnsi="Consolas" w:eastAsia="Consolas"/>
                <w:color w:val="1F3A8A"/>
                <w:sz w:val="17"/>
              </w:rPr>
              <w:t>domain/policy.ts</w:t>
            </w:r>
          </w:p>
        </w:tc>
        <w:tc>
          <w:tcPr>
            <w:tcW w:type="dxa" w:w="4752"/>
          </w:tcPr>
          <w:p>
            <w:pPr>
              <w:spacing w:after="20"/>
            </w:pPr>
            <w:r>
              <w:rPr>
                <w:sz w:val="17"/>
              </w:rPr>
              <w:t xml:space="preserve">Pure </w:t>
            </w:r>
            <w:r>
              <w:rPr>
                <w:rFonts w:ascii="Consolas" w:hAnsi="Consolas" w:eastAsia="Consolas"/>
                <w:color w:val="1F3A8A"/>
                <w:sz w:val="17"/>
              </w:rPr>
              <w:t>decide(action, ctx)</w:t>
            </w:r>
            <w:r>
              <w:rPr>
                <w:sz w:val="17"/>
              </w:rPr>
              <w:t xml:space="preserve"> → outcome, tier T0–T4, machine reasons, still-required approvals</w:t>
            </w:r>
          </w:p>
        </w:tc>
      </w:tr>
      <w:tr>
        <w:tc>
          <w:tcPr>
            <w:tcW w:type="dxa" w:w="1872"/>
          </w:tcPr>
          <w:p>
            <w:pPr>
              <w:spacing w:after="20"/>
            </w:pPr>
            <w:r>
              <w:rPr>
                <w:sz w:val="17"/>
              </w:rPr>
              <w:t>Guardian</w:t>
            </w:r>
          </w:p>
        </w:tc>
        <w:tc>
          <w:tcPr>
            <w:tcW w:type="dxa" w:w="2736"/>
          </w:tcPr>
          <w:p>
            <w:pPr>
              <w:spacing w:after="20"/>
            </w:pPr>
            <w:r>
              <w:rPr>
                <w:rFonts w:ascii="Consolas" w:hAnsi="Consolas" w:eastAsia="Consolas"/>
                <w:color w:val="1F3A8A"/>
                <w:sz w:val="17"/>
              </w:rPr>
              <w:t>agents/guardian.ts</w:t>
            </w:r>
          </w:p>
        </w:tc>
        <w:tc>
          <w:tcPr>
            <w:tcW w:type="dxa" w:w="4752"/>
          </w:tcPr>
          <w:p>
            <w:pPr>
              <w:spacing w:after="20"/>
            </w:pPr>
            <w:r>
              <w:rPr>
                <w:sz w:val="17"/>
              </w:rPr>
              <w:t>EN/ZH rule scan + payee-registry checks (injection, bypass demands, homoglyphs, lookalike payees, amount mismatch)</w:t>
            </w:r>
          </w:p>
        </w:tc>
      </w:tr>
      <w:tr>
        <w:tc>
          <w:tcPr>
            <w:tcW w:type="dxa" w:w="1872"/>
          </w:tcPr>
          <w:p>
            <w:pPr>
              <w:spacing w:after="20"/>
            </w:pPr>
            <w:r>
              <w:rPr>
                <w:sz w:val="17"/>
              </w:rPr>
              <w:t>Domain maths</w:t>
            </w:r>
          </w:p>
        </w:tc>
        <w:tc>
          <w:tcPr>
            <w:tcW w:type="dxa" w:w="2736"/>
          </w:tcPr>
          <w:p>
            <w:pPr>
              <w:spacing w:after="20"/>
            </w:pPr>
            <w:r>
              <w:rPr>
                <w:rFonts w:ascii="Consolas" w:hAnsi="Consolas" w:eastAsia="Consolas"/>
                <w:color w:val="1F3A8A"/>
                <w:sz w:val="17"/>
              </w:rPr>
              <w:t>domain/fx.ts</w:t>
            </w:r>
            <w:r>
              <w:rPr>
                <w:sz w:val="17"/>
              </w:rPr>
              <w:t xml:space="preserve">, </w:t>
            </w:r>
            <w:r>
              <w:rPr>
                <w:rFonts w:ascii="Consolas" w:hAnsi="Consolas" w:eastAsia="Consolas"/>
                <w:color w:val="1F3A8A"/>
                <w:sz w:val="17"/>
              </w:rPr>
              <w:t>costs.ts</w:t>
            </w:r>
            <w:r>
              <w:rPr>
                <w:sz w:val="17"/>
              </w:rPr>
              <w:t xml:space="preserve">, </w:t>
            </w:r>
            <w:r>
              <w:rPr>
                <w:rFonts w:ascii="Consolas" w:hAnsi="Consolas" w:eastAsia="Consolas"/>
                <w:color w:val="1F3A8A"/>
                <w:sz w:val="17"/>
              </w:rPr>
              <w:t>budget.ts</w:t>
            </w:r>
            <w:r>
              <w:rPr>
                <w:sz w:val="17"/>
              </w:rPr>
              <w:t xml:space="preserve">, </w:t>
            </w:r>
            <w:r>
              <w:rPr>
                <w:rFonts w:ascii="Consolas" w:hAnsi="Consolas" w:eastAsia="Consolas"/>
                <w:color w:val="1F3A8A"/>
                <w:sz w:val="17"/>
              </w:rPr>
              <w:t>money.ts</w:t>
            </w:r>
          </w:p>
        </w:tc>
        <w:tc>
          <w:tcPr>
            <w:tcW w:type="dxa" w:w="4752"/>
          </w:tcPr>
          <w:p>
            <w:pPr>
              <w:spacing w:after="20"/>
            </w:pPr>
            <w:r>
              <w:rPr>
                <w:sz w:val="17"/>
              </w:rPr>
              <w:t xml:space="preserve">FX quotes, fee model and budgets with </w:t>
            </w:r>
            <w:r>
              <w:rPr>
                <w:rFonts w:ascii="Consolas" w:hAnsi="Consolas" w:eastAsia="Consolas"/>
                <w:color w:val="1F3A8A"/>
                <w:sz w:val="17"/>
              </w:rPr>
              <w:t>decimal.js</w:t>
            </w:r>
            <w:r>
              <w:rPr>
                <w:sz w:val="17"/>
              </w:rPr>
              <w:t>; money is never a float</w:t>
            </w:r>
          </w:p>
        </w:tc>
      </w:tr>
      <w:tr>
        <w:tc>
          <w:tcPr>
            <w:tcW w:type="dxa" w:w="1872"/>
          </w:tcPr>
          <w:p>
            <w:pPr>
              <w:spacing w:after="20"/>
            </w:pPr>
            <w:r>
              <w:rPr>
                <w:sz w:val="17"/>
              </w:rPr>
              <w:t>Crypto &amp; tokenisation</w:t>
            </w:r>
          </w:p>
        </w:tc>
        <w:tc>
          <w:tcPr>
            <w:tcW w:type="dxa" w:w="2736"/>
          </w:tcPr>
          <w:p>
            <w:pPr>
              <w:spacing w:after="20"/>
            </w:pPr>
            <w:r>
              <w:rPr>
                <w:rFonts w:ascii="Consolas" w:hAnsi="Consolas" w:eastAsia="Consolas"/>
                <w:color w:val="1F3A8A"/>
                <w:sz w:val="17"/>
              </w:rPr>
              <w:t>domain/crypto.ts</w:t>
            </w:r>
            <w:r>
              <w:rPr>
                <w:sz w:val="17"/>
              </w:rPr>
              <w:t xml:space="preserve">, </w:t>
            </w:r>
            <w:r>
              <w:rPr>
                <w:rFonts w:ascii="Consolas" w:hAnsi="Consolas" w:eastAsia="Consolas"/>
                <w:color w:val="1F3A8A"/>
                <w:sz w:val="17"/>
              </w:rPr>
              <w:t>tokenize.ts</w:t>
            </w:r>
          </w:p>
        </w:tc>
        <w:tc>
          <w:tcPr>
            <w:tcW w:type="dxa" w:w="4752"/>
          </w:tcPr>
          <w:p>
            <w:pPr>
              <w:spacing w:after="20"/>
            </w:pPr>
            <w:r>
              <w:rPr>
                <w:sz w:val="17"/>
              </w:rPr>
              <w:t>AES-256-GCM field encryption, HMAC-SHA256 tokens and lookups, PII redaction</w:t>
            </w:r>
          </w:p>
        </w:tc>
      </w:tr>
      <w:tr>
        <w:tc>
          <w:tcPr>
            <w:tcW w:type="dxa" w:w="1872"/>
          </w:tcPr>
          <w:p>
            <w:pPr>
              <w:spacing w:after="20"/>
            </w:pPr>
            <w:r>
              <w:rPr>
                <w:sz w:val="17"/>
              </w:rPr>
              <w:t>Audit</w:t>
            </w:r>
          </w:p>
        </w:tc>
        <w:tc>
          <w:tcPr>
            <w:tcW w:type="dxa" w:w="2736"/>
          </w:tcPr>
          <w:p>
            <w:pPr>
              <w:spacing w:after="20"/>
            </w:pPr>
            <w:r>
              <w:rPr>
                <w:rFonts w:ascii="Consolas" w:hAnsi="Consolas" w:eastAsia="Consolas"/>
                <w:color w:val="1F3A8A"/>
                <w:sz w:val="17"/>
              </w:rPr>
              <w:t>domain/audit.ts</w:t>
            </w:r>
            <w:r>
              <w:rPr>
                <w:sz w:val="17"/>
              </w:rPr>
              <w:t xml:space="preserve">, </w:t>
            </w:r>
            <w:r>
              <w:rPr>
                <w:rFonts w:ascii="Consolas" w:hAnsi="Consolas" w:eastAsia="Consolas"/>
                <w:color w:val="1F3A8A"/>
                <w:sz w:val="17"/>
              </w:rPr>
              <w:t>db/auditStore.ts</w:t>
            </w:r>
          </w:p>
        </w:tc>
        <w:tc>
          <w:tcPr>
            <w:tcW w:type="dxa" w:w="4752"/>
          </w:tcPr>
          <w:p>
            <w:pPr>
              <w:spacing w:after="20"/>
            </w:pPr>
            <w:r>
              <w:rPr>
                <w:sz w:val="17"/>
              </w:rPr>
              <w:t xml:space="preserve">Canonical JSON, hash-chain append and verify, export with </w:t>
            </w:r>
            <w:r>
              <w:rPr>
                <w:rFonts w:ascii="Consolas" w:hAnsi="Consolas" w:eastAsia="Consolas"/>
                <w:color w:val="1F3A8A"/>
                <w:sz w:val="17"/>
              </w:rPr>
              <w:t>head_hash</w:t>
            </w:r>
          </w:p>
        </w:tc>
      </w:tr>
      <w:tr>
        <w:tc>
          <w:tcPr>
            <w:tcW w:type="dxa" w:w="1872"/>
          </w:tcPr>
          <w:p>
            <w:pPr>
              <w:spacing w:after="20"/>
            </w:pPr>
            <w:r>
              <w:rPr>
                <w:sz w:val="17"/>
              </w:rPr>
              <w:t>Sandbox bank</w:t>
            </w:r>
          </w:p>
        </w:tc>
        <w:tc>
          <w:tcPr>
            <w:tcW w:type="dxa" w:w="2736"/>
          </w:tcPr>
          <w:p>
            <w:pPr>
              <w:spacing w:after="20"/>
            </w:pPr>
            <w:r>
              <w:rPr>
                <w:rFonts w:ascii="Consolas" w:hAnsi="Consolas" w:eastAsia="Consolas"/>
                <w:color w:val="1F3A8A"/>
                <w:sz w:val="17"/>
              </w:rPr>
              <w:t>sandboxBank/ledger.ts</w:t>
            </w:r>
          </w:p>
        </w:tc>
        <w:tc>
          <w:tcPr>
            <w:tcW w:type="dxa" w:w="4752"/>
          </w:tcPr>
          <w:p>
            <w:pPr>
              <w:spacing w:after="20"/>
            </w:pPr>
            <w:r>
              <w:rPr>
                <w:sz w:val="17"/>
              </w:rPr>
              <w:t>Toy ledger with idempotency keys and deterministic failure modes</w:t>
            </w:r>
          </w:p>
        </w:tc>
      </w:tr>
      <w:tr>
        <w:tc>
          <w:tcPr>
            <w:tcW w:type="dxa" w:w="1872"/>
          </w:tcPr>
          <w:p>
            <w:pPr>
              <w:spacing w:after="20"/>
            </w:pPr>
            <w:r>
              <w:rPr>
                <w:sz w:val="17"/>
              </w:rPr>
              <w:t>Persistence</w:t>
            </w:r>
          </w:p>
        </w:tc>
        <w:tc>
          <w:tcPr>
            <w:tcW w:type="dxa" w:w="2736"/>
          </w:tcPr>
          <w:p>
            <w:pPr>
              <w:spacing w:after="20"/>
            </w:pPr>
            <w:r>
              <w:rPr>
                <w:rFonts w:ascii="Consolas" w:hAnsi="Consolas" w:eastAsia="Consolas"/>
                <w:color w:val="1F3A8A"/>
                <w:sz w:val="17"/>
              </w:rPr>
              <w:t>server/src/db/</w:t>
            </w:r>
          </w:p>
        </w:tc>
        <w:tc>
          <w:tcPr>
            <w:tcW w:type="dxa" w:w="4752"/>
          </w:tcPr>
          <w:p>
            <w:pPr>
              <w:spacing w:after="20"/>
            </w:pPr>
            <w:r>
              <w:rPr>
                <w:sz w:val="17"/>
              </w:rPr>
              <w:t>SQLite (better-sqlite3 12.4.1): users, payees, documents, obligations, plans, actions, audit, sbx_accounts, sbx_txns</w:t>
            </w:r>
          </w:p>
        </w:tc>
      </w:tr>
      <w:tr>
        <w:tc>
          <w:tcPr>
            <w:tcW w:type="dxa" w:w="1872"/>
          </w:tcPr>
          <w:p>
            <w:pPr>
              <w:spacing w:after="20"/>
            </w:pPr>
            <w:r>
              <w:rPr>
                <w:sz w:val="17"/>
              </w:rPr>
              <w:t>Evaluation kit</w:t>
            </w:r>
          </w:p>
        </w:tc>
        <w:tc>
          <w:tcPr>
            <w:tcW w:type="dxa" w:w="2736"/>
          </w:tcPr>
          <w:p>
            <w:pPr>
              <w:spacing w:after="20"/>
            </w:pPr>
            <w:r>
              <w:rPr>
                <w:rFonts w:ascii="Consolas" w:hAnsi="Consolas" w:eastAsia="Consolas"/>
                <w:color w:val="1F3A8A"/>
                <w:sz w:val="17"/>
              </w:rPr>
              <w:t>server/eval/</w:t>
            </w:r>
            <w:r>
              <w:rPr>
                <w:sz w:val="17"/>
              </w:rPr>
              <w:t xml:space="preserve">, </w:t>
            </w:r>
            <w:r>
              <w:rPr>
                <w:rFonts w:ascii="Consolas" w:hAnsi="Consolas" w:eastAsia="Consolas"/>
                <w:color w:val="1F3A8A"/>
                <w:sz w:val="17"/>
              </w:rPr>
              <w:t>server/src/evalkit/</w:t>
            </w:r>
          </w:p>
        </w:tc>
        <w:tc>
          <w:tcPr>
            <w:tcW w:type="dxa" w:w="4752"/>
          </w:tcPr>
          <w:p>
            <w:pPr>
              <w:spacing w:after="20"/>
            </w:pPr>
            <w:r>
              <w:rPr>
                <w:sz w:val="17"/>
              </w:rPr>
              <w:t>25 golden tasks, 17 attack scenarios, 33-notice corpus</w:t>
            </w:r>
          </w:p>
        </w:tc>
      </w:tr>
      <w:tr>
        <w:tc>
          <w:tcPr>
            <w:tcW w:type="dxa" w:w="1872"/>
          </w:tcPr>
          <w:p>
            <w:pPr>
              <w:spacing w:after="20"/>
            </w:pPr>
            <w:r>
              <w:rPr>
                <w:sz w:val="17"/>
              </w:rPr>
              <w:t>Seed-data generator</w:t>
            </w:r>
          </w:p>
        </w:tc>
        <w:tc>
          <w:tcPr>
            <w:tcW w:type="dxa" w:w="2736"/>
          </w:tcPr>
          <w:p>
            <w:pPr>
              <w:spacing w:after="20"/>
            </w:pPr>
            <w:r>
              <w:rPr>
                <w:rFonts w:ascii="Consolas" w:hAnsi="Consolas" w:eastAsia="Consolas"/>
                <w:color w:val="1F3A8A"/>
                <w:sz w:val="17"/>
              </w:rPr>
              <w:t>server/scripts/generate_data.ts</w:t>
            </w:r>
          </w:p>
        </w:tc>
        <w:tc>
          <w:tcPr>
            <w:tcW w:type="dxa" w:w="4752"/>
          </w:tcPr>
          <w:p>
            <w:pPr>
              <w:spacing w:after="20"/>
            </w:pPr>
            <w:r>
              <w:rPr>
                <w:sz w:val="17"/>
              </w:rPr>
              <w:t>Deterministic TypeScript generator for all SYNTHETIC data in data/</w:t>
            </w:r>
          </w:p>
        </w:tc>
      </w:tr>
    </w:tbl>
    <w:p>
      <w:pPr>
        <w:spacing w:after="40"/>
        <w:ind w:left="317"/>
      </w:pPr>
    </w:p>
    <w:p>
      <w:pPr>
        <w:pStyle w:val="ListBullet"/>
        <w:spacing w:after="100"/>
      </w:pPr>
      <w:r>
        <w:t>Models, tools, data sources and external services</w:t>
      </w:r>
    </w:p>
    <w:p>
      <w:pPr>
        <w:spacing w:after="120"/>
        <w:ind w:left="317"/>
      </w:pPr>
      <w:r>
        <w:rPr>
          <w:b/>
        </w:rPr>
        <w:t>Models.</w:t>
      </w:r>
      <w:r>
        <w:t xml:space="preserve"> The default planner is the deterministic </w:t>
      </w:r>
      <w:r>
        <w:rPr>
          <w:rFonts w:ascii="Consolas" w:hAnsi="Consolas" w:eastAsia="Consolas"/>
          <w:color w:val="1F3A8A"/>
        </w:rPr>
        <w:t>ScriptedAdapter</w:t>
      </w:r>
      <w:r>
        <w:t xml:space="preserve"> (</w:t>
      </w:r>
      <w:r>
        <w:rPr>
          <w:rFonts w:ascii="Consolas" w:hAnsi="Consolas" w:eastAsia="Consolas"/>
          <w:color w:val="1F3A8A"/>
        </w:rPr>
        <w:t>llm_mode: scripted-offline</w:t>
      </w:r>
      <w:r>
        <w:t>). It classifies intent with English and Chinese regular expressions in a fixed order (payee-change, unsafe, FX, how-much, pay, fees, budget). Optional Gemini and Groq adapters (</w:t>
      </w:r>
      <w:r>
        <w:rPr>
          <w:rFonts w:ascii="Consolas" w:hAnsi="Consolas" w:eastAsia="Consolas"/>
          <w:color w:val="1F3A8A"/>
        </w:rPr>
        <w:t>agents/llmAdapters.ts</w:t>
      </w:r>
      <w:r>
        <w:t>) sit behind the same allowlist and schema validation, receive only tokenised text and fall back to the scripted planner; they have not been tested live and are not part of the evaluation.</w:t>
      </w:r>
    </w:p>
    <w:p>
      <w:pPr>
        <w:keepNext/>
        <w:spacing w:after="60" w:before="120"/>
        <w:ind w:left="317"/>
      </w:pPr>
      <w:r>
        <w:rPr>
          <w:b/>
          <w:color w:val="315FD8"/>
        </w:rPr>
        <w:t>Tools available to the planner (allowlist)</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3311"/>
        <w:gridCol w:w="3744"/>
        <w:gridCol w:w="2304"/>
      </w:tblGrid>
      <w:tr>
        <w:trPr>
          <w:tblHeader w:val="true"/>
        </w:trPr>
        <w:tc>
          <w:tcPr>
            <w:tcW w:type="dxa" w:w="3312"/>
            <w:shd w:val="clear" w:color="auto" w:fill="EEF3FF"/>
          </w:tcPr>
          <w:p>
            <w:pPr>
              <w:spacing w:after="20"/>
            </w:pPr>
            <w:r>
              <w:rPr>
                <w:b/>
                <w:sz w:val="17"/>
              </w:rPr>
              <w:t>Tool</w:t>
            </w:r>
          </w:p>
        </w:tc>
        <w:tc>
          <w:tcPr>
            <w:tcW w:type="dxa" w:w="3744"/>
            <w:shd w:val="clear" w:color="auto" w:fill="EEF3FF"/>
          </w:tcPr>
          <w:p>
            <w:pPr>
              <w:spacing w:after="20"/>
            </w:pPr>
            <w:r>
              <w:rPr>
                <w:b/>
                <w:sz w:val="17"/>
              </w:rPr>
              <w:t>Purpose</w:t>
            </w:r>
          </w:p>
        </w:tc>
        <w:tc>
          <w:tcPr>
            <w:tcW w:type="dxa" w:w="2304"/>
            <w:shd w:val="clear" w:color="auto" w:fill="EEF3FF"/>
          </w:tcPr>
          <w:p>
            <w:pPr>
              <w:spacing w:after="20"/>
            </w:pPr>
            <w:r>
              <w:rPr>
                <w:b/>
                <w:sz w:val="17"/>
              </w:rPr>
              <w:t>Side effect</w:t>
            </w:r>
          </w:p>
        </w:tc>
      </w:tr>
      <w:tr>
        <w:tc>
          <w:tcPr>
            <w:tcW w:type="dxa" w:w="3312"/>
          </w:tcPr>
          <w:p>
            <w:pPr>
              <w:spacing w:after="20"/>
            </w:pPr>
            <w:r>
              <w:rPr>
                <w:rFonts w:ascii="Consolas" w:hAnsi="Consolas" w:eastAsia="Consolas"/>
                <w:color w:val="1F3A8A"/>
                <w:sz w:val="17"/>
              </w:rPr>
              <w:t>get_obligation</w:t>
            </w:r>
            <w:r>
              <w:rPr>
                <w:sz w:val="17"/>
              </w:rPr>
              <w:t xml:space="preserve">, </w:t>
            </w:r>
            <w:r>
              <w:rPr>
                <w:rFonts w:ascii="Consolas" w:hAnsi="Consolas" w:eastAsia="Consolas"/>
                <w:color w:val="1F3A8A"/>
                <w:sz w:val="17"/>
              </w:rPr>
              <w:t>list_obligations_due</w:t>
            </w:r>
          </w:p>
        </w:tc>
        <w:tc>
          <w:tcPr>
            <w:tcW w:type="dxa" w:w="3744"/>
          </w:tcPr>
          <w:p>
            <w:pPr>
              <w:spacing w:after="20"/>
            </w:pPr>
            <w:r>
              <w:rPr>
                <w:sz w:val="17"/>
              </w:rPr>
              <w:t>read the user's confirmed obligations</w:t>
            </w:r>
          </w:p>
        </w:tc>
        <w:tc>
          <w:tcPr>
            <w:tcW w:type="dxa" w:w="2304"/>
          </w:tcPr>
          <w:p>
            <w:pPr>
              <w:spacing w:after="20"/>
            </w:pPr>
            <w:r>
              <w:rPr>
                <w:sz w:val="17"/>
              </w:rPr>
              <w:t>none (read)</w:t>
            </w:r>
          </w:p>
        </w:tc>
      </w:tr>
      <w:tr>
        <w:tc>
          <w:tcPr>
            <w:tcW w:type="dxa" w:w="3312"/>
          </w:tcPr>
          <w:p>
            <w:pPr>
              <w:spacing w:after="20"/>
            </w:pPr>
            <w:r>
              <w:rPr>
                <w:rFonts w:ascii="Consolas" w:hAnsi="Consolas" w:eastAsia="Consolas"/>
                <w:color w:val="1F3A8A"/>
                <w:sz w:val="17"/>
              </w:rPr>
              <w:t>fx_quote</w:t>
            </w:r>
            <w:r>
              <w:rPr>
                <w:sz w:val="17"/>
              </w:rPr>
              <w:t xml:space="preserve">, </w:t>
            </w:r>
            <w:r>
              <w:rPr>
                <w:rFonts w:ascii="Consolas" w:hAnsi="Consolas" w:eastAsia="Consolas"/>
                <w:color w:val="1F3A8A"/>
                <w:sz w:val="17"/>
              </w:rPr>
              <w:t>compute_costs</w:t>
            </w:r>
            <w:r>
              <w:rPr>
                <w:sz w:val="17"/>
              </w:rPr>
              <w:t xml:space="preserve">, </w:t>
            </w:r>
            <w:r>
              <w:rPr>
                <w:rFonts w:ascii="Consolas" w:hAnsi="Consolas" w:eastAsia="Consolas"/>
                <w:color w:val="1F3A8A"/>
                <w:sz w:val="17"/>
              </w:rPr>
              <w:t>budget_summary</w:t>
            </w:r>
          </w:p>
        </w:tc>
        <w:tc>
          <w:tcPr>
            <w:tcW w:type="dxa" w:w="3744"/>
          </w:tcPr>
          <w:p>
            <w:pPr>
              <w:spacing w:after="20"/>
            </w:pPr>
            <w:r>
              <w:rPr>
                <w:sz w:val="17"/>
              </w:rPr>
              <w:t>deterministic FX, fee and budget figures</w:t>
            </w:r>
          </w:p>
        </w:tc>
        <w:tc>
          <w:tcPr>
            <w:tcW w:type="dxa" w:w="2304"/>
          </w:tcPr>
          <w:p>
            <w:pPr>
              <w:spacing w:after="20"/>
            </w:pPr>
            <w:r>
              <w:rPr>
                <w:sz w:val="17"/>
              </w:rPr>
              <w:t>none (read)</w:t>
            </w:r>
          </w:p>
        </w:tc>
      </w:tr>
      <w:tr>
        <w:tc>
          <w:tcPr>
            <w:tcW w:type="dxa" w:w="3312"/>
          </w:tcPr>
          <w:p>
            <w:pPr>
              <w:spacing w:after="20"/>
            </w:pPr>
            <w:r>
              <w:rPr>
                <w:rFonts w:ascii="Consolas" w:hAnsi="Consolas" w:eastAsia="Consolas"/>
                <w:color w:val="1F3A8A"/>
                <w:sz w:val="17"/>
              </w:rPr>
              <w:t>propose_payment</w:t>
            </w:r>
            <w:r>
              <w:rPr>
                <w:sz w:val="17"/>
              </w:rPr>
              <w:t xml:space="preserve">, </w:t>
            </w:r>
            <w:r>
              <w:rPr>
                <w:rFonts w:ascii="Consolas" w:hAnsi="Consolas" w:eastAsia="Consolas"/>
                <w:color w:val="1F3A8A"/>
                <w:sz w:val="17"/>
              </w:rPr>
              <w:t>propose_verify_payee</w:t>
            </w:r>
          </w:p>
        </w:tc>
        <w:tc>
          <w:tcPr>
            <w:tcW w:type="dxa" w:w="3744"/>
          </w:tcPr>
          <w:p>
            <w:pPr>
              <w:spacing w:after="20"/>
            </w:pPr>
            <w:r>
              <w:rPr>
                <w:sz w:val="17"/>
              </w:rPr>
              <w:t>create an action row for policy evaluation</w:t>
            </w:r>
          </w:p>
        </w:tc>
        <w:tc>
          <w:tcPr>
            <w:tcW w:type="dxa" w:w="2304"/>
          </w:tcPr>
          <w:p>
            <w:pPr>
              <w:spacing w:after="20"/>
            </w:pPr>
            <w:r>
              <w:rPr>
                <w:sz w:val="17"/>
              </w:rPr>
              <w:t>action row only; nothing executes</w:t>
            </w:r>
          </w:p>
        </w:tc>
      </w:tr>
      <w:tr>
        <w:tc>
          <w:tcPr>
            <w:tcW w:type="dxa" w:w="3312"/>
          </w:tcPr>
          <w:p>
            <w:pPr>
              <w:spacing w:after="20"/>
            </w:pPr>
            <w:r>
              <w:rPr>
                <w:rFonts w:ascii="Consolas" w:hAnsi="Consolas" w:eastAsia="Consolas"/>
                <w:color w:val="1F3A8A"/>
                <w:sz w:val="17"/>
              </w:rPr>
              <w:t>draft_message</w:t>
            </w:r>
          </w:p>
        </w:tc>
        <w:tc>
          <w:tcPr>
            <w:tcW w:type="dxa" w:w="3744"/>
          </w:tcPr>
          <w:p>
            <w:pPr>
              <w:spacing w:after="20"/>
            </w:pPr>
            <w:r>
              <w:rPr>
                <w:sz w:val="17"/>
              </w:rPr>
              <w:t>draft a message (e.g. to the finance office)</w:t>
            </w:r>
          </w:p>
        </w:tc>
        <w:tc>
          <w:tcPr>
            <w:tcW w:type="dxa" w:w="2304"/>
          </w:tcPr>
          <w:p>
            <w:pPr>
              <w:spacing w:after="20"/>
            </w:pPr>
            <w:r>
              <w:rPr>
                <w:sz w:val="17"/>
              </w:rPr>
              <w:t>draft only; nothing is sent</w:t>
            </w:r>
          </w:p>
        </w:tc>
      </w:tr>
    </w:tbl>
    <w:p>
      <w:pPr>
        <w:spacing w:after="40"/>
        <w:ind w:left="317"/>
      </w:pPr>
    </w:p>
    <w:p>
      <w:pPr>
        <w:spacing w:after="120"/>
        <w:ind w:left="317"/>
      </w:pPr>
      <w:r>
        <w:rPr>
          <w:b/>
        </w:rPr>
        <w:t>Data sources (all SYNTHETIC, in `data/`).</w:t>
      </w:r>
      <w:r>
        <w:t xml:space="preserve"> Personas; 33 fee notices (English, Chinese and mixed; 13 of them attack/negative); 12 SMS messages; an FX SAMPLE fixture (CNY→BDT 17.2000, USD→CNY 7.1429); channel costs for a sandbox "licensed partner A" (USD 3.00 fixed + 0.40 % FX margin, illustrative). </w:t>
      </w:r>
      <w:r>
        <w:rPr>
          <w:rFonts w:ascii="Consolas" w:hAnsi="Consolas" w:eastAsia="Consolas"/>
          <w:color w:val="1F3A8A"/>
        </w:rPr>
        <w:t>make seed-data</w:t>
      </w:r>
      <w:r>
        <w:t xml:space="preserve"> regenerates them deterministically.</w:t>
      </w:r>
    </w:p>
    <w:p>
      <w:pPr>
        <w:spacing w:after="120"/>
        <w:ind w:left="317"/>
      </w:pPr>
      <w:r>
        <w:rPr>
          <w:b/>
        </w:rPr>
        <w:t>External services.</w:t>
      </w:r>
      <w:r>
        <w:t xml:space="preserve"> None by default. Optional and off by default: live FX from open.er-api.com (</w:t>
      </w:r>
      <w:r>
        <w:rPr>
          <w:rFonts w:ascii="Consolas" w:hAnsi="Consolas" w:eastAsia="Consolas"/>
          <w:color w:val="1F3A8A"/>
        </w:rPr>
        <w:t>FX_MODE=live</w:t>
      </w:r>
      <w:r>
        <w:t>; only a currency code is sent, 24 h cache, failures fall back to the labelled fixture) and the LLM adapters above (</w:t>
      </w:r>
      <w:r>
        <w:rPr>
          <w:rFonts w:ascii="Consolas" w:hAnsi="Consolas" w:eastAsia="Consolas"/>
          <w:color w:val="1F3A8A"/>
        </w:rPr>
        <w:t>LLM_PROVIDER</w:t>
      </w:r>
      <w:r>
        <w:t>).</w:t>
      </w:r>
    </w:p>
    <w:p>
      <w:pPr>
        <w:spacing w:after="120"/>
        <w:ind w:left="317"/>
      </w:pPr>
      <w:r>
        <w:rPr>
          <w:b/>
        </w:rPr>
        <w:t>Stack.</w:t>
      </w:r>
      <w:r>
        <w:t xml:space="preserve"> TypeScript (strict), Node 20, Fastify, Zod, better-sqlite3, decimal.js, jose (JWT), @node-rs/argon2, pino; Next.js 16.4.2, React 19, next-intl 4.</w:t>
      </w:r>
    </w:p>
    <w:p>
      <w:pPr>
        <w:pStyle w:val="Heading1"/>
      </w:pPr>
      <w:r>
        <w:t>03 Agent Design</w:t>
      </w:r>
    </w:p>
    <w:p>
      <w:pPr>
        <w:pStyle w:val="ListBullet"/>
        <w:spacing w:after="100"/>
      </w:pPr>
      <w:r>
        <w:t>Intent understanding, planning, tool use and state management</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1728"/>
        <w:gridCol w:w="5472"/>
        <w:gridCol w:w="2160"/>
      </w:tblGrid>
      <w:tr>
        <w:trPr>
          <w:tblHeader w:val="true"/>
        </w:trPr>
        <w:tc>
          <w:tcPr>
            <w:tcW w:type="dxa" w:w="1728"/>
            <w:shd w:val="clear" w:color="auto" w:fill="EEF3FF"/>
          </w:tcPr>
          <w:p>
            <w:pPr>
              <w:spacing w:after="20"/>
            </w:pPr>
            <w:r>
              <w:rPr>
                <w:b/>
                <w:sz w:val="17"/>
              </w:rPr>
              <w:t>Step</w:t>
            </w:r>
          </w:p>
        </w:tc>
        <w:tc>
          <w:tcPr>
            <w:tcW w:type="dxa" w:w="5472"/>
            <w:shd w:val="clear" w:color="auto" w:fill="EEF3FF"/>
          </w:tcPr>
          <w:p>
            <w:pPr>
              <w:spacing w:after="20"/>
            </w:pPr>
            <w:r>
              <w:rPr>
                <w:b/>
                <w:sz w:val="17"/>
              </w:rPr>
              <w:t>What it does</w:t>
            </w:r>
          </w:p>
        </w:tc>
        <w:tc>
          <w:tcPr>
            <w:tcW w:type="dxa" w:w="2160"/>
            <w:shd w:val="clear" w:color="auto" w:fill="EEF3FF"/>
          </w:tcPr>
          <w:p>
            <w:pPr>
              <w:spacing w:after="20"/>
            </w:pPr>
            <w:r>
              <w:rPr>
                <w:b/>
                <w:sz w:val="17"/>
              </w:rPr>
              <w:t>Trust boundary</w:t>
            </w:r>
          </w:p>
        </w:tc>
      </w:tr>
      <w:tr>
        <w:tc>
          <w:tcPr>
            <w:tcW w:type="dxa" w:w="1728"/>
          </w:tcPr>
          <w:p>
            <w:pPr>
              <w:spacing w:after="20"/>
            </w:pPr>
            <w:r>
              <w:rPr>
                <w:sz w:val="17"/>
              </w:rPr>
              <w:t>intake</w:t>
            </w:r>
          </w:p>
        </w:tc>
        <w:tc>
          <w:tcPr>
            <w:tcW w:type="dxa" w:w="5472"/>
          </w:tcPr>
          <w:p>
            <w:pPr>
              <w:spacing w:after="20"/>
            </w:pPr>
            <w:r>
              <w:rPr>
                <w:sz w:val="17"/>
              </w:rPr>
              <w:t xml:space="preserve">Reads pasted text or a </w:t>
            </w:r>
            <w:r>
              <w:rPr>
                <w:rFonts w:ascii="Consolas" w:hAnsi="Consolas" w:eastAsia="Consolas"/>
                <w:color w:val="1F3A8A"/>
                <w:sz w:val="17"/>
              </w:rPr>
              <w:t>.txt</w:t>
            </w:r>
            <w:r>
              <w:rPr>
                <w:sz w:val="17"/>
              </w:rPr>
              <w:t xml:space="preserve"> upload, parses amount, due date, payee and account (EN + 简体中文), tokenises account numbers (</w:t>
            </w:r>
            <w:r>
              <w:rPr>
                <w:rFonts w:ascii="Consolas" w:hAnsi="Consolas" w:eastAsia="Consolas"/>
                <w:color w:val="1F3A8A"/>
                <w:sz w:val="17"/>
              </w:rPr>
              <w:t>ACCT_…</w:t>
            </w:r>
            <w:r>
              <w:rPr>
                <w:sz w:val="17"/>
              </w:rPr>
              <w:t xml:space="preserve">), wraps the text in </w:t>
            </w:r>
            <w:r>
              <w:rPr>
                <w:rFonts w:ascii="Consolas" w:hAnsi="Consolas" w:eastAsia="Consolas"/>
                <w:color w:val="1F3A8A"/>
                <w:sz w:val="17"/>
              </w:rPr>
              <w:t>&lt;untrusted&gt;</w:t>
            </w:r>
          </w:p>
        </w:tc>
        <w:tc>
          <w:tcPr>
            <w:tcW w:type="dxa" w:w="2160"/>
          </w:tcPr>
          <w:p>
            <w:pPr>
              <w:spacing w:after="20"/>
            </w:pPr>
            <w:r>
              <w:rPr>
                <w:sz w:val="17"/>
              </w:rPr>
              <w:t>document text is untrusted</w:t>
            </w:r>
          </w:p>
        </w:tc>
      </w:tr>
      <w:tr>
        <w:tc>
          <w:tcPr>
            <w:tcW w:type="dxa" w:w="1728"/>
          </w:tcPr>
          <w:p>
            <w:pPr>
              <w:spacing w:after="20"/>
            </w:pPr>
            <w:r>
              <w:rPr>
                <w:sz w:val="17"/>
              </w:rPr>
              <w:t>planner</w:t>
            </w:r>
          </w:p>
        </w:tc>
        <w:tc>
          <w:tcPr>
            <w:tcW w:type="dxa" w:w="5472"/>
          </w:tcPr>
          <w:p>
            <w:pPr>
              <w:spacing w:after="20"/>
            </w:pPr>
            <w:r>
              <w:rPr>
                <w:sz w:val="17"/>
              </w:rPr>
              <w:t xml:space="preserve">Emits only </w:t>
            </w:r>
            <w:r>
              <w:rPr>
                <w:rFonts w:ascii="Consolas" w:hAnsi="Consolas" w:eastAsia="Consolas"/>
                <w:color w:val="1F3A8A"/>
                <w:sz w:val="17"/>
              </w:rPr>
              <w:t>ToolCall</w:t>
            </w:r>
            <w:r>
              <w:rPr>
                <w:sz w:val="17"/>
              </w:rPr>
              <w:t xml:space="preserve"> JSON for allowlisted tools; tool name, intent enum and per-tool arguments are schema-validated with extra keys forbidden; invalid plans are rejected</w:t>
            </w:r>
          </w:p>
        </w:tc>
        <w:tc>
          <w:tcPr>
            <w:tcW w:type="dxa" w:w="2160"/>
          </w:tcPr>
          <w:p>
            <w:pPr>
              <w:spacing w:after="20"/>
            </w:pPr>
            <w:r>
              <w:rPr>
                <w:sz w:val="17"/>
              </w:rPr>
              <w:t>planner output is untrusted</w:t>
            </w:r>
          </w:p>
        </w:tc>
      </w:tr>
      <w:tr>
        <w:tc>
          <w:tcPr>
            <w:tcW w:type="dxa" w:w="1728"/>
          </w:tcPr>
          <w:p>
            <w:pPr>
              <w:spacing w:after="20"/>
            </w:pPr>
            <w:r>
              <w:rPr>
                <w:sz w:val="17"/>
              </w:rPr>
              <w:t>tools</w:t>
            </w:r>
          </w:p>
        </w:tc>
        <w:tc>
          <w:tcPr>
            <w:tcW w:type="dxa" w:w="5472"/>
          </w:tcPr>
          <w:p>
            <w:pPr>
              <w:spacing w:after="20"/>
            </w:pPr>
            <w:r>
              <w:rPr>
                <w:sz w:val="17"/>
              </w:rPr>
              <w:t xml:space="preserve">Deterministic code; </w:t>
            </w:r>
            <w:r>
              <w:rPr>
                <w:rFonts w:ascii="Consolas" w:hAnsi="Consolas" w:eastAsia="Consolas"/>
                <w:color w:val="1F3A8A"/>
                <w:sz w:val="17"/>
              </w:rPr>
              <w:t>propose_*</w:t>
            </w:r>
            <w:r>
              <w:rPr>
                <w:sz w:val="17"/>
              </w:rPr>
              <w:t xml:space="preserve"> only creates an action row</w:t>
            </w:r>
          </w:p>
        </w:tc>
        <w:tc>
          <w:tcPr>
            <w:tcW w:type="dxa" w:w="2160"/>
          </w:tcPr>
          <w:p>
            <w:pPr>
              <w:spacing w:after="20"/>
            </w:pPr>
            <w:r>
              <w:rPr>
                <w:sz w:val="17"/>
              </w:rPr>
              <w:t>server code</w:t>
            </w:r>
          </w:p>
        </w:tc>
      </w:tr>
      <w:tr>
        <w:tc>
          <w:tcPr>
            <w:tcW w:type="dxa" w:w="1728"/>
          </w:tcPr>
          <w:p>
            <w:pPr>
              <w:spacing w:after="20"/>
            </w:pPr>
            <w:r>
              <w:rPr>
                <w:sz w:val="17"/>
              </w:rPr>
              <w:t>guardian</w:t>
            </w:r>
          </w:p>
        </w:tc>
        <w:tc>
          <w:tcPr>
            <w:tcW w:type="dxa" w:w="5472"/>
          </w:tcPr>
          <w:p>
            <w:pPr>
              <w:spacing w:after="20"/>
            </w:pPr>
            <w:r>
              <w:rPr>
                <w:sz w:val="17"/>
              </w:rPr>
              <w:t>Rule scan (EN/ZH) + payee-registry checks</w:t>
            </w:r>
          </w:p>
        </w:tc>
        <w:tc>
          <w:tcPr>
            <w:tcW w:type="dxa" w:w="2160"/>
          </w:tcPr>
          <w:p>
            <w:pPr>
              <w:spacing w:after="20"/>
            </w:pPr>
            <w:r>
              <w:rPr>
                <w:sz w:val="17"/>
              </w:rPr>
              <w:t>rule-based, advisory</w:t>
            </w:r>
          </w:p>
        </w:tc>
      </w:tr>
      <w:tr>
        <w:tc>
          <w:tcPr>
            <w:tcW w:type="dxa" w:w="1728"/>
          </w:tcPr>
          <w:p>
            <w:pPr>
              <w:spacing w:after="20"/>
            </w:pPr>
            <w:r>
              <w:rPr>
                <w:sz w:val="17"/>
              </w:rPr>
              <w:t>policy</w:t>
            </w:r>
          </w:p>
        </w:tc>
        <w:tc>
          <w:tcPr>
            <w:tcW w:type="dxa" w:w="5472"/>
          </w:tcPr>
          <w:p>
            <w:pPr>
              <w:spacing w:after="20"/>
            </w:pPr>
            <w:r>
              <w:rPr>
                <w:rFonts w:ascii="Consolas" w:hAnsi="Consolas" w:eastAsia="Consolas"/>
                <w:color w:val="1F3A8A"/>
                <w:sz w:val="17"/>
              </w:rPr>
              <w:t>decide()</w:t>
            </w:r>
            <w:r>
              <w:rPr>
                <w:sz w:val="17"/>
              </w:rPr>
              <w:t xml:space="preserve"> → </w:t>
            </w:r>
            <w:r>
              <w:rPr>
                <w:rFonts w:ascii="Consolas" w:hAnsi="Consolas" w:eastAsia="Consolas"/>
                <w:color w:val="1F3A8A"/>
                <w:sz w:val="17"/>
              </w:rPr>
              <w:t>ALLOW / REQUIRE_APPROVAL / REQUIRE_COOLING_OFF / BLOCK</w:t>
            </w:r>
            <w:r>
              <w:rPr>
                <w:sz w:val="17"/>
              </w:rPr>
              <w:t>, tier and reasons</w:t>
            </w:r>
          </w:p>
        </w:tc>
        <w:tc>
          <w:tcPr>
            <w:tcW w:type="dxa" w:w="2160"/>
          </w:tcPr>
          <w:p>
            <w:pPr>
              <w:spacing w:after="20"/>
            </w:pPr>
            <w:r>
              <w:rPr>
                <w:sz w:val="17"/>
              </w:rPr>
              <w:t>the only authority</w:t>
            </w:r>
          </w:p>
        </w:tc>
      </w:tr>
      <w:tr>
        <w:tc>
          <w:tcPr>
            <w:tcW w:type="dxa" w:w="1728"/>
          </w:tcPr>
          <w:p>
            <w:pPr>
              <w:spacing w:after="20"/>
            </w:pPr>
            <w:r>
              <w:rPr>
                <w:sz w:val="17"/>
              </w:rPr>
              <w:t>executor | await_approval</w:t>
            </w:r>
          </w:p>
        </w:tc>
        <w:tc>
          <w:tcPr>
            <w:tcW w:type="dxa" w:w="5472"/>
          </w:tcPr>
          <w:p>
            <w:pPr>
              <w:spacing w:after="20"/>
            </w:pPr>
            <w:r>
              <w:rPr>
                <w:rFonts w:ascii="Consolas" w:hAnsi="Consolas" w:eastAsia="Consolas"/>
                <w:color w:val="1F3A8A"/>
                <w:sz w:val="17"/>
              </w:rPr>
              <w:t>ALLOW</w:t>
            </w:r>
            <w:r>
              <w:rPr>
                <w:sz w:val="17"/>
              </w:rPr>
              <w:t xml:space="preserve"> → idempotent sandbox transfer; otherwise the action waits for TOTP, family approver or cooling-off</w:t>
            </w:r>
          </w:p>
        </w:tc>
        <w:tc>
          <w:tcPr>
            <w:tcW w:type="dxa" w:w="2160"/>
          </w:tcPr>
          <w:p>
            <w:pPr>
              <w:spacing w:after="20"/>
            </w:pPr>
            <w:r>
              <w:rPr>
                <w:sz w:val="17"/>
              </w:rPr>
              <w:t xml:space="preserve">accepts </w:t>
            </w:r>
            <w:r>
              <w:rPr>
                <w:rFonts w:ascii="Consolas" w:hAnsi="Consolas" w:eastAsia="Consolas"/>
                <w:color w:val="1F3A8A"/>
                <w:sz w:val="17"/>
              </w:rPr>
              <w:t>ALLOW</w:t>
            </w:r>
            <w:r>
              <w:rPr>
                <w:sz w:val="17"/>
              </w:rPr>
              <w:t xml:space="preserve"> only</w:t>
            </w:r>
          </w:p>
        </w:tc>
      </w:tr>
      <w:tr>
        <w:tc>
          <w:tcPr>
            <w:tcW w:type="dxa" w:w="1728"/>
          </w:tcPr>
          <w:p>
            <w:pPr>
              <w:spacing w:after="20"/>
            </w:pPr>
            <w:r>
              <w:rPr>
                <w:sz w:val="17"/>
              </w:rPr>
              <w:t>validator</w:t>
            </w:r>
          </w:p>
        </w:tc>
        <w:tc>
          <w:tcPr>
            <w:tcW w:type="dxa" w:w="5472"/>
          </w:tcPr>
          <w:p>
            <w:pPr>
              <w:spacing w:after="20"/>
            </w:pPr>
            <w:r>
              <w:rPr>
                <w:sz w:val="17"/>
              </w:rPr>
              <w:t>Every number in the reply must appear in tool outputs or the user message, otherwise a safe fallback reply is used</w:t>
            </w:r>
          </w:p>
        </w:tc>
        <w:tc>
          <w:tcPr>
            <w:tcW w:type="dxa" w:w="2160"/>
          </w:tcPr>
          <w:p>
            <w:pPr>
              <w:spacing w:after="20"/>
            </w:pPr>
            <w:r>
              <w:rPr>
                <w:sz w:val="17"/>
              </w:rPr>
              <w:t>output check</w:t>
            </w:r>
          </w:p>
        </w:tc>
      </w:tr>
    </w:tbl>
    <w:p>
      <w:pPr>
        <w:spacing w:after="40"/>
        <w:ind w:left="317"/>
      </w:pPr>
    </w:p>
    <w:p>
      <w:pPr>
        <w:spacing w:after="120"/>
        <w:ind w:left="317"/>
      </w:pPr>
      <w:r>
        <w:rPr>
          <w:b/>
        </w:rPr>
        <w:t>Intent understanding.</w:t>
      </w:r>
      <w:r>
        <w:t xml:space="preserve"> Intents are an enum: </w:t>
      </w:r>
      <w:r>
        <w:rPr>
          <w:rFonts w:ascii="Consolas" w:hAnsi="Consolas" w:eastAsia="Consolas"/>
          <w:color w:val="1F3A8A"/>
        </w:rPr>
        <w:t>pay_obligation</w:t>
      </w:r>
      <w:r>
        <w:t xml:space="preserve">, </w:t>
      </w:r>
      <w:r>
        <w:rPr>
          <w:rFonts w:ascii="Consolas" w:hAnsi="Consolas" w:eastAsia="Consolas"/>
          <w:color w:val="1F3A8A"/>
        </w:rPr>
        <w:t>quote_fx</w:t>
      </w:r>
      <w:r>
        <w:t xml:space="preserve">, </w:t>
      </w:r>
      <w:r>
        <w:rPr>
          <w:rFonts w:ascii="Consolas" w:hAnsi="Consolas" w:eastAsia="Consolas"/>
          <w:color w:val="1F3A8A"/>
        </w:rPr>
        <w:t>how_much_needed</w:t>
      </w:r>
      <w:r>
        <w:t xml:space="preserve">, </w:t>
      </w:r>
      <w:r>
        <w:rPr>
          <w:rFonts w:ascii="Consolas" w:hAnsi="Consolas" w:eastAsia="Consolas"/>
          <w:color w:val="1F3A8A"/>
        </w:rPr>
        <w:t>payee_change</w:t>
      </w:r>
      <w:r>
        <w:t xml:space="preserve">, </w:t>
      </w:r>
      <w:r>
        <w:rPr>
          <w:rFonts w:ascii="Consolas" w:hAnsi="Consolas" w:eastAsia="Consolas"/>
          <w:color w:val="1F3A8A"/>
        </w:rPr>
        <w:t>explain_fees</w:t>
      </w:r>
      <w:r>
        <w:t xml:space="preserve">, </w:t>
      </w:r>
      <w:r>
        <w:rPr>
          <w:rFonts w:ascii="Consolas" w:hAnsi="Consolas" w:eastAsia="Consolas"/>
          <w:color w:val="1F3A8A"/>
        </w:rPr>
        <w:t>unsafe_request</w:t>
      </w:r>
      <w:r>
        <w:t xml:space="preserve">, </w:t>
      </w:r>
      <w:r>
        <w:rPr>
          <w:rFonts w:ascii="Consolas" w:hAnsi="Consolas" w:eastAsia="Consolas"/>
          <w:color w:val="1F3A8A"/>
        </w:rPr>
        <w:t>unknown</w:t>
      </w:r>
      <w:r>
        <w:t xml:space="preserve">. Unrecognised phrasing becomes </w:t>
      </w:r>
      <w:r>
        <w:rPr>
          <w:rFonts w:ascii="Consolas" w:hAnsi="Consolas" w:eastAsia="Consolas"/>
          <w:color w:val="1F3A8A"/>
        </w:rPr>
        <w:t>unknown</w:t>
      </w:r>
      <w:r>
        <w:t xml:space="preserve"> and receives a capabilities reply. Payee and amount are always resolved server-side from the payee registry or a user-confirmed obligation; free-form amounts typed in chat are deliberately not used as payment amounts.</w:t>
      </w:r>
    </w:p>
    <w:p>
      <w:pPr>
        <w:spacing w:after="120"/>
        <w:ind w:left="317"/>
      </w:pPr>
      <w:r>
        <w:rPr>
          <w:b/>
        </w:rPr>
        <w:t>State management.</w:t>
      </w:r>
      <w:r>
        <w:t xml:space="preserve"> Documents (</w:t>
      </w:r>
      <w:r>
        <w:rPr>
          <w:rFonts w:ascii="Consolas" w:hAnsi="Consolas" w:eastAsia="Consolas"/>
          <w:color w:val="1F3A8A"/>
        </w:rPr>
        <w:t>pending_confirmation</w:t>
      </w:r>
      <w:r>
        <w:t xml:space="preserve"> or </w:t>
      </w:r>
      <w:r>
        <w:rPr>
          <w:rFonts w:ascii="Consolas" w:hAnsi="Consolas" w:eastAsia="Consolas"/>
          <w:color w:val="1F3A8A"/>
        </w:rPr>
        <w:t>blocked</w:t>
      </w:r>
      <w:r>
        <w:t xml:space="preserve">) become obligations only after the student confirms the parsed fields. Plans, actions and approvals are persisted rows. Action lifecycle: </w:t>
      </w:r>
      <w:r>
        <w:rPr>
          <w:rFonts w:ascii="Consolas" w:hAnsi="Consolas" w:eastAsia="Consolas"/>
          <w:color w:val="1F3A8A"/>
        </w:rPr>
        <w:t>draft</w:t>
      </w:r>
      <w:r>
        <w:t xml:space="preserve"> → </w:t>
      </w:r>
      <w:r>
        <w:rPr>
          <w:rFonts w:ascii="Consolas" w:hAnsi="Consolas" w:eastAsia="Consolas"/>
          <w:color w:val="1F3A8A"/>
        </w:rPr>
        <w:t>awaiting_approval</w:t>
      </w:r>
      <w:r>
        <w:t xml:space="preserve"> → (</w:t>
      </w:r>
      <w:r>
        <w:rPr>
          <w:rFonts w:ascii="Consolas" w:hAnsi="Consolas" w:eastAsia="Consolas"/>
          <w:color w:val="1F3A8A"/>
        </w:rPr>
        <w:t>cooling_off</w:t>
      </w:r>
      <w:r>
        <w:t xml:space="preserve"> →) </w:t>
      </w:r>
      <w:r>
        <w:rPr>
          <w:rFonts w:ascii="Consolas" w:hAnsi="Consolas" w:eastAsia="Consolas"/>
          <w:color w:val="1F3A8A"/>
        </w:rPr>
        <w:t>approved</w:t>
      </w:r>
      <w:r>
        <w:t xml:space="preserve"> → </w:t>
      </w:r>
      <w:r>
        <w:rPr>
          <w:rFonts w:ascii="Consolas" w:hAnsi="Consolas" w:eastAsia="Consolas"/>
          <w:color w:val="1F3A8A"/>
        </w:rPr>
        <w:t>executed</w:t>
      </w:r>
      <w:r>
        <w:t xml:space="preserve"> | </w:t>
      </w:r>
      <w:r>
        <w:rPr>
          <w:rFonts w:ascii="Consolas" w:hAnsi="Consolas" w:eastAsia="Consolas"/>
          <w:color w:val="1F3A8A"/>
        </w:rPr>
        <w:t>failed</w:t>
      </w:r>
      <w:r>
        <w:t xml:space="preserve">; or </w:t>
      </w:r>
      <w:r>
        <w:rPr>
          <w:rFonts w:ascii="Consolas" w:hAnsi="Consolas" w:eastAsia="Consolas"/>
          <w:color w:val="1F3A8A"/>
        </w:rPr>
        <w:t>rejected</w:t>
      </w:r>
      <w:r>
        <w:t xml:space="preserve"> / </w:t>
      </w:r>
      <w:r>
        <w:rPr>
          <w:rFonts w:ascii="Consolas" w:hAnsi="Consolas" w:eastAsia="Consolas"/>
          <w:color w:val="1F3A8A"/>
        </w:rPr>
        <w:t>blocked</w:t>
      </w:r>
      <w:r>
        <w:t xml:space="preserve"> (T4, terminal). </w:t>
      </w:r>
      <w:r>
        <w:rPr>
          <w:rFonts w:ascii="Consolas" w:hAnsi="Consolas" w:eastAsia="Consolas"/>
          <w:color w:val="1F3A8A"/>
        </w:rPr>
        <w:t>POST /chat</w:t>
      </w:r>
      <w:r>
        <w:t xml:space="preserve"> returns a </w:t>
      </w:r>
      <w:r>
        <w:rPr>
          <w:rFonts w:ascii="Consolas" w:hAnsi="Consolas" w:eastAsia="Consolas"/>
          <w:color w:val="1F3A8A"/>
        </w:rPr>
        <w:t>trace</w:t>
      </w:r>
      <w:r>
        <w:t xml:space="preserve"> with the seven steps (status, duration, detail), the tool calls, tier, decision, </w:t>
      </w:r>
      <w:r>
        <w:rPr>
          <w:rFonts w:ascii="Consolas" w:hAnsi="Consolas" w:eastAsia="Consolas"/>
          <w:color w:val="1F3A8A"/>
        </w:rPr>
        <w:t>reply_validated</w:t>
      </w:r>
      <w:r>
        <w:t xml:space="preserve"> and the audit sequence numbers written during the turn; the web app renders it as a live trace.</w:t>
      </w:r>
    </w:p>
    <w:p>
      <w:pPr>
        <w:pStyle w:val="ListBullet"/>
        <w:spacing w:after="100"/>
      </w:pPr>
      <w:r>
        <w:t>Core algorithms and evaluation approach</w:t>
      </w:r>
    </w:p>
    <w:p>
      <w:pPr>
        <w:keepNext/>
        <w:spacing w:after="60" w:before="120"/>
        <w:ind w:left="317"/>
      </w:pPr>
      <w:r>
        <w:rPr>
          <w:b/>
          <w:color w:val="315FD8"/>
        </w:rPr>
        <w:t>A. Policy engine T0–T4 (</w:t>
      </w:r>
      <w:r>
        <w:rPr>
          <w:rFonts w:ascii="Consolas" w:hAnsi="Consolas" w:eastAsia="Consolas"/>
          <w:b/>
          <w:color w:val="315FD8"/>
        </w:rPr>
        <w:t>domain/policy.ts</w:t>
      </w:r>
      <w:r>
        <w:rPr>
          <w:b/>
          <w:color w:val="315FD8"/>
        </w:rPr>
        <w:t>, pure and deterministic)</w:t>
      </w:r>
    </w:p>
    <w:p>
      <w:pPr>
        <w:pStyle w:val="ListBullet2"/>
        <w:spacing w:after="60"/>
      </w:pPr>
      <w:r>
        <w:rPr>
          <w:rFonts w:ascii="Consolas" w:hAnsi="Consolas" w:eastAsia="Consolas"/>
          <w:color w:val="1F3A8A"/>
        </w:rPr>
        <w:t>read</w:t>
      </w:r>
      <w:r>
        <w:t xml:space="preserve"> → ALLOW T0; </w:t>
      </w:r>
      <w:r>
        <w:rPr>
          <w:rFonts w:ascii="Consolas" w:hAnsi="Consolas" w:eastAsia="Consolas"/>
          <w:color w:val="1F3A8A"/>
        </w:rPr>
        <w:t>draft_message</w:t>
      </w:r>
      <w:r>
        <w:t xml:space="preserve"> → ALLOW T1; </w:t>
      </w:r>
      <w:r>
        <w:rPr>
          <w:rFonts w:ascii="Consolas" w:hAnsi="Consolas" w:eastAsia="Consolas"/>
          <w:color w:val="1F3A8A"/>
        </w:rPr>
        <w:t>export_data</w:t>
      </w:r>
      <w:r>
        <w:t xml:space="preserve"> → own data ALLOW T0, bulk → BLOCK T4 </w:t>
      </w:r>
      <w:r>
        <w:rPr>
          <w:rFonts w:ascii="Consolas" w:hAnsi="Consolas" w:eastAsia="Consolas"/>
          <w:color w:val="1F3A8A"/>
        </w:rPr>
        <w:t>BULK_PII_EXPORT</w:t>
      </w:r>
      <w:r>
        <w:t xml:space="preserve">; any unknown type → BLOCK T4 </w:t>
      </w:r>
      <w:r>
        <w:rPr>
          <w:rFonts w:ascii="Consolas" w:hAnsi="Consolas" w:eastAsia="Consolas"/>
          <w:color w:val="1F3A8A"/>
        </w:rPr>
        <w:t>UNKNOWN_ACTION_TYPE</w:t>
      </w:r>
      <w:r>
        <w:t xml:space="preserve"> (default deny).</w:t>
      </w:r>
    </w:p>
    <w:p>
      <w:pPr>
        <w:pStyle w:val="ListBullet2"/>
        <w:spacing w:after="60"/>
      </w:pPr>
      <w:r>
        <w:t>Money actions (</w:t>
      </w:r>
      <w:r>
        <w:rPr>
          <w:rFonts w:ascii="Consolas" w:hAnsi="Consolas" w:eastAsia="Consolas"/>
          <w:color w:val="1F3A8A"/>
        </w:rPr>
        <w:t>payment</w:t>
      </w:r>
      <w:r>
        <w:t xml:space="preserve">, </w:t>
      </w:r>
      <w:r>
        <w:rPr>
          <w:rFonts w:ascii="Consolas" w:hAnsi="Consolas" w:eastAsia="Consolas"/>
          <w:color w:val="1F3A8A"/>
        </w:rPr>
        <w:t>verify_payee</w:t>
      </w:r>
      <w:r>
        <w:t xml:space="preserve">) are checked in order: guardian block → T4 </w:t>
      </w:r>
      <w:r>
        <w:rPr>
          <w:rFonts w:ascii="Consolas" w:hAnsi="Consolas" w:eastAsia="Consolas"/>
          <w:color w:val="1F3A8A"/>
        </w:rPr>
        <w:t>INJECTION_DETECTED</w:t>
      </w:r>
      <w:r>
        <w:t>; source not in {</w:t>
      </w:r>
      <w:r>
        <w:rPr>
          <w:rFonts w:ascii="Consolas" w:hAnsi="Consolas" w:eastAsia="Consolas"/>
          <w:color w:val="1F3A8A"/>
        </w:rPr>
        <w:t>user_instruction</w:t>
      </w:r>
      <w:r>
        <w:t xml:space="preserve">, </w:t>
      </w:r>
      <w:r>
        <w:rPr>
          <w:rFonts w:ascii="Consolas" w:hAnsi="Consolas" w:eastAsia="Consolas"/>
          <w:color w:val="1F3A8A"/>
        </w:rPr>
        <w:t>confirmed_obligation</w:t>
      </w:r>
      <w:r>
        <w:t xml:space="preserve">} → T4 </w:t>
      </w:r>
      <w:r>
        <w:rPr>
          <w:rFonts w:ascii="Consolas" w:hAnsi="Consolas" w:eastAsia="Consolas"/>
          <w:color w:val="1F3A8A"/>
        </w:rPr>
        <w:t>DOC_ONLY_SOURCE</w:t>
      </w:r>
      <w:r>
        <w:t xml:space="preserve"> or </w:t>
      </w:r>
      <w:r>
        <w:rPr>
          <w:rFonts w:ascii="Consolas" w:hAnsi="Consolas" w:eastAsia="Consolas"/>
          <w:color w:val="1F3A8A"/>
        </w:rPr>
        <w:t>MODEL_SUGGESTION</w:t>
      </w:r>
      <w:r>
        <w:t xml:space="preserve">; payee missing → T4 </w:t>
      </w:r>
      <w:r>
        <w:rPr>
          <w:rFonts w:ascii="Consolas" w:hAnsi="Consolas" w:eastAsia="Consolas"/>
          <w:color w:val="1F3A8A"/>
        </w:rPr>
        <w:t>PAYEE_UNREGISTERED</w:t>
      </w:r>
      <w:r>
        <w:t xml:space="preserve">; payee owned by another user → T4 </w:t>
      </w:r>
      <w:r>
        <w:rPr>
          <w:rFonts w:ascii="Consolas" w:hAnsi="Consolas" w:eastAsia="Consolas"/>
          <w:color w:val="1F3A8A"/>
        </w:rPr>
        <w:t>CROSS_USER_PAYEE</w:t>
      </w:r>
      <w:r>
        <w:t>.</w:t>
      </w:r>
    </w:p>
    <w:p>
      <w:pPr>
        <w:pStyle w:val="ListBullet2"/>
        <w:spacing w:after="60"/>
      </w:pPr>
      <w:r>
        <w:rPr>
          <w:rFonts w:ascii="Consolas" w:hAnsi="Consolas" w:eastAsia="Consolas"/>
          <w:color w:val="1F3A8A"/>
        </w:rPr>
        <w:t>verify_payee</w:t>
      </w:r>
      <w:r>
        <w:t xml:space="preserve"> is always T3 (student TOTP + family approver) and returns </w:t>
      </w:r>
      <w:r>
        <w:rPr>
          <w:rFonts w:ascii="Consolas" w:hAnsi="Consolas" w:eastAsia="Consolas"/>
          <w:color w:val="1F3A8A"/>
        </w:rPr>
        <w:t>REQUIRE_COOLING_OFF</w:t>
      </w:r>
      <w:r>
        <w:t xml:space="preserve"> until </w:t>
      </w:r>
      <w:r>
        <w:rPr>
          <w:rFonts w:ascii="Consolas" w:hAnsi="Consolas" w:eastAsia="Consolas"/>
          <w:color w:val="1F3A8A"/>
        </w:rPr>
        <w:t>cooling_off_until</w:t>
      </w:r>
      <w:r>
        <w:t xml:space="preserve"> has passed.</w:t>
      </w:r>
    </w:p>
    <w:p>
      <w:pPr>
        <w:pStyle w:val="ListBullet2"/>
        <w:spacing w:after="60"/>
      </w:pPr>
      <w:r>
        <w:t>Payments: amount must be finite, positive, with at most two decimals (</w:t>
      </w:r>
      <w:r>
        <w:rPr>
          <w:rFonts w:ascii="Consolas" w:hAnsi="Consolas" w:eastAsia="Consolas"/>
          <w:color w:val="1F3A8A"/>
        </w:rPr>
        <w:t>INVALID_AMOUNT</w:t>
      </w:r>
      <w:r>
        <w:t>); equal to the confirmed obligation (</w:t>
      </w:r>
      <w:r>
        <w:rPr>
          <w:rFonts w:ascii="Consolas" w:hAnsi="Consolas" w:eastAsia="Consolas"/>
          <w:color w:val="1F3A8A"/>
        </w:rPr>
        <w:t>AMOUNT_MISMATCH</w:t>
      </w:r>
      <w:r>
        <w:t>); payee verified (</w:t>
      </w:r>
      <w:r>
        <w:rPr>
          <w:rFonts w:ascii="Consolas" w:hAnsi="Consolas" w:eastAsia="Consolas"/>
          <w:color w:val="1F3A8A"/>
        </w:rPr>
        <w:t>PAYEE_UNVERIFIED</w:t>
      </w:r>
      <w:r>
        <w:t>).</w:t>
      </w:r>
    </w:p>
    <w:p>
      <w:pPr>
        <w:pStyle w:val="ListBullet2"/>
        <w:spacing w:after="60"/>
      </w:pPr>
      <w:r>
        <w:t xml:space="preserve">Tiering: aggregate = amount + the larger of the 24 h same-payee total and the 24 h total across all the owner's payees. Amount &gt; cap (CNY 2,000) → T3 </w:t>
      </w:r>
      <w:r>
        <w:rPr>
          <w:rFonts w:ascii="Consolas" w:hAnsi="Consolas" w:eastAsia="Consolas"/>
          <w:color w:val="1F3A8A"/>
        </w:rPr>
        <w:t>OVER_T2_CAP</w:t>
      </w:r>
      <w:r>
        <w:t xml:space="preserve">; aggregate &gt; cap → T3 </w:t>
      </w:r>
      <w:r>
        <w:rPr>
          <w:rFonts w:ascii="Consolas" w:hAnsi="Consolas" w:eastAsia="Consolas"/>
          <w:color w:val="1F3A8A"/>
        </w:rPr>
        <w:t>SPLIT_PAYMENT_SUSPECTED</w:t>
      </w:r>
      <w:r>
        <w:t xml:space="preserve">; otherwise T2 </w:t>
      </w:r>
      <w:r>
        <w:rPr>
          <w:rFonts w:ascii="Consolas" w:hAnsi="Consolas" w:eastAsia="Consolas"/>
          <w:color w:val="1F3A8A"/>
        </w:rPr>
        <w:t>WITHIN_T2_CAP</w:t>
      </w:r>
      <w:r>
        <w:t xml:space="preserve">. A non-finite history fails closed. A payee still inside its cooling-off window forces T3 with </w:t>
      </w:r>
      <w:r>
        <w:rPr>
          <w:rFonts w:ascii="Consolas" w:hAnsi="Consolas" w:eastAsia="Consolas"/>
          <w:color w:val="1F3A8A"/>
        </w:rPr>
        <w:t>NEW_PAYEE</w:t>
      </w:r>
      <w:r>
        <w:t xml:space="preserve"> or </w:t>
      </w:r>
      <w:r>
        <w:rPr>
          <w:rFonts w:ascii="Consolas" w:hAnsi="Consolas" w:eastAsia="Consolas"/>
          <w:color w:val="1F3A8A"/>
        </w:rPr>
        <w:t>PAYEE_CHANGED</w:t>
      </w:r>
      <w:r>
        <w:t>.</w:t>
      </w:r>
    </w:p>
    <w:p>
      <w:pPr>
        <w:pStyle w:val="ListBullet2"/>
        <w:spacing w:after="60"/>
      </w:pPr>
      <w:r>
        <w:t xml:space="preserve">Required approvals = </w:t>
      </w:r>
      <w:r>
        <w:rPr>
          <w:rFonts w:ascii="Consolas" w:hAnsi="Consolas" w:eastAsia="Consolas"/>
          <w:color w:val="1F3A8A"/>
        </w:rPr>
        <w:t>totp</w:t>
      </w:r>
      <w:r>
        <w:t xml:space="preserve"> (+ </w:t>
      </w:r>
      <w:r>
        <w:rPr>
          <w:rFonts w:ascii="Consolas" w:hAnsi="Consolas" w:eastAsia="Consolas"/>
          <w:color w:val="1F3A8A"/>
        </w:rPr>
        <w:t>family_approver</w:t>
      </w:r>
      <w:r>
        <w:t xml:space="preserve"> for T3) (+ </w:t>
      </w:r>
      <w:r>
        <w:rPr>
          <w:rFonts w:ascii="Consolas" w:hAnsi="Consolas" w:eastAsia="Consolas"/>
          <w:color w:val="1F3A8A"/>
        </w:rPr>
        <w:t>cooling_off</w:t>
      </w:r>
      <w:r>
        <w:t xml:space="preserve">). If none are outstanding the outcome is ALLOW, otherwise </w:t>
      </w:r>
      <w:r>
        <w:rPr>
          <w:rFonts w:ascii="Consolas" w:hAnsi="Consolas" w:eastAsia="Consolas"/>
          <w:color w:val="1F3A8A"/>
        </w:rPr>
        <w:t>REQUIRE_APPROVAL</w:t>
      </w:r>
      <w:r>
        <w:t xml:space="preserve"> or </w:t>
      </w:r>
      <w:r>
        <w:rPr>
          <w:rFonts w:ascii="Consolas" w:hAnsi="Consolas" w:eastAsia="Consolas"/>
          <w:color w:val="1F3A8A"/>
        </w:rPr>
        <w:t>REQUIRE_COOLING_OFF</w:t>
      </w:r>
      <w:r>
        <w:t xml:space="preserve"> with the outstanding list. Cap and cooling-off are configurable (</w:t>
      </w:r>
      <w:r>
        <w:rPr>
          <w:rFonts w:ascii="Consolas" w:hAnsi="Consolas" w:eastAsia="Consolas"/>
          <w:color w:val="1F3A8A"/>
        </w:rPr>
        <w:t>T2_CAP_CNY</w:t>
      </w:r>
      <w:r>
        <w:t xml:space="preserve">, </w:t>
      </w:r>
      <w:r>
        <w:rPr>
          <w:rFonts w:ascii="Consolas" w:hAnsi="Consolas" w:eastAsia="Consolas"/>
          <w:color w:val="1F3A8A"/>
        </w:rPr>
        <w:t>COOLING_OFF_HOURS</w:t>
      </w:r>
      <w:r>
        <w:t>).</w:t>
      </w:r>
    </w:p>
    <w:p>
      <w:pPr>
        <w:keepNext/>
        <w:spacing w:after="60" w:before="120"/>
        <w:ind w:left="317"/>
      </w:pPr>
      <w:r>
        <w:rPr>
          <w:b/>
          <w:color w:val="315FD8"/>
        </w:rPr>
        <w:t>B. Guardian (</w:t>
      </w:r>
      <w:r>
        <w:rPr>
          <w:rFonts w:ascii="Consolas" w:hAnsi="Consolas" w:eastAsia="Consolas"/>
          <w:b/>
          <w:color w:val="315FD8"/>
        </w:rPr>
        <w:t>agents/guardian.ts</w:t>
      </w:r>
      <w:r>
        <w:rPr>
          <w:b/>
          <w:color w:val="315FD8"/>
        </w:rPr>
        <w:t>)</w:t>
      </w:r>
    </w:p>
    <w:p>
      <w:pPr>
        <w:spacing w:after="120"/>
        <w:ind w:left="317"/>
      </w:pPr>
      <w:r>
        <w:t xml:space="preserve">Text is NFKC-normalised and matched against EN/ZH rules: </w:t>
      </w:r>
      <w:r>
        <w:rPr>
          <w:rFonts w:ascii="Consolas" w:hAnsi="Consolas" w:eastAsia="Consolas"/>
          <w:color w:val="1F3A8A"/>
        </w:rPr>
        <w:t>INJECTION_PHRASE</w:t>
      </w:r>
      <w:r>
        <w:t xml:space="preserve">, </w:t>
      </w:r>
      <w:r>
        <w:rPr>
          <w:rFonts w:ascii="Consolas" w:hAnsi="Consolas" w:eastAsia="Consolas"/>
          <w:color w:val="1F3A8A"/>
        </w:rPr>
        <w:t>NO_CONFIRMATION_DEMAND</w:t>
      </w:r>
      <w:r>
        <w:t xml:space="preserve">, </w:t>
      </w:r>
      <w:r>
        <w:rPr>
          <w:rFonts w:ascii="Consolas" w:hAnsi="Consolas" w:eastAsia="Consolas"/>
          <w:color w:val="1F3A8A"/>
        </w:rPr>
        <w:t>TOOL_COMMAND_IN_DOC</w:t>
      </w:r>
      <w:r>
        <w:t xml:space="preserve">, </w:t>
      </w:r>
      <w:r>
        <w:rPr>
          <w:rFonts w:ascii="Consolas" w:hAnsi="Consolas" w:eastAsia="Consolas"/>
          <w:color w:val="1F3A8A"/>
        </w:rPr>
        <w:t>PERSONAL_ACCOUNT_CHANNEL</w:t>
      </w:r>
      <w:r>
        <w:t xml:space="preserve"> (severity block) and </w:t>
      </w:r>
      <w:r>
        <w:rPr>
          <w:rFonts w:ascii="Consolas" w:hAnsi="Consolas" w:eastAsia="Consolas"/>
          <w:color w:val="1F3A8A"/>
        </w:rPr>
        <w:t>URGENCY_SCAM</w:t>
      </w:r>
      <w:r>
        <w:t xml:space="preserve">, </w:t>
      </w:r>
      <w:r>
        <w:rPr>
          <w:rFonts w:ascii="Consolas" w:hAnsi="Consolas" w:eastAsia="Consolas"/>
          <w:color w:val="1F3A8A"/>
        </w:rPr>
        <w:t>PAYEE_CHANGE_NOTICE</w:t>
      </w:r>
      <w:r>
        <w:t xml:space="preserve"> (warn). It also flags </w:t>
      </w:r>
      <w:r>
        <w:rPr>
          <w:rFonts w:ascii="Consolas" w:hAnsi="Consolas" w:eastAsia="Consolas"/>
          <w:color w:val="1F3A8A"/>
        </w:rPr>
        <w:t>HOMOGLYPH</w:t>
      </w:r>
      <w:r>
        <w:t xml:space="preserve"> (block), </w:t>
      </w:r>
      <w:r>
        <w:rPr>
          <w:rFonts w:ascii="Consolas" w:hAnsi="Consolas" w:eastAsia="Consolas"/>
          <w:color w:val="1F3A8A"/>
        </w:rPr>
        <w:t>AMOUNT_MISMATCH</w:t>
      </w:r>
      <w:r>
        <w:t xml:space="preserve"> when a summary line contradicts "Amount due" (block), and malformed or missing fields (warn). Registry checks compare the HMAC hash of the account and the name skeleton with the student's payees: unverified match → </w:t>
      </w:r>
      <w:r>
        <w:rPr>
          <w:rFonts w:ascii="Consolas" w:hAnsi="Consolas" w:eastAsia="Consolas"/>
          <w:color w:val="1F3A8A"/>
        </w:rPr>
        <w:t>PAYEE_UNVERIFIED</w:t>
      </w:r>
      <w:r>
        <w:t xml:space="preserve">; same skeleton but different spelling, or Levenshtein distance ≤ 2 from a verified payee → </w:t>
      </w:r>
      <w:r>
        <w:rPr>
          <w:rFonts w:ascii="Consolas" w:hAnsi="Consolas" w:eastAsia="Consolas"/>
          <w:color w:val="1F3A8A"/>
        </w:rPr>
        <w:t>LOOKALIKE_PAYEE</w:t>
      </w:r>
      <w:r>
        <w:t xml:space="preserve"> (block); same name with a different account → </w:t>
      </w:r>
      <w:r>
        <w:rPr>
          <w:rFonts w:ascii="Consolas" w:hAnsi="Consolas" w:eastAsia="Consolas"/>
          <w:color w:val="1F3A8A"/>
        </w:rPr>
        <w:t>PAYEE_CHANGED</w:t>
      </w:r>
      <w:r>
        <w:t xml:space="preserve">; otherwise </w:t>
      </w:r>
      <w:r>
        <w:rPr>
          <w:rFonts w:ascii="Consolas" w:hAnsi="Consolas" w:eastAsia="Consolas"/>
          <w:color w:val="1F3A8A"/>
        </w:rPr>
        <w:t>PAYEE_NOT_IN_REGISTRY</w:t>
      </w:r>
      <w:r>
        <w:t>. Verdict: any block flag → blocked, any warn → suspicious, else clean. The guardian is advisory; the policy engine is the authority. ReDoS tests run guardian and intake regexes on 100 KB adversarial strings with a 250 ms limit.</w:t>
      </w:r>
    </w:p>
    <w:p>
      <w:pPr>
        <w:keepNext/>
        <w:spacing w:after="60" w:before="120"/>
        <w:ind w:left="317"/>
      </w:pPr>
      <w:r>
        <w:rPr>
          <w:b/>
          <w:color w:val="315FD8"/>
        </w:rPr>
        <w:t>C. Hash-chained audit log (</w:t>
      </w:r>
      <w:r>
        <w:rPr>
          <w:rFonts w:ascii="Consolas" w:hAnsi="Consolas" w:eastAsia="Consolas"/>
          <w:b/>
          <w:color w:val="315FD8"/>
        </w:rPr>
        <w:t>domain/audit.ts</w:t>
      </w:r>
      <w:r>
        <w:rPr>
          <w:b/>
          <w:color w:val="315FD8"/>
        </w:rPr>
        <w:t>)</w:t>
      </w:r>
    </w:p>
    <w:p>
      <w:pPr>
        <w:spacing w:after="0" w:before="0" w:line="240" w:lineRule="auto"/>
        <w:ind w:left="317"/>
        <w:shd w:val="clear" w:color="auto" w:fill="F3F5F9"/>
      </w:pPr>
      <w:r>
        <w:rPr>
          <w:rFonts w:ascii="Consolas" w:hAnsi="Consolas" w:eastAsia="Consolas"/>
          <w:sz w:val="17"/>
        </w:rPr>
        <w:t>payload_hash_n = SHA-256( canonicalJSON(redact(payload_n)) )   # sorted keys, compact, integers only</w:t>
      </w:r>
    </w:p>
    <w:p>
      <w:pPr>
        <w:spacing w:after="0" w:before="0" w:line="240" w:lineRule="auto"/>
        <w:ind w:left="317"/>
        <w:shd w:val="clear" w:color="auto" w:fill="F3F5F9"/>
      </w:pPr>
      <w:r>
        <w:rPr>
          <w:rFonts w:ascii="Consolas" w:hAnsi="Consolas" w:eastAsia="Consolas"/>
          <w:sz w:val="17"/>
        </w:rPr>
        <w:t>hash_n         = SHA-256( seq | ts | actor | event | payload_hash_n | hash_(n-1) )</w:t>
      </w:r>
    </w:p>
    <w:p>
      <w:pPr>
        <w:spacing w:after="0" w:before="0" w:line="240" w:lineRule="auto"/>
        <w:ind w:left="317"/>
        <w:shd w:val="clear" w:color="auto" w:fill="F3F5F9"/>
      </w:pPr>
      <w:r>
        <w:rPr>
          <w:rFonts w:ascii="Consolas" w:hAnsi="Consolas" w:eastAsia="Consolas"/>
          <w:sz w:val="17"/>
        </w:rPr>
        <w:t>hash_0         = 64 x "0" (genesis)</w:t>
      </w:r>
    </w:p>
    <w:p>
      <w:pPr>
        <w:spacing w:after="80"/>
        <w:ind w:left="317"/>
      </w:pPr>
    </w:p>
    <w:p>
      <w:pPr>
        <w:spacing w:after="120"/>
        <w:ind w:left="317"/>
      </w:pPr>
      <w:r>
        <w:rPr>
          <w:rFonts w:ascii="Consolas" w:hAnsi="Consolas" w:eastAsia="Consolas"/>
          <w:color w:val="1F3A8A"/>
        </w:rPr>
        <w:t>verifyChain</w:t>
      </w:r>
      <w:r>
        <w:t xml:space="preserve"> walks rows in sequence order and returns the first </w:t>
      </w:r>
      <w:r>
        <w:rPr>
          <w:rFonts w:ascii="Consolas" w:hAnsi="Consolas" w:eastAsia="Consolas"/>
          <w:color w:val="1F3A8A"/>
        </w:rPr>
        <w:t>broken_at_seq</w:t>
      </w:r>
      <w:r>
        <w:t xml:space="preserve"> with a reason: </w:t>
      </w:r>
      <w:r>
        <w:rPr>
          <w:rFonts w:ascii="Consolas" w:hAnsi="Consolas" w:eastAsia="Consolas"/>
          <w:color w:val="1F3A8A"/>
        </w:rPr>
        <w:t>sequence gap</w:t>
      </w:r>
      <w:r>
        <w:t xml:space="preserve">, </w:t>
      </w:r>
      <w:r>
        <w:rPr>
          <w:rFonts w:ascii="Consolas" w:hAnsi="Consolas" w:eastAsia="Consolas"/>
          <w:color w:val="1F3A8A"/>
        </w:rPr>
        <w:t>prev_hash mismatch</w:t>
      </w:r>
      <w:r>
        <w:t xml:space="preserve">, </w:t>
      </w:r>
      <w:r>
        <w:rPr>
          <w:rFonts w:ascii="Consolas" w:hAnsi="Consolas" w:eastAsia="Consolas"/>
          <w:color w:val="1F3A8A"/>
        </w:rPr>
        <w:t>payload hash mismatch</w:t>
      </w:r>
      <w:r>
        <w:t xml:space="preserve"> or </w:t>
      </w:r>
      <w:r>
        <w:rPr>
          <w:rFonts w:ascii="Consolas" w:hAnsi="Consolas" w:eastAsia="Consolas"/>
          <w:color w:val="1F3A8A"/>
        </w:rPr>
        <w:t>hash mismatch</w:t>
      </w:r>
      <w:r>
        <w:t xml:space="preserve"> (constant-time comparisons). PII is redacted before hashing, so the chain holds no raw PII. </w:t>
      </w:r>
      <w:r>
        <w:rPr>
          <w:rFonts w:ascii="Consolas" w:hAnsi="Consolas" w:eastAsia="Consolas"/>
          <w:color w:val="1F3A8A"/>
        </w:rPr>
        <w:t>GET /evidence/export</w:t>
      </w:r>
      <w:r>
        <w:t xml:space="preserve"> includes the </w:t>
      </w:r>
      <w:r>
        <w:rPr>
          <w:rFonts w:ascii="Consolas" w:hAnsi="Consolas" w:eastAsia="Consolas"/>
          <w:color w:val="1F3A8A"/>
        </w:rPr>
        <w:t>head_hash</w:t>
      </w:r>
      <w:r>
        <w:t xml:space="preserve"> for comparison outside the database.</w:t>
      </w:r>
    </w:p>
    <w:p>
      <w:pPr>
        <w:keepNext/>
        <w:spacing w:after="60" w:before="120"/>
        <w:ind w:left="317"/>
      </w:pPr>
      <w:r>
        <w:rPr>
          <w:b/>
          <w:color w:val="315FD8"/>
        </w:rPr>
        <w:t>D. HMAC tokenisation (</w:t>
      </w:r>
      <w:r>
        <w:rPr>
          <w:rFonts w:ascii="Consolas" w:hAnsi="Consolas" w:eastAsia="Consolas"/>
          <w:b/>
          <w:color w:val="315FD8"/>
        </w:rPr>
        <w:t>domain/tokenize.ts</w:t>
      </w:r>
      <w:r>
        <w:rPr>
          <w:b/>
          <w:color w:val="315FD8"/>
        </w:rPr>
        <w:t>)</w:t>
      </w:r>
    </w:p>
    <w:p>
      <w:pPr>
        <w:spacing w:after="120"/>
        <w:ind w:left="317"/>
      </w:pPr>
      <w:r>
        <w:t xml:space="preserve">Account numbers are NFKC-folded (fullwidth digits → ASCII) and separators stripped; </w:t>
      </w:r>
      <w:r>
        <w:rPr>
          <w:rFonts w:ascii="Consolas" w:hAnsi="Consolas" w:eastAsia="Consolas"/>
          <w:color w:val="1F3A8A"/>
        </w:rPr>
        <w:t>accountHash = HMAC-SHA256(HMAC_KEY, "acct:" + normalised)</w:t>
      </w:r>
      <w:r>
        <w:t xml:space="preserve">, token </w:t>
      </w:r>
      <w:r>
        <w:rPr>
          <w:rFonts w:ascii="Consolas" w:hAnsi="Consolas" w:eastAsia="Consolas"/>
          <w:color w:val="1F3A8A"/>
        </w:rPr>
        <w:t>ACCT_</w:t>
      </w:r>
      <w:r>
        <w:t xml:space="preserve"> + first 10 hex characters, display mask </w:t>
      </w:r>
      <w:r>
        <w:rPr>
          <w:rFonts w:ascii="Consolas" w:hAnsi="Consolas" w:eastAsia="Consolas"/>
          <w:color w:val="1F3A8A"/>
        </w:rPr>
        <w:t>****1234</w:t>
      </w:r>
      <w:r>
        <w:t xml:space="preserve">. </w:t>
      </w:r>
      <w:r>
        <w:rPr>
          <w:rFonts w:ascii="Consolas" w:hAnsi="Consolas" w:eastAsia="Consolas"/>
          <w:color w:val="1F3A8A"/>
        </w:rPr>
        <w:t>tokenizeText</w:t>
      </w:r>
      <w:r>
        <w:t xml:space="preserve"> replaces 12–19-digit sequences before text reaches a planner and keeps a token → mask map. Names are reduced to a skeleton (confusable folding of Cyrillic/Greek letters, NFKC, case folding, parenthetical removal, digit lookalikes 1→l, 0→o, 5→s, 3→e, @→a) and tokenised as </w:t>
      </w:r>
      <w:r>
        <w:rPr>
          <w:rFonts w:ascii="Consolas" w:hAnsi="Consolas" w:eastAsia="Consolas"/>
          <w:color w:val="1F3A8A"/>
        </w:rPr>
        <w:t>NAME_…</w:t>
      </w:r>
      <w:r>
        <w:t xml:space="preserve">. Registry lookups compare HMAC hashes, so plaintext accounts are never compared or sent to a model. </w:t>
      </w:r>
      <w:r>
        <w:rPr>
          <w:rFonts w:ascii="Consolas" w:hAnsi="Consolas" w:eastAsia="Consolas"/>
          <w:color w:val="1F3A8A"/>
        </w:rPr>
        <w:t>redactPii</w:t>
      </w:r>
      <w:r>
        <w:t xml:space="preserve"> masks emails, mainland mobile numbers and account numbers for logs and audit payloads.</w:t>
      </w:r>
    </w:p>
    <w:p>
      <w:pPr>
        <w:keepNext/>
        <w:spacing w:after="60" w:before="120"/>
        <w:ind w:left="317"/>
      </w:pPr>
      <w:r>
        <w:rPr>
          <w:b/>
          <w:color w:val="315FD8"/>
        </w:rPr>
        <w:t>E. AES-256-GCM field encryption (</w:t>
      </w:r>
      <w:r>
        <w:rPr>
          <w:rFonts w:ascii="Consolas" w:hAnsi="Consolas" w:eastAsia="Consolas"/>
          <w:b/>
          <w:color w:val="315FD8"/>
        </w:rPr>
        <w:t>domain/crypto.ts</w:t>
      </w:r>
      <w:r>
        <w:rPr>
          <w:b/>
          <w:color w:val="315FD8"/>
        </w:rPr>
        <w:t>)</w:t>
      </w:r>
    </w:p>
    <w:p>
      <w:pPr>
        <w:spacing w:after="120"/>
        <w:ind w:left="317"/>
      </w:pPr>
      <w:r>
        <w:t xml:space="preserve">32-byte key from </w:t>
      </w:r>
      <w:r>
        <w:rPr>
          <w:rFonts w:ascii="Consolas" w:hAnsi="Consolas" w:eastAsia="Consolas"/>
          <w:color w:val="1F3A8A"/>
        </w:rPr>
        <w:t>AES_KEY_B64</w:t>
      </w:r>
      <w:r>
        <w:t xml:space="preserve">; a fresh random 12-byte nonce per encryption; associated data (AAD) binds each ciphertext to its context (e.g. the row or user id); stored as </w:t>
      </w:r>
      <w:r>
        <w:rPr>
          <w:rFonts w:ascii="Consolas" w:hAnsi="Consolas" w:eastAsia="Consolas"/>
          <w:color w:val="1F3A8A"/>
        </w:rPr>
        <w:t>enc:v1:base64(nonce ‖ ciphertext ‖ 16-byte tag)</w:t>
      </w:r>
      <w:r>
        <w:t xml:space="preserve">. Any authentication failure raises </w:t>
      </w:r>
      <w:r>
        <w:rPr>
          <w:rFonts w:ascii="Consolas" w:hAnsi="Consolas" w:eastAsia="Consolas"/>
          <w:color w:val="1F3A8A"/>
        </w:rPr>
        <w:t>CryptoError</w:t>
      </w:r>
      <w:r>
        <w:t xml:space="preserve">. Used for payee account numbers, TOTP secrets and uploaded notice text. With </w:t>
      </w:r>
      <w:r>
        <w:rPr>
          <w:rFonts w:ascii="Consolas" w:hAnsi="Consolas" w:eastAsia="Consolas"/>
          <w:color w:val="1F3A8A"/>
        </w:rPr>
        <w:t>NODE_ENV=production</w:t>
      </w:r>
      <w:r>
        <w:t xml:space="preserve"> the server refuses the public development keys.</w:t>
      </w:r>
    </w:p>
    <w:p>
      <w:pPr>
        <w:keepNext/>
        <w:spacing w:after="60" w:before="120"/>
        <w:ind w:left="317"/>
      </w:pPr>
      <w:r>
        <w:rPr>
          <w:b/>
          <w:color w:val="315FD8"/>
        </w:rPr>
        <w:t>F. Approvals and money maths</w:t>
      </w:r>
    </w:p>
    <w:p>
      <w:pPr>
        <w:spacing w:after="120"/>
        <w:ind w:left="317"/>
      </w:pPr>
      <w:r>
        <w:t xml:space="preserve">TOTP follows RFC 6238 (±1 step) and accepts only a time step newer than the last one used (replay protection); 5 failures lock the user out for 300 s. Money uses </w:t>
      </w:r>
      <w:r>
        <w:rPr>
          <w:rFonts w:ascii="Consolas" w:hAnsi="Consolas" w:eastAsia="Consolas"/>
          <w:color w:val="1F3A8A"/>
        </w:rPr>
        <w:t>decimal.js</w:t>
      </w:r>
      <w:r>
        <w:t xml:space="preserve"> and is stored and serialised as decimal strings (</w:t>
      </w:r>
      <w:r>
        <w:rPr>
          <w:rFonts w:ascii="Consolas" w:hAnsi="Consolas" w:eastAsia="Consolas"/>
          <w:color w:val="1F3A8A"/>
        </w:rPr>
        <w:t>"18500.00"</w:t>
      </w:r>
      <w:r>
        <w:t>). Fee model: sandbox channel USD 3.00 fixed + 0.40 % FX margin (illustrative).</w:t>
      </w:r>
    </w:p>
    <w:p>
      <w:pPr>
        <w:keepNext/>
        <w:spacing w:after="60" w:before="120"/>
        <w:ind w:left="317"/>
      </w:pPr>
      <w:r>
        <w:rPr>
          <w:b/>
          <w:color w:val="315FD8"/>
        </w:rPr>
        <w:t>Evaluation approach</w:t>
      </w:r>
    </w:p>
    <w:p>
      <w:pPr>
        <w:pStyle w:val="ListBullet2"/>
        <w:spacing w:after="60"/>
      </w:pPr>
      <w:r>
        <w:rPr>
          <w:b/>
        </w:rPr>
        <w:t>Golden tasks (25, English + 简体中文).</w:t>
      </w:r>
      <w:r>
        <w:t xml:space="preserve"> Each runs in a fresh in-memory world (fixed date 2026-10-17) and checks intent, tier, decision, actions, required approvals, plan numbers and reply text. Expected numbers were derived by hand from the fixture rate and fee model, not copied from program output. Invariants on every task: no payment is executed by a chat turn; the trace has 7 steps. </w:t>
      </w:r>
      <w:r>
        <w:rPr>
          <w:b/>
        </w:rPr>
        <w:t>Result: 25/25 passed</w:t>
      </w:r>
      <w:r>
        <w:t xml:space="preserve"> (acceptance threshold 80 %).</w:t>
      </w:r>
    </w:p>
    <w:p>
      <w:pPr>
        <w:pStyle w:val="ListBullet2"/>
        <w:spacing w:after="60"/>
      </w:pPr>
      <w:r>
        <w:rPr>
          <w:b/>
        </w:rPr>
        <w:t>Notice corpus (33 notices, 20 clean, 13 attack/negative)</w:t>
      </w:r>
      <w:r>
        <w:t xml:space="preserve"> through the real </w:t>
      </w:r>
      <w:r>
        <w:rPr>
          <w:rFonts w:ascii="Consolas" w:hAnsi="Consolas" w:eastAsia="Consolas"/>
          <w:color w:val="1F3A8A"/>
        </w:rPr>
        <w:t>POST /documents</w:t>
      </w:r>
      <w:r>
        <w:t xml:space="preserve"> path: verdict matches label </w:t>
      </w:r>
      <w:r>
        <w:rPr>
          <w:b/>
        </w:rPr>
        <w:t>33/33</w:t>
      </w:r>
      <w:r>
        <w:t xml:space="preserve">; attack/negative notices flagged </w:t>
      </w:r>
      <w:r>
        <w:rPr>
          <w:b/>
        </w:rPr>
        <w:t>13/13</w:t>
      </w:r>
      <w:r>
        <w:t xml:space="preserve">; expected-blocked notices blocked </w:t>
      </w:r>
      <w:r>
        <w:rPr>
          <w:b/>
        </w:rPr>
        <w:t>11/11</w:t>
      </w:r>
      <w:r>
        <w:t xml:space="preserve">; false positives on clean notices </w:t>
      </w:r>
      <w:r>
        <w:rPr>
          <w:b/>
        </w:rPr>
        <w:t>0/20</w:t>
      </w:r>
      <w:r>
        <w:t xml:space="preserve">; field parsing </w:t>
      </w:r>
      <w:r>
        <w:rPr>
          <w:b/>
        </w:rPr>
        <w:t>33/33</w:t>
      </w:r>
      <w:r>
        <w:t>.</w:t>
      </w:r>
    </w:p>
    <w:p>
      <w:pPr>
        <w:pStyle w:val="ListBullet2"/>
        <w:spacing w:after="60"/>
      </w:pPr>
      <w:r>
        <w:rPr>
          <w:b/>
        </w:rPr>
        <w:t>Adversarial scenarios (17)</w:t>
      </w:r>
      <w:r>
        <w:t xml:space="preserve"> against the running application code: </w:t>
      </w:r>
      <w:r>
        <w:rPr>
          <w:b/>
        </w:rPr>
        <w:t>17/17 blocked</w:t>
      </w:r>
      <w:r>
        <w:t xml:space="preserve"> (detail in the Security Self-assessment).</w:t>
      </w:r>
    </w:p>
    <w:p>
      <w:pPr>
        <w:pStyle w:val="ListBullet2"/>
        <w:spacing w:after="60"/>
      </w:pPr>
      <w:r>
        <w:rPr>
          <w:b/>
        </w:rPr>
        <w:t>Reference-vector tests</w:t>
      </w:r>
      <w:r>
        <w:t xml:space="preserve"> pin the TypeScript policy, agent, audit and crypto behaviour to recorded cross-implementation vectors.</w:t>
      </w:r>
    </w:p>
    <w:p>
      <w:pPr>
        <w:pStyle w:val="ListBullet2"/>
        <w:spacing w:after="60"/>
      </w:pPr>
      <w:r>
        <w:t>Scope of these numbers: the scripted planner is deterministic, so the evaluation measures guardrails, tool wiring, policy tiers and reply validation rather than open-ended LLM quality. Tasks, corpus and attacks were written by the same team as the rules, so they demonstrate coverage of known patterns, not generalisation to unseen attacks.</w:t>
      </w:r>
    </w:p>
    <w:p>
      <w:pPr>
        <w:pStyle w:val="Heading1"/>
      </w:pPr>
      <w:r>
        <w:t>04 Security Design</w:t>
      </w:r>
    </w:p>
    <w:p>
      <w:pPr>
        <w:pStyle w:val="ListBullet"/>
        <w:spacing w:after="100"/>
      </w:pPr>
      <w:r>
        <w:t>Tiered permissions and confirmation for sensitive actions</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648"/>
        <w:gridCol w:w="2520"/>
        <w:gridCol w:w="3744"/>
        <w:gridCol w:w="2448"/>
      </w:tblGrid>
      <w:tr>
        <w:trPr>
          <w:tblHeader w:val="true"/>
        </w:trPr>
        <w:tc>
          <w:tcPr>
            <w:tcW w:type="dxa" w:w="648"/>
            <w:shd w:val="clear" w:color="auto" w:fill="EEF3FF"/>
          </w:tcPr>
          <w:p>
            <w:pPr>
              <w:spacing w:after="20"/>
            </w:pPr>
            <w:r>
              <w:rPr>
                <w:b/>
                <w:sz w:val="17"/>
              </w:rPr>
              <w:t>Tier</w:t>
            </w:r>
          </w:p>
        </w:tc>
        <w:tc>
          <w:tcPr>
            <w:tcW w:type="dxa" w:w="2520"/>
            <w:shd w:val="clear" w:color="auto" w:fill="EEF3FF"/>
          </w:tcPr>
          <w:p>
            <w:pPr>
              <w:spacing w:after="20"/>
            </w:pPr>
            <w:r>
              <w:rPr>
                <w:b/>
                <w:sz w:val="17"/>
              </w:rPr>
              <w:t>Action</w:t>
            </w:r>
          </w:p>
        </w:tc>
        <w:tc>
          <w:tcPr>
            <w:tcW w:type="dxa" w:w="3744"/>
            <w:shd w:val="clear" w:color="auto" w:fill="EEF3FF"/>
          </w:tcPr>
          <w:p>
            <w:pPr>
              <w:spacing w:after="20"/>
            </w:pPr>
            <w:r>
              <w:rPr>
                <w:b/>
                <w:sz w:val="17"/>
              </w:rPr>
              <w:t>Conditions</w:t>
            </w:r>
          </w:p>
        </w:tc>
        <w:tc>
          <w:tcPr>
            <w:tcW w:type="dxa" w:w="2448"/>
            <w:shd w:val="clear" w:color="auto" w:fill="EEF3FF"/>
          </w:tcPr>
          <w:p>
            <w:pPr>
              <w:spacing w:after="20"/>
            </w:pPr>
            <w:r>
              <w:rPr>
                <w:b/>
                <w:sz w:val="17"/>
              </w:rPr>
              <w:t>Authorisation required</w:t>
            </w:r>
          </w:p>
        </w:tc>
      </w:tr>
      <w:tr>
        <w:tc>
          <w:tcPr>
            <w:tcW w:type="dxa" w:w="648"/>
          </w:tcPr>
          <w:p>
            <w:pPr>
              <w:spacing w:after="20"/>
            </w:pPr>
            <w:r>
              <w:rPr>
                <w:sz w:val="17"/>
              </w:rPr>
              <w:t>T0</w:t>
            </w:r>
          </w:p>
        </w:tc>
        <w:tc>
          <w:tcPr>
            <w:tcW w:type="dxa" w:w="2520"/>
          </w:tcPr>
          <w:p>
            <w:pPr>
              <w:spacing w:after="20"/>
            </w:pPr>
            <w:r>
              <w:rPr>
                <w:sz w:val="17"/>
              </w:rPr>
              <w:t>Read: quotes, fee explanations, budget, dashboards</w:t>
            </w:r>
          </w:p>
        </w:tc>
        <w:tc>
          <w:tcPr>
            <w:tcW w:type="dxa" w:w="3744"/>
          </w:tcPr>
          <w:p>
            <w:pPr>
              <w:spacing w:after="20"/>
            </w:pPr>
            <w:r>
              <w:rPr>
                <w:sz w:val="17"/>
              </w:rPr>
              <w:t>authenticated user, own data</w:t>
            </w:r>
          </w:p>
        </w:tc>
        <w:tc>
          <w:tcPr>
            <w:tcW w:type="dxa" w:w="2448"/>
          </w:tcPr>
          <w:p>
            <w:pPr>
              <w:spacing w:after="20"/>
            </w:pPr>
            <w:r>
              <w:rPr>
                <w:sz w:val="17"/>
              </w:rPr>
              <w:t>none</w:t>
            </w:r>
          </w:p>
        </w:tc>
      </w:tr>
      <w:tr>
        <w:tc>
          <w:tcPr>
            <w:tcW w:type="dxa" w:w="648"/>
          </w:tcPr>
          <w:p>
            <w:pPr>
              <w:spacing w:after="20"/>
            </w:pPr>
            <w:r>
              <w:rPr>
                <w:sz w:val="17"/>
              </w:rPr>
              <w:t>T1</w:t>
            </w:r>
          </w:p>
        </w:tc>
        <w:tc>
          <w:tcPr>
            <w:tcW w:type="dxa" w:w="2520"/>
          </w:tcPr>
          <w:p>
            <w:pPr>
              <w:spacing w:after="20"/>
            </w:pPr>
            <w:r>
              <w:rPr>
                <w:sz w:val="17"/>
              </w:rPr>
              <w:t>Draft: messages, payment drafts</w:t>
            </w:r>
          </w:p>
        </w:tc>
        <w:tc>
          <w:tcPr>
            <w:tcW w:type="dxa" w:w="3744"/>
          </w:tcPr>
          <w:p>
            <w:pPr>
              <w:spacing w:after="20"/>
            </w:pPr>
            <w:r>
              <w:rPr>
                <w:sz w:val="17"/>
              </w:rPr>
              <w:t>nothing is sent or executed</w:t>
            </w:r>
          </w:p>
        </w:tc>
        <w:tc>
          <w:tcPr>
            <w:tcW w:type="dxa" w:w="2448"/>
          </w:tcPr>
          <w:p>
            <w:pPr>
              <w:spacing w:after="20"/>
            </w:pPr>
            <w:r>
              <w:rPr>
                <w:sz w:val="17"/>
              </w:rPr>
              <w:t>none</w:t>
            </w:r>
          </w:p>
        </w:tc>
      </w:tr>
      <w:tr>
        <w:tc>
          <w:tcPr>
            <w:tcW w:type="dxa" w:w="648"/>
          </w:tcPr>
          <w:p>
            <w:pPr>
              <w:spacing w:after="20"/>
            </w:pPr>
            <w:r>
              <w:rPr>
                <w:sz w:val="17"/>
              </w:rPr>
              <w:t>T2</w:t>
            </w:r>
          </w:p>
        </w:tc>
        <w:tc>
          <w:tcPr>
            <w:tcW w:type="dxa" w:w="2520"/>
          </w:tcPr>
          <w:p>
            <w:pPr>
              <w:spacing w:after="20"/>
            </w:pPr>
            <w:r>
              <w:rPr>
                <w:sz w:val="17"/>
              </w:rPr>
              <w:t>Payment ≤ CNY 2,000</w:t>
            </w:r>
          </w:p>
        </w:tc>
        <w:tc>
          <w:tcPr>
            <w:tcW w:type="dxa" w:w="3744"/>
          </w:tcPr>
          <w:p>
            <w:pPr>
              <w:spacing w:after="20"/>
            </w:pPr>
            <w:r>
              <w:rPr>
                <w:b/>
                <w:sz w:val="17"/>
              </w:rPr>
              <w:t>verified</w:t>
            </w:r>
            <w:r>
              <w:rPr>
                <w:sz w:val="17"/>
              </w:rPr>
              <w:t xml:space="preserve"> payee, trusted source, guardian clear, 24 h per-payee aggregate still ≤ cap, no active cooling-off</w:t>
            </w:r>
          </w:p>
        </w:tc>
        <w:tc>
          <w:tcPr>
            <w:tcW w:type="dxa" w:w="2448"/>
          </w:tcPr>
          <w:p>
            <w:pPr>
              <w:spacing w:after="20"/>
            </w:pPr>
            <w:r>
              <w:rPr>
                <w:sz w:val="17"/>
              </w:rPr>
              <w:t xml:space="preserve">student </w:t>
            </w:r>
            <w:r>
              <w:rPr>
                <w:b/>
                <w:sz w:val="17"/>
              </w:rPr>
              <w:t>TOTP</w:t>
            </w:r>
          </w:p>
        </w:tc>
      </w:tr>
      <w:tr>
        <w:tc>
          <w:tcPr>
            <w:tcW w:type="dxa" w:w="648"/>
          </w:tcPr>
          <w:p>
            <w:pPr>
              <w:spacing w:after="20"/>
            </w:pPr>
            <w:r>
              <w:rPr>
                <w:sz w:val="17"/>
              </w:rPr>
              <w:t>T3</w:t>
            </w:r>
          </w:p>
        </w:tc>
        <w:tc>
          <w:tcPr>
            <w:tcW w:type="dxa" w:w="2520"/>
          </w:tcPr>
          <w:p>
            <w:pPr>
              <w:spacing w:after="20"/>
            </w:pPr>
            <w:r>
              <w:rPr>
                <w:sz w:val="17"/>
              </w:rPr>
              <w:t>Payment &gt; CNY 2,000; split payments exceeding the cap; any payment to a new/changed payee; verifying a payee</w:t>
            </w:r>
          </w:p>
        </w:tc>
        <w:tc>
          <w:tcPr>
            <w:tcW w:type="dxa" w:w="3744"/>
          </w:tcPr>
          <w:p>
            <w:pPr>
              <w:spacing w:after="20"/>
            </w:pPr>
            <w:r>
              <w:rPr>
                <w:sz w:val="17"/>
              </w:rPr>
              <w:t>as above</w:t>
            </w:r>
          </w:p>
        </w:tc>
        <w:tc>
          <w:tcPr>
            <w:tcW w:type="dxa" w:w="2448"/>
          </w:tcPr>
          <w:p>
            <w:pPr>
              <w:spacing w:after="20"/>
            </w:pPr>
            <w:r>
              <w:rPr>
                <w:sz w:val="17"/>
              </w:rPr>
              <w:t xml:space="preserve">student TOTP </w:t>
            </w:r>
            <w:r>
              <w:rPr>
                <w:b/>
                <w:sz w:val="17"/>
              </w:rPr>
              <w:t>+</w:t>
            </w:r>
            <w:r>
              <w:rPr>
                <w:sz w:val="17"/>
              </w:rPr>
              <w:t xml:space="preserve"> linked family-approver TOTP; </w:t>
            </w:r>
            <w:r>
              <w:rPr>
                <w:b/>
                <w:sz w:val="17"/>
              </w:rPr>
              <w:t>+ 24 h cooling-off</w:t>
            </w:r>
            <w:r>
              <w:rPr>
                <w:sz w:val="17"/>
              </w:rPr>
              <w:t xml:space="preserve"> for new/changed payees</w:t>
            </w:r>
          </w:p>
        </w:tc>
      </w:tr>
      <w:tr>
        <w:tc>
          <w:tcPr>
            <w:tcW w:type="dxa" w:w="648"/>
          </w:tcPr>
          <w:p>
            <w:pPr>
              <w:spacing w:after="20"/>
            </w:pPr>
            <w:r>
              <w:rPr>
                <w:sz w:val="17"/>
              </w:rPr>
              <w:t>T4</w:t>
            </w:r>
          </w:p>
        </w:tc>
        <w:tc>
          <w:tcPr>
            <w:tcW w:type="dxa" w:w="2520"/>
          </w:tcPr>
          <w:p>
            <w:pPr>
              <w:spacing w:after="20"/>
            </w:pPr>
            <w:r>
              <w:rPr>
                <w:sz w:val="17"/>
              </w:rPr>
              <w:t>Blocked</w:t>
            </w:r>
          </w:p>
        </w:tc>
        <w:tc>
          <w:tcPr>
            <w:tcW w:type="dxa" w:w="3744"/>
          </w:tcPr>
          <w:p>
            <w:pPr>
              <w:spacing w:after="20"/>
            </w:pPr>
            <w:r>
              <w:rPr>
                <w:sz w:val="17"/>
              </w:rPr>
              <w:t>unverified/unregistered payee; action sourced only from document, SMS or model text; guardian block (injection, homoglyph, amount mismatch, lookalike); payee of another user; amount ≠ confirmed obligation; bulk PII export; unknown action type</w:t>
            </w:r>
          </w:p>
        </w:tc>
        <w:tc>
          <w:tcPr>
            <w:tcW w:type="dxa" w:w="2448"/>
          </w:tcPr>
          <w:p>
            <w:pPr>
              <w:spacing w:after="20"/>
            </w:pPr>
            <w:r>
              <w:rPr>
                <w:sz w:val="17"/>
              </w:rPr>
              <w:t>cannot be approved by anyone</w:t>
            </w:r>
          </w:p>
        </w:tc>
      </w:tr>
    </w:tbl>
    <w:p>
      <w:pPr>
        <w:spacing w:after="40"/>
        <w:ind w:left="317"/>
      </w:pPr>
    </w:p>
    <w:p>
      <w:pPr>
        <w:pStyle w:val="ListBullet2"/>
        <w:spacing w:after="60"/>
      </w:pPr>
      <w:r>
        <w:rPr>
          <w:b/>
        </w:rPr>
        <w:t>Confirmation before any obligation.</w:t>
      </w:r>
      <w:r>
        <w:t xml:space="preserve"> Parsed notice fields are shown to the student, who confirms them (</w:t>
      </w:r>
      <w:r>
        <w:rPr>
          <w:rFonts w:ascii="Consolas" w:hAnsi="Consolas" w:eastAsia="Consolas"/>
          <w:color w:val="1F3A8A"/>
        </w:rPr>
        <w:t>POST /documents/{id}/confirm</w:t>
      </w:r>
      <w:r>
        <w:t xml:space="preserve">); blocked documents cannot be confirmed and a changed amount returns </w:t>
      </w:r>
      <w:r>
        <w:rPr>
          <w:rFonts w:ascii="Consolas" w:hAnsi="Consolas" w:eastAsia="Consolas"/>
          <w:color w:val="1F3A8A"/>
        </w:rPr>
        <w:t>409 AMOUNT_MISMATCH</w:t>
      </w:r>
      <w:r>
        <w:t>.</w:t>
      </w:r>
    </w:p>
    <w:p>
      <w:pPr>
        <w:pStyle w:val="ListBullet2"/>
        <w:spacing w:after="60"/>
      </w:pPr>
      <w:r>
        <w:rPr>
          <w:b/>
        </w:rPr>
        <w:t>Approval.</w:t>
      </w:r>
      <w:r>
        <w:t xml:space="preserve"> </w:t>
      </w:r>
      <w:r>
        <w:rPr>
          <w:rFonts w:ascii="Consolas" w:hAnsi="Consolas" w:eastAsia="Consolas"/>
          <w:color w:val="1F3A8A"/>
        </w:rPr>
        <w:t>POST /actions/{id}/approve</w:t>
      </w:r>
      <w:r>
        <w:t xml:space="preserve"> with a TOTP code; policy is re-run on every approval and at execution. Admins cannot approve payments; a family approver can act only for linked students; a student cannot approve the family-approver step.</w:t>
      </w:r>
    </w:p>
    <w:p>
      <w:pPr>
        <w:pStyle w:val="ListBullet2"/>
        <w:spacing w:after="60"/>
      </w:pPr>
      <w:r>
        <w:rPr>
          <w:b/>
        </w:rPr>
        <w:t>Payee lifecycle.</w:t>
      </w:r>
      <w:r>
        <w:t xml:space="preserve"> New payee → unverified (payments T4) → verification by the linked family approver (T3) → payments T3 until </w:t>
      </w:r>
      <w:r>
        <w:rPr>
          <w:rFonts w:ascii="Consolas" w:hAnsi="Consolas" w:eastAsia="Consolas"/>
          <w:color w:val="1F3A8A"/>
        </w:rPr>
        <w:t>cooling_off_until</w:t>
      </w:r>
      <w:r>
        <w:t xml:space="preserve"> (created + 24 h) → then T2/T3 by amount. An SMS or notice never edits the registry.</w:t>
      </w:r>
    </w:p>
    <w:p>
      <w:pPr>
        <w:pStyle w:val="ListBullet2"/>
        <w:spacing w:after="60"/>
      </w:pPr>
      <w:r>
        <w:rPr>
          <w:b/>
        </w:rPr>
        <w:t>Safe failure.</w:t>
      </w:r>
      <w:r>
        <w:t xml:space="preserve"> The sandbox bank is idempotent (same key + same parameters returns the original transaction; same key + different parameters is rejected), and failures (</w:t>
      </w:r>
      <w:r>
        <w:rPr>
          <w:rFonts w:ascii="Consolas" w:hAnsi="Consolas" w:eastAsia="Consolas"/>
          <w:color w:val="1F3A8A"/>
        </w:rPr>
        <w:t>ACCOUNT_CLOSED</w:t>
      </w:r>
      <w:r>
        <w:t xml:space="preserve">, </w:t>
      </w:r>
      <w:r>
        <w:rPr>
          <w:rFonts w:ascii="Consolas" w:hAnsi="Consolas" w:eastAsia="Consolas"/>
          <w:color w:val="1F3A8A"/>
        </w:rPr>
        <w:t>RISK_HOLD</w:t>
      </w:r>
      <w:r>
        <w:t xml:space="preserve">, </w:t>
      </w:r>
      <w:r>
        <w:rPr>
          <w:rFonts w:ascii="Consolas" w:hAnsi="Consolas" w:eastAsia="Consolas"/>
          <w:color w:val="1F3A8A"/>
        </w:rPr>
        <w:t>LIMIT_EXCEEDED</w:t>
      </w:r>
      <w:r>
        <w:t xml:space="preserve">, </w:t>
      </w:r>
      <w:r>
        <w:rPr>
          <w:rFonts w:ascii="Consolas" w:hAnsi="Consolas" w:eastAsia="Consolas"/>
          <w:color w:val="1F3A8A"/>
        </w:rPr>
        <w:t>INSUFFICIENT_FUNDS</w:t>
      </w:r>
      <w:r>
        <w:t xml:space="preserve">) leave the action </w:t>
      </w:r>
      <w:r>
        <w:rPr>
          <w:rFonts w:ascii="Consolas" w:hAnsi="Consolas" w:eastAsia="Consolas"/>
          <w:color w:val="1F3A8A"/>
        </w:rPr>
        <w:t>failed</w:t>
      </w:r>
      <w:r>
        <w:t xml:space="preserve"> without a double spend. Actions can be rejected at any point before execution.</w:t>
      </w:r>
    </w:p>
    <w:p>
      <w:pPr>
        <w:pStyle w:val="ListBullet"/>
        <w:spacing w:after="100"/>
      </w:pPr>
      <w:r>
        <w:t>Protection against prompt injection, privilege escalation and privacy leakage</w:t>
      </w:r>
    </w:p>
    <w:p>
      <w:pPr>
        <w:keepNext/>
        <w:spacing w:after="60" w:before="120"/>
        <w:ind w:left="317"/>
      </w:pPr>
      <w:r>
        <w:rPr>
          <w:b/>
          <w:color w:val="315FD8"/>
        </w:rPr>
        <w:t>Prompt injection and social engineering</w:t>
      </w:r>
    </w:p>
    <w:p>
      <w:pPr>
        <w:pStyle w:val="ListBullet2"/>
        <w:spacing w:after="60"/>
      </w:pPr>
      <w:r>
        <w:t xml:space="preserve">Untrusted text is wrapped in </w:t>
      </w:r>
      <w:r>
        <w:rPr>
          <w:rFonts w:ascii="Consolas" w:hAnsi="Consolas" w:eastAsia="Consolas"/>
          <w:color w:val="1F3A8A"/>
        </w:rPr>
        <w:t>&lt;untrusted&gt;</w:t>
      </w:r>
      <w:r>
        <w:t xml:space="preserve"> and scanned; document-, SMS- and model-sourced actions are T4 regardless of the verdict; payee and amount come only from the registry or a confirmed obligation.</w:t>
      </w:r>
    </w:p>
    <w:p>
      <w:pPr>
        <w:pStyle w:val="ListBullet2"/>
        <w:spacing w:after="60"/>
      </w:pPr>
      <w:r>
        <w:t>Planner output is constrained to allowlisted tools with strict schemas (extra keys forbidden); no tool moves money; the reply validator blocks ungrounded numbers.</w:t>
      </w:r>
    </w:p>
    <w:p>
      <w:pPr>
        <w:pStyle w:val="ListBullet2"/>
        <w:spacing w:after="60"/>
      </w:pPr>
      <w:r>
        <w:t>Homoglyph and lookalike defences: strict ASCII-digit account validation, confusable folding, name skeletons and edit distance against verified payees.</w:t>
      </w:r>
    </w:p>
    <w:p>
      <w:pPr>
        <w:keepNext/>
        <w:spacing w:after="60" w:before="120"/>
        <w:ind w:left="317"/>
      </w:pPr>
      <w:r>
        <w:rPr>
          <w:b/>
          <w:color w:val="315FD8"/>
        </w:rPr>
        <w:t>Privilege escalation</w:t>
      </w:r>
    </w:p>
    <w:p>
      <w:pPr>
        <w:pStyle w:val="ListBullet2"/>
        <w:spacing w:after="60"/>
      </w:pPr>
      <w:r>
        <w:t>JWT HS256 with the algorithm pinned (</w:t>
      </w:r>
      <w:r>
        <w:rPr>
          <w:rFonts w:ascii="Consolas" w:hAnsi="Consolas" w:eastAsia="Consolas"/>
          <w:color w:val="1F3A8A"/>
        </w:rPr>
        <w:t>alg=none</w:t>
      </w:r>
      <w:r>
        <w:t xml:space="preserve"> rejected), </w:t>
      </w:r>
      <w:r>
        <w:rPr>
          <w:rFonts w:ascii="Consolas" w:hAnsi="Consolas" w:eastAsia="Consolas"/>
          <w:color w:val="1F3A8A"/>
        </w:rPr>
        <w:t>exp/sub/iat</w:t>
      </w:r>
      <w:r>
        <w:t xml:space="preserve"> required, role re-read from the database on every request.</w:t>
      </w:r>
    </w:p>
    <w:p>
      <w:pPr>
        <w:pStyle w:val="ListBullet2"/>
        <w:spacing w:after="60"/>
      </w:pPr>
      <w:r>
        <w:t xml:space="preserve">Owner-scoped queries; foreign ids return 404 to avoid leaking existence; cross-user payees are T4 </w:t>
      </w:r>
      <w:r>
        <w:rPr>
          <w:rFonts w:ascii="Consolas" w:hAnsi="Consolas" w:eastAsia="Consolas"/>
          <w:color w:val="1F3A8A"/>
        </w:rPr>
        <w:t>CROSS_USER_PAYEE</w:t>
      </w:r>
      <w:r>
        <w:t>.</w:t>
      </w:r>
    </w:p>
    <w:p>
      <w:pPr>
        <w:pStyle w:val="ListBullet2"/>
        <w:spacing w:after="60"/>
      </w:pPr>
      <w:r>
        <w:t xml:space="preserve">The executor refuses any decision except </w:t>
      </w:r>
      <w:r>
        <w:rPr>
          <w:rFonts w:ascii="Consolas" w:hAnsi="Consolas" w:eastAsia="Consolas"/>
          <w:color w:val="1F3A8A"/>
        </w:rPr>
        <w:t>ALLOW</w:t>
      </w:r>
      <w:r>
        <w:t>; split payments are aggregated over 24 h; TOTP replay protection and 5-failure lockout; per-client sliding-window rate limiting (default 120/min per IP and path).</w:t>
      </w:r>
    </w:p>
    <w:p>
      <w:pPr>
        <w:keepNext/>
        <w:spacing w:after="60" w:before="120"/>
        <w:ind w:left="317"/>
      </w:pPr>
      <w:r>
        <w:rPr>
          <w:b/>
          <w:color w:val="315FD8"/>
        </w:rPr>
        <w:t>Privacy leakage</w:t>
      </w:r>
    </w:p>
    <w:p>
      <w:pPr>
        <w:pStyle w:val="ListBullet2"/>
        <w:spacing w:after="60"/>
      </w:pPr>
      <w:r>
        <w:t>AES-256-GCM with AAD at rest for account numbers, TOTP secrets and notice text; HMAC lookups; masked display (</w:t>
      </w:r>
      <w:r>
        <w:rPr>
          <w:rFonts w:ascii="Consolas" w:hAnsi="Consolas" w:eastAsia="Consolas"/>
          <w:color w:val="1F3A8A"/>
        </w:rPr>
        <w:t>****1234</w:t>
      </w:r>
      <w:r>
        <w:t>).</w:t>
      </w:r>
    </w:p>
    <w:p>
      <w:pPr>
        <w:pStyle w:val="ListBullet2"/>
        <w:spacing w:after="60"/>
      </w:pPr>
      <w:r>
        <w:t>pino redaction paths plus a free-text masking hook for accounts, emails and phone numbers; audit payloads redacted before hashing.</w:t>
      </w:r>
    </w:p>
    <w:p>
      <w:pPr>
        <w:pStyle w:val="ListBullet2"/>
        <w:spacing w:after="60"/>
      </w:pPr>
      <w:r>
        <w:t xml:space="preserve">Only tokenised text would ever reach an optional LLM; bulk export is T4; evidence export is scoped to the caller (admin sees all, audit-logged); </w:t>
      </w:r>
      <w:r>
        <w:rPr>
          <w:rFonts w:ascii="Consolas" w:hAnsi="Consolas" w:eastAsia="Consolas"/>
          <w:color w:val="1F3A8A"/>
        </w:rPr>
        <w:t>DELETE /me</w:t>
      </w:r>
      <w:r>
        <w:t xml:space="preserve"> erases the user's data; no third-party scripts; offline by default.</w:t>
      </w:r>
    </w:p>
    <w:p>
      <w:pPr>
        <w:pStyle w:val="ListBullet2"/>
        <w:spacing w:after="60"/>
      </w:pPr>
      <w:r>
        <w:t xml:space="preserve">HTTP hardening: </w:t>
      </w:r>
      <w:r>
        <w:rPr>
          <w:rFonts w:ascii="Consolas" w:hAnsi="Consolas" w:eastAsia="Consolas"/>
          <w:color w:val="1F3A8A"/>
        </w:rPr>
        <w:t>nosniff</w:t>
      </w:r>
      <w:r>
        <w:t xml:space="preserve">, </w:t>
      </w:r>
      <w:r>
        <w:rPr>
          <w:rFonts w:ascii="Consolas" w:hAnsi="Consolas" w:eastAsia="Consolas"/>
          <w:color w:val="1F3A8A"/>
        </w:rPr>
        <w:t>X-Frame-Options: DENY</w:t>
      </w:r>
      <w:r>
        <w:t xml:space="preserve">, </w:t>
      </w:r>
      <w:r>
        <w:rPr>
          <w:rFonts w:ascii="Consolas" w:hAnsi="Consolas" w:eastAsia="Consolas"/>
          <w:color w:val="1F3A8A"/>
        </w:rPr>
        <w:t>Referrer-Policy: no-referrer</w:t>
      </w:r>
      <w:r>
        <w:t xml:space="preserve">, CSP, </w:t>
      </w:r>
      <w:r>
        <w:rPr>
          <w:rFonts w:ascii="Consolas" w:hAnsi="Consolas" w:eastAsia="Consolas"/>
          <w:color w:val="1F3A8A"/>
        </w:rPr>
        <w:t>Cache-Control: no-store</w:t>
      </w:r>
      <w:r>
        <w:t>, HSTS; CORS limited to configured origins.</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1584"/>
        <w:gridCol w:w="2736"/>
        <w:gridCol w:w="3744"/>
        <w:gridCol w:w="1296"/>
      </w:tblGrid>
      <w:tr>
        <w:trPr>
          <w:tblHeader w:val="true"/>
        </w:trPr>
        <w:tc>
          <w:tcPr>
            <w:tcW w:type="dxa" w:w="1584"/>
            <w:shd w:val="clear" w:color="auto" w:fill="EEF3FF"/>
          </w:tcPr>
          <w:p>
            <w:pPr>
              <w:spacing w:after="20"/>
            </w:pPr>
            <w:r>
              <w:rPr>
                <w:b/>
                <w:sz w:val="17"/>
              </w:rPr>
              <w:t>STRIDE</w:t>
            </w:r>
          </w:p>
        </w:tc>
        <w:tc>
          <w:tcPr>
            <w:tcW w:type="dxa" w:w="2736"/>
            <w:shd w:val="clear" w:color="auto" w:fill="EEF3FF"/>
          </w:tcPr>
          <w:p>
            <w:pPr>
              <w:spacing w:after="20"/>
            </w:pPr>
            <w:r>
              <w:rPr>
                <w:b/>
                <w:sz w:val="17"/>
              </w:rPr>
              <w:t>Threat</w:t>
            </w:r>
          </w:p>
        </w:tc>
        <w:tc>
          <w:tcPr>
            <w:tcW w:type="dxa" w:w="3744"/>
            <w:shd w:val="clear" w:color="auto" w:fill="EEF3FF"/>
          </w:tcPr>
          <w:p>
            <w:pPr>
              <w:spacing w:after="20"/>
            </w:pPr>
            <w:r>
              <w:rPr>
                <w:b/>
                <w:sz w:val="17"/>
              </w:rPr>
              <w:t>Mitigation</w:t>
            </w:r>
          </w:p>
        </w:tc>
        <w:tc>
          <w:tcPr>
            <w:tcW w:type="dxa" w:w="1296"/>
            <w:shd w:val="clear" w:color="auto" w:fill="EEF3FF"/>
          </w:tcPr>
          <w:p>
            <w:pPr>
              <w:spacing w:after="20"/>
            </w:pPr>
            <w:r>
              <w:rPr>
                <w:b/>
                <w:sz w:val="17"/>
              </w:rPr>
              <w:t>Scenario</w:t>
            </w:r>
          </w:p>
        </w:tc>
      </w:tr>
      <w:tr>
        <w:tc>
          <w:tcPr>
            <w:tcW w:type="dxa" w:w="1584"/>
          </w:tcPr>
          <w:p>
            <w:pPr>
              <w:spacing w:after="20"/>
            </w:pPr>
            <w:r>
              <w:rPr>
                <w:sz w:val="17"/>
              </w:rPr>
              <w:t>Spoofing</w:t>
            </w:r>
          </w:p>
        </w:tc>
        <w:tc>
          <w:tcPr>
            <w:tcW w:type="dxa" w:w="2736"/>
          </w:tcPr>
          <w:p>
            <w:pPr>
              <w:spacing w:after="20"/>
            </w:pPr>
            <w:r>
              <w:rPr>
                <w:sz w:val="17"/>
              </w:rPr>
              <w:t>Stolen password used to approve; forged JWT; fake payee by SMS / lookalike</w:t>
            </w:r>
          </w:p>
        </w:tc>
        <w:tc>
          <w:tcPr>
            <w:tcW w:type="dxa" w:w="3744"/>
          </w:tcPr>
          <w:p>
            <w:pPr>
              <w:spacing w:after="20"/>
            </w:pPr>
            <w:r>
              <w:rPr>
                <w:sz w:val="17"/>
              </w:rPr>
              <w:t>TOTP on every approval, pinned HS256, SMS never edits registry, T3 + cooling-off, homoglyph/lookalike block</w:t>
            </w:r>
          </w:p>
        </w:tc>
        <w:tc>
          <w:tcPr>
            <w:tcW w:type="dxa" w:w="1296"/>
          </w:tcPr>
          <w:p>
            <w:pPr>
              <w:spacing w:after="20"/>
            </w:pPr>
            <w:r>
              <w:rPr>
                <w:sz w:val="17"/>
              </w:rPr>
              <w:t>A02, A03, A05, A06, A08</w:t>
            </w:r>
          </w:p>
        </w:tc>
      </w:tr>
      <w:tr>
        <w:tc>
          <w:tcPr>
            <w:tcW w:type="dxa" w:w="1584"/>
          </w:tcPr>
          <w:p>
            <w:pPr>
              <w:spacing w:after="20"/>
            </w:pPr>
            <w:r>
              <w:rPr>
                <w:sz w:val="17"/>
              </w:rPr>
              <w:t>Tampering</w:t>
            </w:r>
          </w:p>
        </w:tc>
        <w:tc>
          <w:tcPr>
            <w:tcW w:type="dxa" w:w="2736"/>
          </w:tcPr>
          <w:p>
            <w:pPr>
              <w:spacing w:after="20"/>
            </w:pPr>
            <w:r>
              <w:rPr>
                <w:sz w:val="17"/>
              </w:rPr>
              <w:t>Audit rows edited; amount changed between notice and payment; injected notice</w:t>
            </w:r>
          </w:p>
        </w:tc>
        <w:tc>
          <w:tcPr>
            <w:tcW w:type="dxa" w:w="3744"/>
          </w:tcPr>
          <w:p>
            <w:pPr>
              <w:spacing w:after="20"/>
            </w:pPr>
            <w:r>
              <w:rPr>
                <w:sz w:val="17"/>
              </w:rPr>
              <w:t xml:space="preserve">SHA-256 chain with </w:t>
            </w:r>
            <w:r>
              <w:rPr>
                <w:rFonts w:ascii="Consolas" w:hAnsi="Consolas" w:eastAsia="Consolas"/>
                <w:color w:val="1F3A8A"/>
                <w:sz w:val="17"/>
              </w:rPr>
              <w:t>broken_at_seq</w:t>
            </w:r>
            <w:r>
              <w:rPr>
                <w:sz w:val="17"/>
              </w:rPr>
              <w:t xml:space="preserve">; amount must match confirmed obligation; </w:t>
            </w:r>
            <w:r>
              <w:rPr>
                <w:rFonts w:ascii="Consolas" w:hAnsi="Consolas" w:eastAsia="Consolas"/>
                <w:color w:val="1F3A8A"/>
                <w:sz w:val="17"/>
              </w:rPr>
              <w:t>&lt;untrusted&gt;</w:t>
            </w:r>
            <w:r>
              <w:rPr>
                <w:sz w:val="17"/>
              </w:rPr>
              <w:t xml:space="preserve"> + T4</w:t>
            </w:r>
          </w:p>
        </w:tc>
        <w:tc>
          <w:tcPr>
            <w:tcW w:type="dxa" w:w="1296"/>
          </w:tcPr>
          <w:p>
            <w:pPr>
              <w:spacing w:after="20"/>
            </w:pPr>
            <w:r>
              <w:rPr>
                <w:sz w:val="17"/>
              </w:rPr>
              <w:t>A01, A09, A11, A14</w:t>
            </w:r>
          </w:p>
        </w:tc>
      </w:tr>
      <w:tr>
        <w:tc>
          <w:tcPr>
            <w:tcW w:type="dxa" w:w="1584"/>
          </w:tcPr>
          <w:p>
            <w:pPr>
              <w:spacing w:after="20"/>
            </w:pPr>
            <w:r>
              <w:rPr>
                <w:sz w:val="17"/>
              </w:rPr>
              <w:t>Repudiation</w:t>
            </w:r>
          </w:p>
        </w:tc>
        <w:tc>
          <w:tcPr>
            <w:tcW w:type="dxa" w:w="2736"/>
          </w:tcPr>
          <w:p>
            <w:pPr>
              <w:spacing w:after="20"/>
            </w:pPr>
            <w:r>
              <w:rPr>
                <w:sz w:val="17"/>
              </w:rPr>
              <w:t>"I never approved that"</w:t>
            </w:r>
          </w:p>
        </w:tc>
        <w:tc>
          <w:tcPr>
            <w:tcW w:type="dxa" w:w="3744"/>
          </w:tcPr>
          <w:p>
            <w:pPr>
              <w:spacing w:after="20"/>
            </w:pPr>
            <w:r>
              <w:rPr>
                <w:sz w:val="17"/>
              </w:rPr>
              <w:t>Every approval audit-logged with actor; two-person T3</w:t>
            </w:r>
          </w:p>
        </w:tc>
        <w:tc>
          <w:tcPr>
            <w:tcW w:type="dxa" w:w="1296"/>
          </w:tcPr>
          <w:p>
            <w:pPr>
              <w:spacing w:after="20"/>
            </w:pPr>
            <w:r>
              <w:rPr>
                <w:sz w:val="17"/>
              </w:rPr>
              <w:t>A05, A09</w:t>
            </w:r>
          </w:p>
        </w:tc>
      </w:tr>
      <w:tr>
        <w:tc>
          <w:tcPr>
            <w:tcW w:type="dxa" w:w="1584"/>
          </w:tcPr>
          <w:p>
            <w:pPr>
              <w:spacing w:after="20"/>
            </w:pPr>
            <w:r>
              <w:rPr>
                <w:sz w:val="17"/>
              </w:rPr>
              <w:t>Information disclosure</w:t>
            </w:r>
          </w:p>
        </w:tc>
        <w:tc>
          <w:tcPr>
            <w:tcW w:type="dxa" w:w="2736"/>
          </w:tcPr>
          <w:p>
            <w:pPr>
              <w:spacing w:after="20"/>
            </w:pPr>
            <w:r>
              <w:rPr>
                <w:sz w:val="17"/>
              </w:rPr>
              <w:t>IDOR; PII in logs/audit/DB; bulk export</w:t>
            </w:r>
          </w:p>
        </w:tc>
        <w:tc>
          <w:tcPr>
            <w:tcW w:type="dxa" w:w="3744"/>
          </w:tcPr>
          <w:p>
            <w:pPr>
              <w:spacing w:after="20"/>
            </w:pPr>
            <w:r>
              <w:rPr>
                <w:sz w:val="17"/>
              </w:rPr>
              <w:t>Owner scoping, 404s, redaction, AES-GCM, bulk export T4</w:t>
            </w:r>
          </w:p>
        </w:tc>
        <w:tc>
          <w:tcPr>
            <w:tcW w:type="dxa" w:w="1296"/>
          </w:tcPr>
          <w:p>
            <w:pPr>
              <w:spacing w:after="20"/>
            </w:pPr>
            <w:r>
              <w:rPr>
                <w:sz w:val="17"/>
              </w:rPr>
              <w:t>A07, A10, A12, A16</w:t>
            </w:r>
          </w:p>
        </w:tc>
      </w:tr>
      <w:tr>
        <w:tc>
          <w:tcPr>
            <w:tcW w:type="dxa" w:w="1584"/>
          </w:tcPr>
          <w:p>
            <w:pPr>
              <w:spacing w:after="20"/>
            </w:pPr>
            <w:r>
              <w:rPr>
                <w:sz w:val="17"/>
              </w:rPr>
              <w:t>Denial of service</w:t>
            </w:r>
          </w:p>
        </w:tc>
        <w:tc>
          <w:tcPr>
            <w:tcW w:type="dxa" w:w="2736"/>
          </w:tcPr>
          <w:p>
            <w:pPr>
              <w:spacing w:after="20"/>
            </w:pPr>
            <w:r>
              <w:rPr>
                <w:sz w:val="17"/>
              </w:rPr>
              <w:t>Flooding, credential stuffing, large uploads</w:t>
            </w:r>
          </w:p>
        </w:tc>
        <w:tc>
          <w:tcPr>
            <w:tcW w:type="dxa" w:w="3744"/>
          </w:tcPr>
          <w:p>
            <w:pPr>
              <w:spacing w:after="20"/>
            </w:pPr>
            <w:r>
              <w:rPr>
                <w:sz w:val="17"/>
              </w:rPr>
              <w:t>Rate limiter, size caps, TOTP lockout</w:t>
            </w:r>
          </w:p>
        </w:tc>
        <w:tc>
          <w:tcPr>
            <w:tcW w:type="dxa" w:w="1296"/>
          </w:tcPr>
          <w:p>
            <w:pPr>
              <w:spacing w:after="20"/>
            </w:pPr>
            <w:r>
              <w:rPr>
                <w:sz w:val="17"/>
              </w:rPr>
              <w:t>A06, A17</w:t>
            </w:r>
          </w:p>
        </w:tc>
      </w:tr>
      <w:tr>
        <w:tc>
          <w:tcPr>
            <w:tcW w:type="dxa" w:w="1584"/>
          </w:tcPr>
          <w:p>
            <w:pPr>
              <w:spacing w:after="20"/>
            </w:pPr>
            <w:r>
              <w:rPr>
                <w:sz w:val="17"/>
              </w:rPr>
              <w:t>Elevation of privilege</w:t>
            </w:r>
          </w:p>
        </w:tc>
        <w:tc>
          <w:tcPr>
            <w:tcW w:type="dxa" w:w="2736"/>
          </w:tcPr>
          <w:p>
            <w:pPr>
              <w:spacing w:after="20"/>
            </w:pPr>
            <w:r>
              <w:rPr>
                <w:sz w:val="17"/>
              </w:rPr>
              <w:t>Executor reached without authorisation; structuring under CNY 2,000</w:t>
            </w:r>
          </w:p>
        </w:tc>
        <w:tc>
          <w:tcPr>
            <w:tcW w:type="dxa" w:w="3744"/>
          </w:tcPr>
          <w:p>
            <w:pPr>
              <w:spacing w:after="20"/>
            </w:pPr>
            <w:r>
              <w:rPr>
                <w:sz w:val="17"/>
              </w:rPr>
              <w:t>Executor accepts ALLOW only; 24 h aggregate → T3</w:t>
            </w:r>
          </w:p>
        </w:tc>
        <w:tc>
          <w:tcPr>
            <w:tcW w:type="dxa" w:w="1296"/>
          </w:tcPr>
          <w:p>
            <w:pPr>
              <w:spacing w:after="20"/>
            </w:pPr>
            <w:r>
              <w:rPr>
                <w:sz w:val="17"/>
              </w:rPr>
              <w:t>A04, A13, A14</w:t>
            </w:r>
          </w:p>
        </w:tc>
      </w:tr>
      <w:tr>
        <w:tc>
          <w:tcPr>
            <w:tcW w:type="dxa" w:w="1584"/>
          </w:tcPr>
          <w:p>
            <w:pPr>
              <w:spacing w:after="20"/>
            </w:pPr>
            <w:r>
              <w:rPr>
                <w:sz w:val="17"/>
              </w:rPr>
              <w:t>Misinformation</w:t>
            </w:r>
          </w:p>
        </w:tc>
        <w:tc>
          <w:tcPr>
            <w:tcW w:type="dxa" w:w="2736"/>
          </w:tcPr>
          <w:p>
            <w:pPr>
              <w:spacing w:after="20"/>
            </w:pPr>
            <w:r>
              <w:rPr>
                <w:sz w:val="17"/>
              </w:rPr>
              <w:t>Hallucinated numbers in replies</w:t>
            </w:r>
          </w:p>
        </w:tc>
        <w:tc>
          <w:tcPr>
            <w:tcW w:type="dxa" w:w="3744"/>
          </w:tcPr>
          <w:p>
            <w:pPr>
              <w:spacing w:after="20"/>
            </w:pPr>
            <w:r>
              <w:rPr>
                <w:sz w:val="17"/>
              </w:rPr>
              <w:t>Reply validator with safe fallback</w:t>
            </w:r>
          </w:p>
        </w:tc>
        <w:tc>
          <w:tcPr>
            <w:tcW w:type="dxa" w:w="1296"/>
          </w:tcPr>
          <w:p>
            <w:pPr>
              <w:spacing w:after="20"/>
            </w:pPr>
            <w:r>
              <w:rPr>
                <w:sz w:val="17"/>
              </w:rPr>
              <w:t>A15</w:t>
            </w:r>
          </w:p>
        </w:tc>
      </w:tr>
    </w:tbl>
    <w:p>
      <w:pPr>
        <w:spacing w:after="40"/>
        <w:ind w:left="317"/>
      </w:pPr>
    </w:p>
    <w:p>
      <w:pPr>
        <w:pStyle w:val="Heading1"/>
      </w:pPr>
      <w:r>
        <w:t>05 Deployment and Testing</w:t>
      </w:r>
    </w:p>
    <w:p>
      <w:pPr>
        <w:pStyle w:val="ListBullet"/>
        <w:spacing w:after="100"/>
      </w:pPr>
      <w:r>
        <w:t>Environment, deployment instructions, test cases and known limitations</w:t>
      </w:r>
    </w:p>
    <w:p>
      <w:pPr>
        <w:keepNext/>
        <w:spacing w:after="60" w:before="120"/>
        <w:ind w:left="317"/>
      </w:pPr>
      <w:r>
        <w:rPr>
          <w:b/>
          <w:color w:val="315FD8"/>
        </w:rPr>
        <w:t>Environment</w:t>
      </w:r>
    </w:p>
    <w:p>
      <w:pPr>
        <w:spacing w:after="120"/>
        <w:ind w:left="317"/>
      </w:pPr>
      <w:r>
        <w:t>Node 20+ (</w:t>
      </w:r>
      <w:r>
        <w:rPr>
          <w:rFonts w:ascii="Consolas" w:hAnsi="Consolas" w:eastAsia="Consolas"/>
          <w:color w:val="1F3A8A"/>
        </w:rPr>
        <w:t>.nvmrc</w:t>
      </w:r>
      <w:r>
        <w:t xml:space="preserve">: 20). No API keys or network access are needed. Every </w:t>
      </w:r>
      <w:r>
        <w:rPr>
          <w:rFonts w:ascii="Consolas" w:hAnsi="Consolas" w:eastAsia="Consolas"/>
          <w:color w:val="1F3A8A"/>
        </w:rPr>
        <w:t>make</w:t>
      </w:r>
      <w:r>
        <w:t xml:space="preserve"> target wraps </w:t>
      </w:r>
      <w:r>
        <w:rPr>
          <w:rFonts w:ascii="Consolas" w:hAnsi="Consolas" w:eastAsia="Consolas"/>
          <w:color w:val="1F3A8A"/>
        </w:rPr>
        <w:t>cd server &amp;&amp; npm run …</w:t>
      </w:r>
      <w:r>
        <w:t>.</w:t>
      </w:r>
    </w:p>
    <w:p>
      <w:pPr>
        <w:keepNext/>
        <w:spacing w:after="60" w:before="120"/>
        <w:ind w:left="317"/>
      </w:pPr>
      <w:r>
        <w:rPr>
          <w:b/>
          <w:color w:val="315FD8"/>
        </w:rPr>
        <w:t>Deployment</w:t>
      </w:r>
    </w:p>
    <w:p>
      <w:pPr>
        <w:spacing w:after="0" w:before="0" w:line="240" w:lineRule="auto"/>
        <w:ind w:left="317"/>
        <w:shd w:val="clear" w:color="auto" w:fill="F3F5F9"/>
      </w:pPr>
      <w:r>
        <w:rPr>
          <w:rFonts w:ascii="Consolas" w:hAnsi="Consolas" w:eastAsia="Consolas"/>
          <w:sz w:val="17"/>
        </w:rPr>
        <w:t>git clone https://github.com/Zul-Qarnain/setu-fintechathon &amp;&amp; cd setu-fintechathon</w:t>
      </w:r>
    </w:p>
    <w:p>
      <w:pPr>
        <w:spacing w:after="0" w:before="0" w:line="240" w:lineRule="auto"/>
        <w:ind w:left="317"/>
        <w:shd w:val="clear" w:color="auto" w:fill="F3F5F9"/>
      </w:pPr>
      <w:r>
        <w:rPr>
          <w:rFonts w:ascii="Consolas" w:hAnsi="Consolas" w:eastAsia="Consolas"/>
          <w:sz w:val="17"/>
        </w:rPr>
        <w:t>make install          # npm ci (server) + npm install (web)</w:t>
      </w:r>
    </w:p>
    <w:p>
      <w:pPr>
        <w:spacing w:after="0" w:before="0" w:line="240" w:lineRule="auto"/>
        <w:ind w:left="317"/>
        <w:shd w:val="clear" w:color="auto" w:fill="F3F5F9"/>
      </w:pPr>
      <w:r>
        <w:rPr>
          <w:rFonts w:ascii="Consolas" w:hAnsi="Consolas" w:eastAsia="Consolas"/>
          <w:sz w:val="17"/>
        </w:rPr>
        <w:t>make demo             # scripted end-to-end scenario -&gt; evidence/ (prints audit head_hash)</w:t>
      </w:r>
    </w:p>
    <w:p>
      <w:pPr>
        <w:spacing w:after="0" w:before="0" w:line="240" w:lineRule="auto"/>
        <w:ind w:left="317"/>
        <w:shd w:val="clear" w:color="auto" w:fill="F3F5F9"/>
      </w:pPr>
      <w:r>
        <w:rPr>
          <w:rFonts w:ascii="Consolas" w:hAnsi="Consolas" w:eastAsia="Consolas"/>
          <w:sz w:val="17"/>
        </w:rPr>
        <w:t>make api              # API on http://localhost:8000 (DEMO_MODE=true for the judges' demo)</w:t>
      </w:r>
    </w:p>
    <w:p>
      <w:pPr>
        <w:spacing w:after="0" w:before="0" w:line="240" w:lineRule="auto"/>
        <w:ind w:left="317"/>
        <w:shd w:val="clear" w:color="auto" w:fill="F3F5F9"/>
      </w:pPr>
      <w:r>
        <w:rPr>
          <w:rFonts w:ascii="Consolas" w:hAnsi="Consolas" w:eastAsia="Consolas"/>
          <w:sz w:val="17"/>
        </w:rPr>
        <w:t>make web              # Next.js UI on http://localhost:3000</w:t>
      </w:r>
    </w:p>
    <w:p>
      <w:pPr>
        <w:spacing w:after="0" w:before="0" w:line="240" w:lineRule="auto"/>
        <w:ind w:left="317"/>
        <w:shd w:val="clear" w:color="auto" w:fill="F3F5F9"/>
      </w:pPr>
      <w:r>
        <w:rPr>
          <w:rFonts w:ascii="Consolas" w:hAnsi="Consolas" w:eastAsia="Consolas"/>
          <w:sz w:val="17"/>
        </w:rPr>
        <w:t># Docker alternative:  docker compose up --build   (api :8000, web :3000, offline, no keys)</w:t>
      </w:r>
    </w:p>
    <w:p>
      <w:pPr>
        <w:spacing w:after="80"/>
        <w:ind w:left="317"/>
      </w:pPr>
    </w:p>
    <w:p>
      <w:pPr>
        <w:spacing w:after="120"/>
        <w:ind w:left="317"/>
      </w:pPr>
      <w:r>
        <w:t>Configuration (</w:t>
      </w:r>
      <w:r>
        <w:rPr>
          <w:rFonts w:ascii="Consolas" w:hAnsi="Consolas" w:eastAsia="Consolas"/>
          <w:color w:val="1F3A8A"/>
        </w:rPr>
        <w:t>.env.example</w:t>
      </w:r>
      <w:r>
        <w:t xml:space="preserve">, validated by Zod): </w:t>
      </w:r>
      <w:r>
        <w:rPr>
          <w:rFonts w:ascii="Consolas" w:hAnsi="Consolas" w:eastAsia="Consolas"/>
          <w:color w:val="1F3A8A"/>
        </w:rPr>
        <w:t>ALLOW_OFFLINE</w:t>
      </w:r>
      <w:r>
        <w:t xml:space="preserve">, </w:t>
      </w:r>
      <w:r>
        <w:rPr>
          <w:rFonts w:ascii="Consolas" w:hAnsi="Consolas" w:eastAsia="Consolas"/>
          <w:color w:val="1F3A8A"/>
        </w:rPr>
        <w:t>LLM_PROVIDER</w:t>
      </w:r>
      <w:r>
        <w:t xml:space="preserve"> (scripted by default), </w:t>
      </w:r>
      <w:r>
        <w:rPr>
          <w:rFonts w:ascii="Consolas" w:hAnsi="Consolas" w:eastAsia="Consolas"/>
          <w:color w:val="1F3A8A"/>
        </w:rPr>
        <w:t>FX_MODE</w:t>
      </w:r>
      <w:r>
        <w:t xml:space="preserve"> (fixture by default), </w:t>
      </w:r>
      <w:r>
        <w:rPr>
          <w:rFonts w:ascii="Consolas" w:hAnsi="Consolas" w:eastAsia="Consolas"/>
          <w:color w:val="1F3A8A"/>
        </w:rPr>
        <w:t>DEMO_MODE</w:t>
      </w:r>
      <w:r>
        <w:t xml:space="preserve">, </w:t>
      </w:r>
      <w:r>
        <w:rPr>
          <w:rFonts w:ascii="Consolas" w:hAnsi="Consolas" w:eastAsia="Consolas"/>
          <w:color w:val="1F3A8A"/>
        </w:rPr>
        <w:t>JWT_SECRET</w:t>
      </w:r>
      <w:r>
        <w:t xml:space="preserve">, </w:t>
      </w:r>
      <w:r>
        <w:rPr>
          <w:rFonts w:ascii="Consolas" w:hAnsi="Consolas" w:eastAsia="Consolas"/>
          <w:color w:val="1F3A8A"/>
        </w:rPr>
        <w:t>HMAC_KEY</w:t>
      </w:r>
      <w:r>
        <w:t xml:space="preserve">, </w:t>
      </w:r>
      <w:r>
        <w:rPr>
          <w:rFonts w:ascii="Consolas" w:hAnsi="Consolas" w:eastAsia="Consolas"/>
          <w:color w:val="1F3A8A"/>
        </w:rPr>
        <w:t>AES_KEY_B64</w:t>
      </w:r>
      <w:r>
        <w:t xml:space="preserve">, </w:t>
      </w:r>
      <w:r>
        <w:rPr>
          <w:rFonts w:ascii="Consolas" w:hAnsi="Consolas" w:eastAsia="Consolas"/>
          <w:color w:val="1F3A8A"/>
        </w:rPr>
        <w:t>DATABASE_URL</w:t>
      </w:r>
      <w:r>
        <w:t xml:space="preserve">, </w:t>
      </w:r>
      <w:r>
        <w:rPr>
          <w:rFonts w:ascii="Consolas" w:hAnsi="Consolas" w:eastAsia="Consolas"/>
          <w:color w:val="1F3A8A"/>
        </w:rPr>
        <w:t>CORS_ORIGINS</w:t>
      </w:r>
      <w:r>
        <w:t xml:space="preserve">, </w:t>
      </w:r>
      <w:r>
        <w:rPr>
          <w:rFonts w:ascii="Consolas" w:hAnsi="Consolas" w:eastAsia="Consolas"/>
          <w:color w:val="1F3A8A"/>
        </w:rPr>
        <w:t>RATE_LIMIT_PER_MINUTE</w:t>
      </w:r>
      <w:r>
        <w:t xml:space="preserve">, </w:t>
      </w:r>
      <w:r>
        <w:rPr>
          <w:rFonts w:ascii="Consolas" w:hAnsi="Consolas" w:eastAsia="Consolas"/>
          <w:color w:val="1F3A8A"/>
        </w:rPr>
        <w:t>T2_CAP_CNY</w:t>
      </w:r>
      <w:r>
        <w:t xml:space="preserve">, </w:t>
      </w:r>
      <w:r>
        <w:rPr>
          <w:rFonts w:ascii="Consolas" w:hAnsi="Consolas" w:eastAsia="Consolas"/>
          <w:color w:val="1F3A8A"/>
        </w:rPr>
        <w:t>COOLING_OFF_HOURS</w:t>
      </w:r>
      <w:r>
        <w:t xml:space="preserve">, </w:t>
      </w:r>
      <w:r>
        <w:rPr>
          <w:rFonts w:ascii="Consolas" w:hAnsi="Consolas" w:eastAsia="Consolas"/>
          <w:color w:val="1F3A8A"/>
        </w:rPr>
        <w:t>TOTP_MAX_FAILURES</w:t>
      </w:r>
      <w:r>
        <w:t xml:space="preserve">, </w:t>
      </w:r>
      <w:r>
        <w:rPr>
          <w:rFonts w:ascii="Consolas" w:hAnsi="Consolas" w:eastAsia="Consolas"/>
          <w:color w:val="1F3A8A"/>
        </w:rPr>
        <w:t>TOTP_LOCK_SECONDS</w:t>
      </w:r>
      <w:r>
        <w:t xml:space="preserve">. Production checklist: </w:t>
      </w:r>
      <w:r>
        <w:rPr>
          <w:rFonts w:ascii="Consolas" w:hAnsi="Consolas" w:eastAsia="Consolas"/>
          <w:color w:val="1F3A8A"/>
        </w:rPr>
        <w:t>NODE_ENV=production</w:t>
      </w:r>
      <w:r>
        <w:t xml:space="preserve">, </w:t>
      </w:r>
      <w:r>
        <w:rPr>
          <w:rFonts w:ascii="Consolas" w:hAnsi="Consolas" w:eastAsia="Consolas"/>
          <w:color w:val="1F3A8A"/>
        </w:rPr>
        <w:t>DEMO_MODE=false</w:t>
      </w:r>
      <w:r>
        <w:t xml:space="preserve">, fresh secrets, TLS at a reverse proxy, restricted CORS, persistent and backed-up SQLite volume, periodic publication of the audit </w:t>
      </w:r>
      <w:r>
        <w:rPr>
          <w:rFonts w:ascii="Consolas" w:hAnsi="Consolas" w:eastAsia="Consolas"/>
          <w:color w:val="1F3A8A"/>
        </w:rPr>
        <w:t>head_hash</w:t>
      </w:r>
      <w:r>
        <w:t xml:space="preserve">. Demo personas (SYNTHETIC, password </w:t>
      </w:r>
      <w:r>
        <w:rPr>
          <w:rFonts w:ascii="Consolas" w:hAnsi="Consolas" w:eastAsia="Consolas"/>
          <w:color w:val="1F3A8A"/>
        </w:rPr>
        <w:t>demo-password-123</w:t>
      </w:r>
      <w:r>
        <w:t xml:space="preserve">): </w:t>
      </w:r>
      <w:r>
        <w:rPr>
          <w:rFonts w:ascii="Consolas" w:hAnsi="Consolas" w:eastAsia="Consolas"/>
          <w:color w:val="1F3A8A"/>
        </w:rPr>
        <w:t>aisha@demo.setu.test</w:t>
      </w:r>
      <w:r>
        <w:t xml:space="preserve"> (student), </w:t>
      </w:r>
      <w:r>
        <w:rPr>
          <w:rFonts w:ascii="Consolas" w:hAnsi="Consolas" w:eastAsia="Consolas"/>
          <w:color w:val="1F3A8A"/>
        </w:rPr>
        <w:t>father.rahman@demo.setu.test</w:t>
      </w:r>
      <w:r>
        <w:t xml:space="preserve"> (family approver), </w:t>
      </w:r>
      <w:r>
        <w:rPr>
          <w:rFonts w:ascii="Consolas" w:hAnsi="Consolas" w:eastAsia="Consolas"/>
          <w:color w:val="1F3A8A"/>
        </w:rPr>
        <w:t>admin@demo.setu.test</w:t>
      </w:r>
      <w:r>
        <w:t xml:space="preserve"> (read-only).</w:t>
      </w:r>
    </w:p>
    <w:p>
      <w:pPr>
        <w:keepNext/>
        <w:spacing w:after="60" w:before="120"/>
        <w:ind w:left="317"/>
      </w:pPr>
      <w:r>
        <w:rPr>
          <w:b/>
          <w:color w:val="315FD8"/>
        </w:rPr>
        <w:t>Test cases</w:t>
      </w:r>
    </w:p>
    <w:p>
      <w:pPr>
        <w:spacing w:after="0" w:before="0" w:line="240" w:lineRule="auto"/>
        <w:ind w:left="317"/>
        <w:shd w:val="clear" w:color="auto" w:fill="F3F5F9"/>
      </w:pPr>
      <w:r>
        <w:rPr>
          <w:rFonts w:ascii="Consolas" w:hAnsi="Consolas" w:eastAsia="Consolas"/>
          <w:sz w:val="17"/>
        </w:rPr>
        <w:t>make lint        # eslint + tsc --noEmit</w:t>
      </w:r>
    </w:p>
    <w:p>
      <w:pPr>
        <w:spacing w:after="0" w:before="0" w:line="240" w:lineRule="auto"/>
        <w:ind w:left="317"/>
        <w:shd w:val="clear" w:color="auto" w:fill="F3F5F9"/>
      </w:pPr>
      <w:r>
        <w:rPr>
          <w:rFonts w:ascii="Consolas" w:hAnsi="Consolas" w:eastAsia="Consolas"/>
          <w:sz w:val="17"/>
        </w:rPr>
        <w:t>make test        # vitest: unit, pinned reference vectors, API, golden, security, parity</w:t>
      </w:r>
    </w:p>
    <w:p>
      <w:pPr>
        <w:spacing w:after="0" w:before="0" w:line="240" w:lineRule="auto"/>
        <w:ind w:left="317"/>
        <w:shd w:val="clear" w:color="auto" w:fill="F3F5F9"/>
      </w:pPr>
      <w:r>
        <w:rPr>
          <w:rFonts w:ascii="Consolas" w:hAnsi="Consolas" w:eastAsia="Consolas"/>
          <w:sz w:val="17"/>
        </w:rPr>
        <w:t>make evidence    # tests + demo + golden tasks, notice corpus and attacks -&gt; evidence/*.md</w:t>
      </w:r>
    </w:p>
    <w:p>
      <w:pPr>
        <w:spacing w:after="80"/>
        <w:ind w:left="317"/>
      </w:pP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2304"/>
        <w:gridCol w:w="7056"/>
      </w:tblGrid>
      <w:tr>
        <w:trPr>
          <w:tblHeader w:val="true"/>
        </w:trPr>
        <w:tc>
          <w:tcPr>
            <w:tcW w:type="dxa" w:w="2304"/>
            <w:shd w:val="clear" w:color="auto" w:fill="EEF3FF"/>
          </w:tcPr>
          <w:p>
            <w:pPr>
              <w:spacing w:after="20"/>
            </w:pPr>
            <w:r>
              <w:rPr>
                <w:b/>
                <w:sz w:val="17"/>
              </w:rPr>
              <w:t>Suite (`server/tests/`)</w:t>
            </w:r>
          </w:p>
        </w:tc>
        <w:tc>
          <w:tcPr>
            <w:tcW w:type="dxa" w:w="7056"/>
            <w:shd w:val="clear" w:color="auto" w:fill="EEF3FF"/>
          </w:tcPr>
          <w:p>
            <w:pPr>
              <w:spacing w:after="20"/>
            </w:pPr>
            <w:r>
              <w:rPr>
                <w:b/>
                <w:sz w:val="17"/>
              </w:rPr>
              <w:t>Covers</w:t>
            </w:r>
          </w:p>
        </w:tc>
      </w:tr>
      <w:tr>
        <w:tc>
          <w:tcPr>
            <w:tcW w:type="dxa" w:w="2304"/>
          </w:tcPr>
          <w:p>
            <w:pPr>
              <w:spacing w:after="20"/>
            </w:pPr>
            <w:r>
              <w:rPr>
                <w:rFonts w:ascii="Consolas" w:hAnsi="Consolas" w:eastAsia="Consolas"/>
                <w:color w:val="1F3A8A"/>
                <w:sz w:val="17"/>
              </w:rPr>
              <w:t>unit/</w:t>
            </w:r>
          </w:p>
        </w:tc>
        <w:tc>
          <w:tcPr>
            <w:tcW w:type="dxa" w:w="7056"/>
          </w:tcPr>
          <w:p>
            <w:pPr>
              <w:spacing w:after="20"/>
            </w:pPr>
            <w:r>
              <w:rPr>
                <w:sz w:val="17"/>
              </w:rPr>
              <w:t>policy and policy differential vectors, agent vectors, audit and audit store, crypto/tokenise, FX/costs/budget, ledger, reply validator, JWT/TOTP, hardening</w:t>
            </w:r>
          </w:p>
        </w:tc>
      </w:tr>
      <w:tr>
        <w:tc>
          <w:tcPr>
            <w:tcW w:type="dxa" w:w="2304"/>
          </w:tcPr>
          <w:p>
            <w:pPr>
              <w:spacing w:after="20"/>
            </w:pPr>
            <w:r>
              <w:rPr>
                <w:rFonts w:ascii="Consolas" w:hAnsi="Consolas" w:eastAsia="Consolas"/>
                <w:color w:val="1F3A8A"/>
                <w:sz w:val="17"/>
              </w:rPr>
              <w:t>api/</w:t>
            </w:r>
          </w:p>
        </w:tc>
        <w:tc>
          <w:tcPr>
            <w:tcW w:type="dxa" w:w="7056"/>
          </w:tcPr>
          <w:p>
            <w:pPr>
              <w:spacing w:after="20"/>
            </w:pPr>
            <w:r>
              <w:rPr>
                <w:rFonts w:ascii="Consolas" w:hAnsi="Consolas" w:eastAsia="Consolas"/>
                <w:color w:val="1F3A8A"/>
                <w:sz w:val="17"/>
              </w:rPr>
              <w:t>fastify.inject()</w:t>
            </w:r>
            <w:r>
              <w:rPr>
                <w:sz w:val="17"/>
              </w:rPr>
              <w:t xml:space="preserve"> tests: auth &amp; payees, documents, chat, actions, audit/evidence/sandbox, seed, security/authz (401 on protected routes, </w:t>
            </w:r>
            <w:r>
              <w:rPr>
                <w:rFonts w:ascii="Consolas" w:hAnsi="Consolas" w:eastAsia="Consolas"/>
                <w:color w:val="1F3A8A"/>
                <w:sz w:val="17"/>
              </w:rPr>
              <w:t>alg=none</w:t>
            </w:r>
            <w:r>
              <w:rPr>
                <w:sz w:val="17"/>
              </w:rPr>
              <w:t>, IDOR, self-approval, demo-route gating, TOTP lockout, headers, CORS, malformed input)</w:t>
            </w:r>
          </w:p>
        </w:tc>
      </w:tr>
      <w:tr>
        <w:tc>
          <w:tcPr>
            <w:tcW w:type="dxa" w:w="2304"/>
          </w:tcPr>
          <w:p>
            <w:pPr>
              <w:spacing w:after="20"/>
            </w:pPr>
            <w:r>
              <w:rPr>
                <w:rFonts w:ascii="Consolas" w:hAnsi="Consolas" w:eastAsia="Consolas"/>
                <w:color w:val="1F3A8A"/>
                <w:sz w:val="17"/>
              </w:rPr>
              <w:t>golden/</w:t>
            </w:r>
          </w:p>
        </w:tc>
        <w:tc>
          <w:tcPr>
            <w:tcW w:type="dxa" w:w="7056"/>
          </w:tcPr>
          <w:p>
            <w:pPr>
              <w:spacing w:after="20"/>
            </w:pPr>
            <w:r>
              <w:rPr>
                <w:sz w:val="17"/>
              </w:rPr>
              <w:t xml:space="preserve">the 25 golden tasks in </w:t>
            </w:r>
            <w:r>
              <w:rPr>
                <w:rFonts w:ascii="Consolas" w:hAnsi="Consolas" w:eastAsia="Consolas"/>
                <w:color w:val="1F3A8A"/>
                <w:sz w:val="17"/>
              </w:rPr>
              <w:t>server/eval/tasks.yaml</w:t>
            </w:r>
          </w:p>
        </w:tc>
      </w:tr>
      <w:tr>
        <w:tc>
          <w:tcPr>
            <w:tcW w:type="dxa" w:w="2304"/>
          </w:tcPr>
          <w:p>
            <w:pPr>
              <w:spacing w:after="20"/>
            </w:pPr>
            <w:r>
              <w:rPr>
                <w:rFonts w:ascii="Consolas" w:hAnsi="Consolas" w:eastAsia="Consolas"/>
                <w:color w:val="1F3A8A"/>
                <w:sz w:val="17"/>
              </w:rPr>
              <w:t>security/</w:t>
            </w:r>
          </w:p>
        </w:tc>
        <w:tc>
          <w:tcPr>
            <w:tcW w:type="dxa" w:w="7056"/>
          </w:tcPr>
          <w:p>
            <w:pPr>
              <w:spacing w:after="20"/>
            </w:pPr>
            <w:r>
              <w:rPr>
                <w:sz w:val="17"/>
              </w:rPr>
              <w:t>the 17 attack scenarios and ReDoS tests</w:t>
            </w:r>
          </w:p>
        </w:tc>
      </w:tr>
      <w:tr>
        <w:tc>
          <w:tcPr>
            <w:tcW w:type="dxa" w:w="2304"/>
          </w:tcPr>
          <w:p>
            <w:pPr>
              <w:spacing w:after="20"/>
            </w:pPr>
            <w:r>
              <w:rPr>
                <w:rFonts w:ascii="Consolas" w:hAnsi="Consolas" w:eastAsia="Consolas"/>
                <w:color w:val="1F3A8A"/>
                <w:sz w:val="17"/>
              </w:rPr>
              <w:t>parity/</w:t>
            </w:r>
          </w:p>
        </w:tc>
        <w:tc>
          <w:tcPr>
            <w:tcW w:type="dxa" w:w="7056"/>
          </w:tcPr>
          <w:p>
            <w:pPr>
              <w:spacing w:after="20"/>
            </w:pPr>
            <w:r>
              <w:rPr>
                <w:sz w:val="17"/>
              </w:rPr>
              <w:t>replay of the recorded reference demo transcript</w:t>
            </w:r>
          </w:p>
        </w:tc>
      </w:tr>
    </w:tbl>
    <w:p>
      <w:pPr>
        <w:spacing w:after="40"/>
        <w:ind w:left="317"/>
      </w:pPr>
    </w:p>
    <w:p>
      <w:pPr>
        <w:spacing w:after="120"/>
        <w:ind w:left="317"/>
      </w:pPr>
      <w:r>
        <w:t>Latest run (</w:t>
      </w:r>
      <w:r>
        <w:rPr>
          <w:rFonts w:ascii="Consolas" w:hAnsi="Consolas" w:eastAsia="Consolas"/>
          <w:color w:val="1F3A8A"/>
        </w:rPr>
        <w:t>npx vitest run</w:t>
      </w:r>
      <w:r>
        <w:t xml:space="preserve">, 19 Oct 2026): </w:t>
      </w:r>
      <w:r>
        <w:rPr>
          <w:b/>
        </w:rPr>
        <w:t>24 test files, 524 tests passed.</w:t>
      </w:r>
      <w:r>
        <w:t xml:space="preserve"> CI (</w:t>
      </w:r>
      <w:r>
        <w:rPr>
          <w:rFonts w:ascii="Consolas" w:hAnsi="Consolas" w:eastAsia="Consolas"/>
          <w:color w:val="1F3A8A"/>
        </w:rPr>
        <w:t>.github/workflows/ci-ts.yml</w:t>
      </w:r>
      <w:r>
        <w:t xml:space="preserve">) runs install, lint, typecheck, tests and build on Node 20. Web: lint, </w:t>
      </w:r>
      <w:r>
        <w:rPr>
          <w:rFonts w:ascii="Consolas" w:hAnsi="Consolas" w:eastAsia="Consolas"/>
          <w:color w:val="1F3A8A"/>
        </w:rPr>
        <w:t>tsc --noEmit</w:t>
      </w:r>
      <w:r>
        <w:t xml:space="preserve">, vitest unit tests, </w:t>
      </w:r>
      <w:r>
        <w:rPr>
          <w:rFonts w:ascii="Consolas" w:hAnsi="Consolas" w:eastAsia="Consolas"/>
          <w:color w:val="1F3A8A"/>
        </w:rPr>
        <w:t>next build</w:t>
      </w:r>
      <w:r>
        <w:t xml:space="preserve"> and a Playwright smoke suite against the real backend.</w:t>
      </w:r>
    </w:p>
    <w:p>
      <w:pPr>
        <w:keepNext/>
        <w:spacing w:after="60" w:before="120"/>
        <w:ind w:left="317"/>
      </w:pPr>
      <w:r>
        <w:rPr>
          <w:b/>
          <w:color w:val="315FD8"/>
        </w:rPr>
        <w:t>Known limitations</w:t>
      </w:r>
    </w:p>
    <w:p>
      <w:pPr>
        <w:pStyle w:val="ListBullet2"/>
        <w:spacing w:after="60"/>
      </w:pPr>
      <w:r>
        <w:t>Not a licensed payment service: the bank is a sandbox, Setu never holds funds, and no real money movement was tested.</w:t>
      </w:r>
    </w:p>
    <w:p>
      <w:pPr>
        <w:pStyle w:val="ListBullet2"/>
        <w:spacing w:after="60"/>
      </w:pPr>
      <w:r>
        <w:t xml:space="preserve">Text input only: no OCR and no PDF upload in the TypeScript backend (pasted text and </w:t>
      </w:r>
      <w:r>
        <w:rPr>
          <w:rFonts w:ascii="Consolas" w:hAnsi="Consolas" w:eastAsia="Consolas"/>
          <w:color w:val="1F3A8A"/>
        </w:rPr>
        <w:t>.txt</w:t>
      </w:r>
      <w:r>
        <w:t>; PDF uploads return 422).</w:t>
      </w:r>
    </w:p>
    <w:p>
      <w:pPr>
        <w:pStyle w:val="ListBullet2"/>
        <w:spacing w:after="60"/>
      </w:pPr>
      <w:r>
        <w:t xml:space="preserve">The scripted planner has narrow EN/ZH coverage; unusual phrasing becomes </w:t>
      </w:r>
      <w:r>
        <w:rPr>
          <w:rFonts w:ascii="Consolas" w:hAnsi="Consolas" w:eastAsia="Consolas"/>
          <w:color w:val="1F3A8A"/>
        </w:rPr>
        <w:t>unknown</w:t>
      </w:r>
      <w:r>
        <w:t>. Optional LLM adapters are untested live.</w:t>
      </w:r>
    </w:p>
    <w:p>
      <w:pPr>
        <w:pStyle w:val="ListBullet2"/>
        <w:spacing w:after="60"/>
      </w:pPr>
      <w:r>
        <w:t>The guardian is rule-based and can miss novel phrasings; the policy engine, not the guardian, is the authority.</w:t>
      </w:r>
    </w:p>
    <w:p>
      <w:pPr>
        <w:pStyle w:val="ListBullet2"/>
        <w:spacing w:after="60"/>
      </w:pPr>
      <w:r>
        <w:t>Approver linking has no consent handshake; PIPL consent screens are not built (erasure is).</w:t>
      </w:r>
    </w:p>
    <w:p>
      <w:pPr>
        <w:pStyle w:val="ListBullet2"/>
        <w:spacing w:after="60"/>
      </w:pPr>
      <w:r>
        <w:t xml:space="preserve">Single-process SQLite and an in-memory rate limiter; audit tail truncation is only detectable by comparing an externally recorded </w:t>
      </w:r>
      <w:r>
        <w:rPr>
          <w:rFonts w:ascii="Consolas" w:hAnsi="Consolas" w:eastAsia="Consolas"/>
          <w:color w:val="1F3A8A"/>
        </w:rPr>
        <w:t>head_hash</w:t>
      </w:r>
      <w:r>
        <w:t>.</w:t>
      </w:r>
    </w:p>
    <w:p>
      <w:pPr>
        <w:pStyle w:val="ListBullet2"/>
        <w:spacing w:after="60"/>
      </w:pPr>
      <w:r>
        <w:t>FX rates offline are SAMPLE values and channel fees are illustrative; Chinese strings and the glossary await native review.</w:t>
      </w:r>
    </w:p>
    <w:p>
      <w:pPr>
        <w:pStyle w:val="ListBullet2"/>
        <w:spacing w:after="60"/>
      </w:pPr>
      <w:r>
        <w:t>Docker files are provided but the images were not built in the development environment.</w:t>
      </w:r>
    </w:p>
    <w:p>
      <w:pPr>
        <w:spacing w:after="120"/>
        <w:ind w:left="317"/>
      </w:pPr>
      <w:r>
        <w:t>Demo video (3 min 03 s, 1080p, burned-in English subtitles, real UI, synthetic data): https://github.com/Zul-Qarnain/setu-fintechathon/blob/main/submission/Setu_Demo.mp4</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VIRSYS</dc:creator>
  <cp:keywords/>
  <dc:description>Setu submission (VIRSYS)</dc:description>
  <cp:lastModifiedBy/>
  <cp:revision>1</cp:revision>
  <dcterms:created xsi:type="dcterms:W3CDTF">2013-12-23T23:15:00Z</dcterms:created>
  <dcterms:modified xsi:type="dcterms:W3CDTF">2013-12-23T23:15:00Z</dcterms:modified>
  <cp:category/>
</cp:coreProperties>
</file>