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CD48" w14:textId="77777777" w:rsidR="009F74E5" w:rsidRPr="0015194B" w:rsidRDefault="009F74E5" w:rsidP="009F74E5">
      <w:pPr>
        <w:pStyle w:val="Titre1"/>
        <w:rPr>
          <w:lang w:val="en-US"/>
        </w:rPr>
      </w:pPr>
      <w:bookmarkStart w:id="0" w:name="_GoBack"/>
      <w:r w:rsidRPr="0015194B">
        <w:rPr>
          <w:lang w:val="en-US"/>
        </w:rPr>
        <w:t>Introduction</w:t>
      </w:r>
    </w:p>
    <w:p w14:paraId="446211FB" w14:textId="13033C41" w:rsidR="009F74E5" w:rsidRPr="00220038" w:rsidRDefault="009F74E5" w:rsidP="009F74E5">
      <w:pPr>
        <w:rPr>
          <w:color w:val="000000" w:themeColor="text1"/>
          <w:lang w:val="en-US"/>
        </w:rPr>
      </w:pPr>
      <w:r w:rsidRPr="00220038">
        <w:rPr>
          <w:lang w:val="en-US"/>
        </w:rPr>
        <w:t xml:space="preserve">National elections </w:t>
      </w:r>
      <w:r w:rsidR="000B0F3F" w:rsidRPr="00220038">
        <w:rPr>
          <w:lang w:val="en-US"/>
        </w:rPr>
        <w:t>take place</w:t>
      </w:r>
      <w:r w:rsidRPr="00220038">
        <w:rPr>
          <w:lang w:val="en-US"/>
        </w:rPr>
        <w:t xml:space="preserve"> in a highly competitive information environment</w:t>
      </w:r>
      <w:r w:rsidR="000B0F3F" w:rsidRPr="00220038">
        <w:rPr>
          <w:lang w:val="en-US"/>
        </w:rPr>
        <w:t>.</w:t>
      </w:r>
      <w:r w:rsidRPr="00220038">
        <w:rPr>
          <w:lang w:val="en-US"/>
        </w:rPr>
        <w:t xml:space="preserve"> </w:t>
      </w:r>
      <w:r w:rsidR="000B0F3F" w:rsidRPr="00220038">
        <w:rPr>
          <w:lang w:val="en-US"/>
        </w:rPr>
        <w:t>V</w:t>
      </w:r>
      <w:r w:rsidRPr="00220038">
        <w:rPr>
          <w:lang w:val="en-US"/>
        </w:rPr>
        <w:t xml:space="preserve">oters are exposed to multiple and alternative campaign positions via media reporting and/or campaign activities. While </w:t>
      </w:r>
      <w:r w:rsidR="007077BB" w:rsidRPr="00220038">
        <w:rPr>
          <w:lang w:val="en-US"/>
        </w:rPr>
        <w:t xml:space="preserve">in Switzerland, </w:t>
      </w:r>
      <w:r w:rsidRPr="00220038">
        <w:rPr>
          <w:lang w:val="en-US"/>
        </w:rPr>
        <w:t>media attention</w:t>
      </w:r>
      <w:r w:rsidR="004E11E8" w:rsidRPr="00220038">
        <w:rPr>
          <w:lang w:val="en-US"/>
        </w:rPr>
        <w:t xml:space="preserve"> to parties is dedicated roughly</w:t>
      </w:r>
      <w:r w:rsidRPr="00220038">
        <w:rPr>
          <w:lang w:val="en-US"/>
        </w:rPr>
        <w:t xml:space="preserve"> equal to their vo</w:t>
      </w:r>
      <w:r w:rsidR="00676780">
        <w:rPr>
          <w:lang w:val="en-US"/>
        </w:rPr>
        <w:t>ter share (</w:t>
      </w:r>
      <w:proofErr w:type="spellStart"/>
      <w:r w:rsidR="00676780">
        <w:rPr>
          <w:lang w:val="en-US"/>
        </w:rPr>
        <w:t>Fög</w:t>
      </w:r>
      <w:proofErr w:type="spellEnd"/>
      <w:r w:rsidR="00676780">
        <w:rPr>
          <w:lang w:val="en-US"/>
        </w:rPr>
        <w:t xml:space="preserve"> 2017; </w:t>
      </w:r>
      <w:proofErr w:type="spellStart"/>
      <w:r w:rsidR="00676780">
        <w:rPr>
          <w:lang w:val="en-US"/>
        </w:rPr>
        <w:t>Bühlmann</w:t>
      </w:r>
      <w:proofErr w:type="spellEnd"/>
      <w:r w:rsidR="00676780">
        <w:rPr>
          <w:lang w:val="en-US"/>
        </w:rPr>
        <w:t xml:space="preserve"> </w:t>
      </w:r>
      <w:r w:rsidR="00C02093">
        <w:rPr>
          <w:lang w:val="en-US"/>
        </w:rPr>
        <w:t>et</w:t>
      </w:r>
      <w:r w:rsidRPr="00220038">
        <w:rPr>
          <w:lang w:val="en-US"/>
        </w:rPr>
        <w:t xml:space="preserve"> al. 2015a), parties can strive for additional attention by means of political campaigning. </w:t>
      </w:r>
      <w:r w:rsidR="00EA019A" w:rsidRPr="00220038">
        <w:rPr>
          <w:color w:val="000000" w:themeColor="text1"/>
          <w:lang w:val="en-US"/>
        </w:rPr>
        <w:t>T</w:t>
      </w:r>
      <w:r w:rsidRPr="00220038">
        <w:rPr>
          <w:color w:val="000000" w:themeColor="text1"/>
          <w:lang w:val="en-US"/>
        </w:rPr>
        <w:t xml:space="preserve">he financial means </w:t>
      </w:r>
      <w:r w:rsidR="00B303D9" w:rsidRPr="00220038">
        <w:rPr>
          <w:color w:val="000000" w:themeColor="text1"/>
          <w:lang w:val="en-US"/>
        </w:rPr>
        <w:t xml:space="preserve">of </w:t>
      </w:r>
      <w:r w:rsidRPr="00220038">
        <w:rPr>
          <w:color w:val="000000" w:themeColor="text1"/>
          <w:lang w:val="en-US"/>
        </w:rPr>
        <w:t>parties and candidates var</w:t>
      </w:r>
      <w:r w:rsidR="00B303D9" w:rsidRPr="00220038">
        <w:rPr>
          <w:color w:val="000000" w:themeColor="text1"/>
          <w:lang w:val="en-US"/>
        </w:rPr>
        <w:t>y</w:t>
      </w:r>
      <w:r w:rsidRPr="00220038">
        <w:rPr>
          <w:color w:val="000000" w:themeColor="text1"/>
          <w:lang w:val="en-US"/>
        </w:rPr>
        <w:t>, which has a direct impact on the campaign intensity and thus visibility of a party and its candidates. In Switzerland, there are two parties that usually stand out in terms of campaign intensity</w:t>
      </w:r>
      <w:r w:rsidR="007077BB" w:rsidRPr="00220038">
        <w:rPr>
          <w:color w:val="000000" w:themeColor="text1"/>
          <w:lang w:val="en-US"/>
        </w:rPr>
        <w:t>, as captured by number of political advertisements in printed newspapers</w:t>
      </w:r>
      <w:r w:rsidRPr="00220038">
        <w:rPr>
          <w:color w:val="000000" w:themeColor="text1"/>
          <w:lang w:val="en-US"/>
        </w:rPr>
        <w:t xml:space="preserve">: the Swiss People’s Party (SVP) and the Liberal Radical Party (FDP) (Hermann 2012). </w:t>
      </w:r>
      <w:r w:rsidR="00B303D9" w:rsidRPr="00220038">
        <w:rPr>
          <w:color w:val="000000" w:themeColor="text1"/>
          <w:lang w:val="en-US"/>
        </w:rPr>
        <w:t>In the lead-up to</w:t>
      </w:r>
      <w:r w:rsidRPr="00220038">
        <w:rPr>
          <w:color w:val="000000" w:themeColor="text1"/>
          <w:lang w:val="en-US"/>
        </w:rPr>
        <w:t xml:space="preserve"> the 2015 national election</w:t>
      </w:r>
      <w:r w:rsidR="00B303D9" w:rsidRPr="00220038">
        <w:rPr>
          <w:color w:val="000000" w:themeColor="text1"/>
          <w:lang w:val="en-US"/>
        </w:rPr>
        <w:t xml:space="preserve">, </w:t>
      </w:r>
      <w:r w:rsidRPr="00220038">
        <w:rPr>
          <w:color w:val="000000" w:themeColor="text1"/>
          <w:lang w:val="en-US"/>
        </w:rPr>
        <w:t>both parties launched a large-scale campaign that strongly focused on particular issues</w:t>
      </w:r>
      <w:r w:rsidR="00B303D9" w:rsidRPr="00220038">
        <w:rPr>
          <w:color w:val="000000" w:themeColor="text1"/>
          <w:lang w:val="en-US"/>
        </w:rPr>
        <w:t>;</w:t>
      </w:r>
      <w:r w:rsidRPr="00220038">
        <w:rPr>
          <w:color w:val="000000" w:themeColor="text1"/>
          <w:lang w:val="en-US"/>
        </w:rPr>
        <w:t xml:space="preserve"> the contested issues of immigration</w:t>
      </w:r>
      <w:r w:rsidR="008002EC" w:rsidRPr="00220038">
        <w:rPr>
          <w:color w:val="000000" w:themeColor="text1"/>
          <w:lang w:val="en-US"/>
        </w:rPr>
        <w:t xml:space="preserve"> and </w:t>
      </w:r>
      <w:r w:rsidRPr="00220038">
        <w:rPr>
          <w:color w:val="000000" w:themeColor="text1"/>
          <w:lang w:val="en-US"/>
        </w:rPr>
        <w:t>asylum</w:t>
      </w:r>
      <w:r w:rsidR="008002EC" w:rsidRPr="00220038">
        <w:rPr>
          <w:color w:val="000000" w:themeColor="text1"/>
          <w:lang w:val="en-US"/>
        </w:rPr>
        <w:t xml:space="preserve">, </w:t>
      </w:r>
      <w:r w:rsidR="00B303D9" w:rsidRPr="00220038">
        <w:rPr>
          <w:color w:val="000000" w:themeColor="text1"/>
          <w:lang w:val="en-US"/>
        </w:rPr>
        <w:t xml:space="preserve">Switzerland’s </w:t>
      </w:r>
      <w:r w:rsidRPr="00220038">
        <w:rPr>
          <w:color w:val="000000" w:themeColor="text1"/>
          <w:lang w:val="en-US"/>
        </w:rPr>
        <w:t xml:space="preserve">relations to the </w:t>
      </w:r>
      <w:r w:rsidR="00B303D9" w:rsidRPr="00220038">
        <w:rPr>
          <w:color w:val="000000" w:themeColor="text1"/>
          <w:lang w:val="en-US"/>
        </w:rPr>
        <w:t>European Union (</w:t>
      </w:r>
      <w:r w:rsidRPr="00220038">
        <w:rPr>
          <w:color w:val="000000" w:themeColor="text1"/>
          <w:lang w:val="en-US"/>
        </w:rPr>
        <w:t>EU</w:t>
      </w:r>
      <w:r w:rsidR="00B303D9" w:rsidRPr="00220038">
        <w:rPr>
          <w:color w:val="000000" w:themeColor="text1"/>
          <w:lang w:val="en-US"/>
        </w:rPr>
        <w:t>),</w:t>
      </w:r>
      <w:r w:rsidRPr="00220038">
        <w:rPr>
          <w:color w:val="000000" w:themeColor="text1"/>
          <w:lang w:val="en-US"/>
        </w:rPr>
        <w:t xml:space="preserve"> </w:t>
      </w:r>
      <w:r w:rsidR="008002EC" w:rsidRPr="00220038">
        <w:rPr>
          <w:color w:val="000000" w:themeColor="text1"/>
          <w:lang w:val="en-US"/>
        </w:rPr>
        <w:t xml:space="preserve">and </w:t>
      </w:r>
      <w:r w:rsidRPr="00220038">
        <w:rPr>
          <w:color w:val="000000" w:themeColor="text1"/>
          <w:lang w:val="en-US"/>
        </w:rPr>
        <w:t>the economy</w:t>
      </w:r>
      <w:r w:rsidR="00B303D9" w:rsidRPr="00220038">
        <w:rPr>
          <w:color w:val="000000" w:themeColor="text1"/>
          <w:lang w:val="en-US"/>
        </w:rPr>
        <w:t>.</w:t>
      </w:r>
      <w:r w:rsidRPr="00220038">
        <w:rPr>
          <w:color w:val="000000" w:themeColor="text1"/>
          <w:lang w:val="en-US"/>
        </w:rPr>
        <w:t xml:space="preserve"> </w:t>
      </w:r>
      <w:r w:rsidR="00B303D9" w:rsidRPr="00220038">
        <w:rPr>
          <w:color w:val="000000" w:themeColor="text1"/>
          <w:lang w:val="en-US"/>
        </w:rPr>
        <w:t>T</w:t>
      </w:r>
      <w:r w:rsidRPr="00220038">
        <w:rPr>
          <w:color w:val="000000" w:themeColor="text1"/>
          <w:lang w:val="en-US"/>
        </w:rPr>
        <w:t>he campaign</w:t>
      </w:r>
      <w:r w:rsidR="00B303D9" w:rsidRPr="00220038">
        <w:rPr>
          <w:color w:val="000000" w:themeColor="text1"/>
          <w:lang w:val="en-US"/>
        </w:rPr>
        <w:t>s</w:t>
      </w:r>
      <w:r w:rsidRPr="00220038">
        <w:rPr>
          <w:color w:val="000000" w:themeColor="text1"/>
          <w:lang w:val="en-US"/>
        </w:rPr>
        <w:t xml:space="preserve"> of other parties w</w:t>
      </w:r>
      <w:r w:rsidR="00C52A3F" w:rsidRPr="00220038">
        <w:rPr>
          <w:color w:val="000000" w:themeColor="text1"/>
          <w:lang w:val="en-US"/>
        </w:rPr>
        <w:t>ere</w:t>
      </w:r>
      <w:r w:rsidRPr="00220038">
        <w:rPr>
          <w:color w:val="000000" w:themeColor="text1"/>
          <w:lang w:val="en-US"/>
        </w:rPr>
        <w:t xml:space="preserve"> of l</w:t>
      </w:r>
      <w:r w:rsidR="00C52A3F" w:rsidRPr="00220038">
        <w:rPr>
          <w:color w:val="000000" w:themeColor="text1"/>
          <w:lang w:val="en-US"/>
        </w:rPr>
        <w:t>ower</w:t>
      </w:r>
      <w:r w:rsidRPr="00220038">
        <w:rPr>
          <w:color w:val="000000" w:themeColor="text1"/>
          <w:lang w:val="en-US"/>
        </w:rPr>
        <w:t xml:space="preserve"> intensity and more f</w:t>
      </w:r>
      <w:r w:rsidR="00676780">
        <w:rPr>
          <w:color w:val="000000" w:themeColor="text1"/>
          <w:lang w:val="en-US"/>
        </w:rPr>
        <w:t>ragmented in nature (</w:t>
      </w:r>
      <w:proofErr w:type="spellStart"/>
      <w:r w:rsidR="00676780">
        <w:rPr>
          <w:color w:val="000000" w:themeColor="text1"/>
          <w:lang w:val="en-US"/>
        </w:rPr>
        <w:t>Bühlmann</w:t>
      </w:r>
      <w:proofErr w:type="spellEnd"/>
      <w:r w:rsidR="00676780">
        <w:rPr>
          <w:color w:val="000000" w:themeColor="text1"/>
          <w:lang w:val="en-US"/>
        </w:rPr>
        <w:t xml:space="preserve"> </w:t>
      </w:r>
      <w:r w:rsidR="00C02093">
        <w:rPr>
          <w:color w:val="000000" w:themeColor="text1"/>
          <w:lang w:val="en-US"/>
        </w:rPr>
        <w:t>et</w:t>
      </w:r>
      <w:r w:rsidRPr="00220038">
        <w:rPr>
          <w:color w:val="000000" w:themeColor="text1"/>
          <w:lang w:val="en-US"/>
        </w:rPr>
        <w:t xml:space="preserve"> al. 2016). Both the SVP and the FDP </w:t>
      </w:r>
      <w:r w:rsidR="00C52A3F" w:rsidRPr="00220038">
        <w:rPr>
          <w:color w:val="000000" w:themeColor="text1"/>
          <w:lang w:val="en-US"/>
        </w:rPr>
        <w:t>emerged</w:t>
      </w:r>
      <w:r w:rsidRPr="00220038">
        <w:rPr>
          <w:color w:val="000000" w:themeColor="text1"/>
          <w:lang w:val="en-US"/>
        </w:rPr>
        <w:t xml:space="preserve"> as the winners of the 2015 election</w:t>
      </w:r>
      <w:r w:rsidR="004808AE" w:rsidRPr="00220038">
        <w:rPr>
          <w:color w:val="000000" w:themeColor="text1"/>
          <w:lang w:val="en-US"/>
        </w:rPr>
        <w:t>s</w:t>
      </w:r>
      <w:r w:rsidRPr="00220038">
        <w:rPr>
          <w:color w:val="000000" w:themeColor="text1"/>
          <w:lang w:val="en-US"/>
        </w:rPr>
        <w:t>. The</w:t>
      </w:r>
      <w:r w:rsidR="00DC2F46" w:rsidRPr="00220038">
        <w:rPr>
          <w:color w:val="000000" w:themeColor="text1"/>
          <w:lang w:val="en-US"/>
        </w:rPr>
        <w:t xml:space="preserve"> question therefore arises </w:t>
      </w:r>
      <w:r w:rsidRPr="00220038">
        <w:rPr>
          <w:color w:val="000000" w:themeColor="text1"/>
          <w:lang w:val="en-US"/>
        </w:rPr>
        <w:t xml:space="preserve">whether and to what extent those campaigns </w:t>
      </w:r>
      <w:r w:rsidR="001E0C19" w:rsidRPr="00220038">
        <w:t>influenced voters’ decisions to vote and who to vote for.</w:t>
      </w:r>
      <w:r w:rsidR="008452B1" w:rsidRPr="00220038">
        <w:t xml:space="preserve"> </w:t>
      </w:r>
    </w:p>
    <w:p w14:paraId="0158A753" w14:textId="567245C8" w:rsidR="00B90D68" w:rsidRPr="00220038" w:rsidRDefault="00F43512" w:rsidP="00880A6D">
      <w:pPr>
        <w:rPr>
          <w:rFonts w:cs="Times New Roman"/>
          <w:szCs w:val="22"/>
          <w:lang w:val="en-US"/>
        </w:rPr>
      </w:pPr>
      <w:r w:rsidRPr="00220038">
        <w:rPr>
          <w:szCs w:val="22"/>
          <w:lang w:val="en-US"/>
        </w:rPr>
        <w:t xml:space="preserve">Traditional research on electoral campaigns </w:t>
      </w:r>
      <w:r w:rsidR="008C09CE" w:rsidRPr="00220038">
        <w:rPr>
          <w:szCs w:val="22"/>
          <w:lang w:val="en-US"/>
        </w:rPr>
        <w:t xml:space="preserve">have </w:t>
      </w:r>
      <w:r w:rsidR="00982B8D" w:rsidRPr="00220038">
        <w:rPr>
          <w:szCs w:val="22"/>
          <w:lang w:val="en-US"/>
        </w:rPr>
        <w:t xml:space="preserve">usually </w:t>
      </w:r>
      <w:r w:rsidRPr="00220038">
        <w:rPr>
          <w:szCs w:val="22"/>
          <w:lang w:val="en-US"/>
        </w:rPr>
        <w:t>concluded that campaign effects ar</w:t>
      </w:r>
      <w:r w:rsidR="00676780">
        <w:rPr>
          <w:szCs w:val="22"/>
          <w:lang w:val="en-US"/>
        </w:rPr>
        <w:t xml:space="preserve">e minimal at best (see </w:t>
      </w:r>
      <w:proofErr w:type="spellStart"/>
      <w:r w:rsidR="00676780">
        <w:rPr>
          <w:szCs w:val="22"/>
          <w:lang w:val="en-US"/>
        </w:rPr>
        <w:t>Iyengar</w:t>
      </w:r>
      <w:proofErr w:type="spellEnd"/>
      <w:r w:rsidR="00676780">
        <w:rPr>
          <w:szCs w:val="22"/>
          <w:lang w:val="en-US"/>
        </w:rPr>
        <w:t xml:space="preserve"> and</w:t>
      </w:r>
      <w:r w:rsidRPr="00220038">
        <w:rPr>
          <w:szCs w:val="22"/>
          <w:lang w:val="en-US"/>
        </w:rPr>
        <w:t xml:space="preserve"> Simon 2000: 150). </w:t>
      </w:r>
      <w:r w:rsidR="007D6E79" w:rsidRPr="00220038">
        <w:rPr>
          <w:rFonts w:cs="Times New Roman"/>
          <w:szCs w:val="22"/>
          <w:lang w:val="en-US"/>
        </w:rPr>
        <w:t xml:space="preserve">These </w:t>
      </w:r>
      <w:r w:rsidRPr="00220038">
        <w:rPr>
          <w:rFonts w:cs="Times New Roman"/>
          <w:szCs w:val="22"/>
          <w:lang w:val="en-US"/>
        </w:rPr>
        <w:t>studies have largely relied on the analysis of aggregate time series or panels, assuming all voters have been exposed to the same campaign (ibid.: 153).</w:t>
      </w:r>
      <w:r w:rsidRPr="00220038">
        <w:rPr>
          <w:szCs w:val="22"/>
          <w:lang w:val="en-US"/>
        </w:rPr>
        <w:t xml:space="preserve"> </w:t>
      </w:r>
      <w:r w:rsidR="004224E7" w:rsidRPr="00220038">
        <w:rPr>
          <w:rFonts w:cs="Times New Roman"/>
          <w:szCs w:val="22"/>
          <w:lang w:val="en-US"/>
        </w:rPr>
        <w:t>C</w:t>
      </w:r>
      <w:r w:rsidRPr="00220038">
        <w:rPr>
          <w:rFonts w:cs="Times New Roman"/>
          <w:szCs w:val="22"/>
          <w:lang w:val="en-US"/>
        </w:rPr>
        <w:t>ommon methodological approaches have</w:t>
      </w:r>
      <w:r w:rsidR="004224E7" w:rsidRPr="00220038">
        <w:rPr>
          <w:rFonts w:cs="Times New Roman"/>
          <w:szCs w:val="22"/>
          <w:lang w:val="en-US"/>
        </w:rPr>
        <w:t xml:space="preserve"> also</w:t>
      </w:r>
      <w:r w:rsidRPr="00220038">
        <w:rPr>
          <w:rFonts w:cs="Times New Roman"/>
          <w:szCs w:val="22"/>
          <w:lang w:val="en-US"/>
        </w:rPr>
        <w:t xml:space="preserve"> been </w:t>
      </w:r>
      <w:r w:rsidR="00156D6F" w:rsidRPr="00220038">
        <w:rPr>
          <w:rFonts w:cs="Times New Roman"/>
          <w:szCs w:val="22"/>
          <w:lang w:val="en-US"/>
        </w:rPr>
        <w:t>criticized for</w:t>
      </w:r>
      <w:r w:rsidRPr="00220038">
        <w:rPr>
          <w:rFonts w:cs="Times New Roman"/>
          <w:szCs w:val="22"/>
          <w:lang w:val="en-US"/>
        </w:rPr>
        <w:t xml:space="preserve"> carrying an inherent endogeneity problem (Goldst</w:t>
      </w:r>
      <w:r w:rsidR="00676780">
        <w:rPr>
          <w:rFonts w:cs="Times New Roman"/>
          <w:szCs w:val="22"/>
          <w:lang w:val="en-US"/>
        </w:rPr>
        <w:t>ein and Freedman 2000</w:t>
      </w:r>
      <w:r w:rsidRPr="00220038">
        <w:rPr>
          <w:rFonts w:cs="Times New Roman"/>
          <w:szCs w:val="22"/>
          <w:lang w:val="en-US"/>
        </w:rPr>
        <w:t>; Gordon and Hartmann 2013</w:t>
      </w:r>
      <w:r w:rsidR="00857069">
        <w:rPr>
          <w:rFonts w:cs="Times New Roman"/>
          <w:szCs w:val="22"/>
          <w:lang w:val="en-US"/>
        </w:rPr>
        <w:t xml:space="preserve">; </w:t>
      </w:r>
      <w:proofErr w:type="spellStart"/>
      <w:r w:rsidR="00857069">
        <w:rPr>
          <w:rFonts w:cs="Times New Roman"/>
          <w:szCs w:val="22"/>
          <w:lang w:val="en-US"/>
        </w:rPr>
        <w:t>Ridout</w:t>
      </w:r>
      <w:proofErr w:type="spellEnd"/>
      <w:r w:rsidR="00857069">
        <w:rPr>
          <w:rFonts w:cs="Times New Roman"/>
          <w:szCs w:val="22"/>
          <w:lang w:val="en-US"/>
        </w:rPr>
        <w:t xml:space="preserve"> et</w:t>
      </w:r>
      <w:r w:rsidR="00857069" w:rsidRPr="00220038">
        <w:rPr>
          <w:rFonts w:cs="Times New Roman"/>
          <w:szCs w:val="22"/>
          <w:lang w:val="en-US"/>
        </w:rPr>
        <w:t xml:space="preserve"> al. 2002</w:t>
      </w:r>
      <w:r w:rsidRPr="00220038">
        <w:rPr>
          <w:rFonts w:cs="Times New Roman"/>
          <w:szCs w:val="22"/>
          <w:lang w:val="en-US"/>
        </w:rPr>
        <w:t>). Recent developments in the field try to tackle th</w:t>
      </w:r>
      <w:r w:rsidR="00156D6F" w:rsidRPr="00220038">
        <w:rPr>
          <w:rFonts w:cs="Times New Roman"/>
          <w:szCs w:val="22"/>
          <w:lang w:val="en-US"/>
        </w:rPr>
        <w:t>is</w:t>
      </w:r>
      <w:r w:rsidRPr="00220038">
        <w:rPr>
          <w:rFonts w:cs="Times New Roman"/>
          <w:szCs w:val="22"/>
          <w:lang w:val="en-US"/>
        </w:rPr>
        <w:t xml:space="preserve"> endogeneity issue using large randomi</w:t>
      </w:r>
      <w:r w:rsidR="00156D6F" w:rsidRPr="00220038">
        <w:rPr>
          <w:rFonts w:cs="Times New Roman"/>
          <w:szCs w:val="22"/>
          <w:lang w:val="en-US"/>
        </w:rPr>
        <w:t>z</w:t>
      </w:r>
      <w:r w:rsidRPr="00220038">
        <w:rPr>
          <w:rFonts w:cs="Times New Roman"/>
          <w:szCs w:val="22"/>
          <w:lang w:val="en-US"/>
        </w:rPr>
        <w:t>ed field experiment</w:t>
      </w:r>
      <w:r w:rsidR="004224E7" w:rsidRPr="00220038">
        <w:rPr>
          <w:rFonts w:cs="Times New Roman"/>
          <w:szCs w:val="22"/>
          <w:lang w:val="en-US"/>
        </w:rPr>
        <w:t>s</w:t>
      </w:r>
      <w:r w:rsidRPr="00220038">
        <w:rPr>
          <w:rFonts w:cs="Times New Roman"/>
          <w:szCs w:val="22"/>
          <w:lang w:val="en-US"/>
        </w:rPr>
        <w:t xml:space="preserve"> (Gerber et al. 2007), regression discontinuity design (Huber and Arceneaux 2007; </w:t>
      </w:r>
      <w:proofErr w:type="spellStart"/>
      <w:r w:rsidRPr="00220038">
        <w:rPr>
          <w:rFonts w:cs="Times New Roman"/>
          <w:szCs w:val="22"/>
          <w:lang w:val="en-US"/>
        </w:rPr>
        <w:t>Spenkuch</w:t>
      </w:r>
      <w:proofErr w:type="spellEnd"/>
      <w:r w:rsidRPr="00220038">
        <w:rPr>
          <w:rFonts w:cs="Times New Roman"/>
          <w:szCs w:val="22"/>
          <w:lang w:val="en-US"/>
        </w:rPr>
        <w:t xml:space="preserve"> and </w:t>
      </w:r>
      <w:proofErr w:type="spellStart"/>
      <w:r w:rsidRPr="00220038">
        <w:rPr>
          <w:rFonts w:cs="Times New Roman"/>
          <w:szCs w:val="22"/>
          <w:lang w:val="en-US"/>
        </w:rPr>
        <w:t>Toniatti</w:t>
      </w:r>
      <w:proofErr w:type="spellEnd"/>
      <w:r w:rsidRPr="00220038">
        <w:rPr>
          <w:rFonts w:cs="Times New Roman"/>
          <w:szCs w:val="22"/>
          <w:lang w:val="en-US"/>
        </w:rPr>
        <w:t xml:space="preserve"> 2015), instrumental variables (Gordon and Hartman 2013) </w:t>
      </w:r>
      <w:r w:rsidR="004224E7" w:rsidRPr="00220038">
        <w:rPr>
          <w:rFonts w:cs="Times New Roman"/>
          <w:szCs w:val="22"/>
          <w:lang w:val="en-US"/>
        </w:rPr>
        <w:t>and</w:t>
      </w:r>
      <w:r w:rsidRPr="00220038">
        <w:rPr>
          <w:rFonts w:cs="Times New Roman"/>
          <w:szCs w:val="22"/>
          <w:lang w:val="en-US"/>
        </w:rPr>
        <w:t xml:space="preserve"> exploiting exogenous variation (Da Silveira and De Mello 2011; Durante</w:t>
      </w:r>
      <w:r w:rsidR="00C02093">
        <w:rPr>
          <w:rFonts w:cs="Times New Roman"/>
          <w:szCs w:val="22"/>
          <w:lang w:val="en-US"/>
        </w:rPr>
        <w:t xml:space="preserve"> and Gutierrez 2014; </w:t>
      </w:r>
      <w:r w:rsidR="00857069">
        <w:rPr>
          <w:rFonts w:cs="Times New Roman"/>
          <w:szCs w:val="22"/>
          <w:lang w:val="en-US"/>
        </w:rPr>
        <w:t>Kendall et</w:t>
      </w:r>
      <w:r w:rsidR="00857069" w:rsidRPr="00220038">
        <w:rPr>
          <w:rFonts w:cs="Times New Roman"/>
          <w:szCs w:val="22"/>
          <w:lang w:val="en-US"/>
        </w:rPr>
        <w:t xml:space="preserve"> al. 2015</w:t>
      </w:r>
      <w:r w:rsidR="00857069">
        <w:rPr>
          <w:rFonts w:cs="Times New Roman"/>
          <w:szCs w:val="22"/>
          <w:lang w:val="en-US"/>
        </w:rPr>
        <w:t xml:space="preserve">; </w:t>
      </w:r>
      <w:proofErr w:type="spellStart"/>
      <w:r w:rsidR="00C02093">
        <w:rPr>
          <w:rFonts w:cs="Times New Roman"/>
          <w:szCs w:val="22"/>
          <w:lang w:val="en-US"/>
        </w:rPr>
        <w:t>Larreguy</w:t>
      </w:r>
      <w:proofErr w:type="spellEnd"/>
      <w:r w:rsidR="00C02093">
        <w:rPr>
          <w:rFonts w:cs="Times New Roman"/>
          <w:szCs w:val="22"/>
          <w:lang w:val="en-US"/>
        </w:rPr>
        <w:t xml:space="preserve"> et al. 2014</w:t>
      </w:r>
      <w:r w:rsidRPr="00220038">
        <w:rPr>
          <w:rFonts w:cs="Times New Roman"/>
          <w:szCs w:val="22"/>
          <w:lang w:val="en-US"/>
        </w:rPr>
        <w:t xml:space="preserve">). Using finer-grained methodological approaches, authors </w:t>
      </w:r>
      <w:r w:rsidR="00156D6F" w:rsidRPr="00220038">
        <w:rPr>
          <w:rFonts w:cs="Times New Roman"/>
          <w:szCs w:val="22"/>
          <w:lang w:val="en-US"/>
        </w:rPr>
        <w:t xml:space="preserve">have </w:t>
      </w:r>
      <w:r w:rsidRPr="00220038">
        <w:rPr>
          <w:rFonts w:cs="Times New Roman"/>
          <w:szCs w:val="22"/>
          <w:lang w:val="en-US"/>
        </w:rPr>
        <w:t xml:space="preserve">identified a significant positive impact of political advertising on voting behavior. </w:t>
      </w:r>
      <w:r w:rsidR="00156D6F" w:rsidRPr="00220038">
        <w:rPr>
          <w:rFonts w:cs="Times New Roman"/>
          <w:szCs w:val="22"/>
          <w:lang w:val="en-US"/>
        </w:rPr>
        <w:t>Al</w:t>
      </w:r>
      <w:r w:rsidRPr="00220038">
        <w:rPr>
          <w:rFonts w:cs="Times New Roman"/>
          <w:szCs w:val="22"/>
          <w:lang w:val="en-US"/>
        </w:rPr>
        <w:t>though the impact remains short-liv</w:t>
      </w:r>
      <w:r w:rsidR="004F4691" w:rsidRPr="00220038">
        <w:rPr>
          <w:rFonts w:cs="Times New Roman"/>
          <w:szCs w:val="22"/>
          <w:lang w:val="en-US"/>
        </w:rPr>
        <w:t>ed in some cases (</w:t>
      </w:r>
      <w:r w:rsidR="00E922A5" w:rsidRPr="00220038">
        <w:rPr>
          <w:rFonts w:cs="Times New Roman"/>
          <w:szCs w:val="22"/>
          <w:lang w:val="en-US"/>
        </w:rPr>
        <w:t xml:space="preserve">see </w:t>
      </w:r>
      <w:r w:rsidR="00857069" w:rsidRPr="00220038">
        <w:rPr>
          <w:rFonts w:cs="Times New Roman"/>
          <w:szCs w:val="22"/>
          <w:lang w:val="en-US"/>
        </w:rPr>
        <w:t>Durante and Gutierrez 2014</w:t>
      </w:r>
      <w:r w:rsidR="00857069">
        <w:rPr>
          <w:rFonts w:cs="Times New Roman"/>
          <w:szCs w:val="22"/>
          <w:lang w:val="en-US"/>
        </w:rPr>
        <w:t xml:space="preserve">; </w:t>
      </w:r>
      <w:r w:rsidR="00C02093">
        <w:rPr>
          <w:rFonts w:cs="Times New Roman"/>
          <w:szCs w:val="22"/>
          <w:lang w:val="en-US"/>
        </w:rPr>
        <w:t>Gerber and</w:t>
      </w:r>
      <w:r w:rsidR="004F4691" w:rsidRPr="00220038">
        <w:rPr>
          <w:rFonts w:cs="Times New Roman"/>
          <w:szCs w:val="22"/>
          <w:lang w:val="en-US"/>
        </w:rPr>
        <w:t xml:space="preserve"> al. 2007</w:t>
      </w:r>
      <w:r w:rsidRPr="00220038">
        <w:rPr>
          <w:rFonts w:cs="Times New Roman"/>
          <w:szCs w:val="22"/>
          <w:lang w:val="en-US"/>
        </w:rPr>
        <w:t xml:space="preserve">), such results </w:t>
      </w:r>
      <w:r w:rsidR="00156D6F" w:rsidRPr="00220038">
        <w:rPr>
          <w:rFonts w:cs="Times New Roman"/>
          <w:szCs w:val="22"/>
          <w:lang w:val="en-US"/>
        </w:rPr>
        <w:t>beg</w:t>
      </w:r>
      <w:r w:rsidRPr="00220038">
        <w:rPr>
          <w:rFonts w:cs="Times New Roman"/>
          <w:szCs w:val="22"/>
          <w:lang w:val="en-US"/>
        </w:rPr>
        <w:t xml:space="preserve"> for further research to be conducted in other contexts.</w:t>
      </w:r>
      <w:r w:rsidR="00094767" w:rsidRPr="00220038">
        <w:rPr>
          <w:rFonts w:cs="Times New Roman"/>
          <w:szCs w:val="22"/>
          <w:lang w:val="en-US"/>
        </w:rPr>
        <w:t xml:space="preserve"> L</w:t>
      </w:r>
      <w:r w:rsidR="009645FC" w:rsidRPr="00220038">
        <w:rPr>
          <w:rFonts w:cs="Times New Roman"/>
          <w:szCs w:val="22"/>
          <w:lang w:val="en-US"/>
        </w:rPr>
        <w:t>aboratory experiment</w:t>
      </w:r>
      <w:r w:rsidR="00FB5E8C" w:rsidRPr="00220038">
        <w:rPr>
          <w:rFonts w:cs="Times New Roman"/>
          <w:szCs w:val="22"/>
          <w:lang w:val="en-US"/>
        </w:rPr>
        <w:t>s</w:t>
      </w:r>
      <w:r w:rsidR="009645FC" w:rsidRPr="00220038">
        <w:rPr>
          <w:rFonts w:cs="Times New Roman"/>
          <w:szCs w:val="22"/>
          <w:lang w:val="en-US"/>
        </w:rPr>
        <w:t xml:space="preserve"> </w:t>
      </w:r>
      <w:r w:rsidR="00094767" w:rsidRPr="00220038">
        <w:rPr>
          <w:rFonts w:cs="Times New Roman"/>
          <w:szCs w:val="22"/>
          <w:lang w:val="en-US"/>
        </w:rPr>
        <w:t xml:space="preserve">have also </w:t>
      </w:r>
      <w:r w:rsidR="009645FC" w:rsidRPr="00220038">
        <w:rPr>
          <w:rFonts w:cs="Times New Roman"/>
          <w:szCs w:val="22"/>
          <w:lang w:val="en-US"/>
        </w:rPr>
        <w:t>identifie</w:t>
      </w:r>
      <w:r w:rsidR="00FB5E8C" w:rsidRPr="00220038">
        <w:rPr>
          <w:rFonts w:cs="Times New Roman"/>
          <w:szCs w:val="22"/>
          <w:lang w:val="en-US"/>
        </w:rPr>
        <w:t>d</w:t>
      </w:r>
      <w:r w:rsidR="009645FC" w:rsidRPr="00220038">
        <w:rPr>
          <w:rFonts w:cs="Times New Roman"/>
          <w:szCs w:val="22"/>
          <w:lang w:val="en-US"/>
        </w:rPr>
        <w:t xml:space="preserve"> a significant impact of ad</w:t>
      </w:r>
      <w:r w:rsidR="00094767" w:rsidRPr="00220038">
        <w:rPr>
          <w:rFonts w:cs="Times New Roman"/>
          <w:szCs w:val="22"/>
          <w:lang w:val="en-US"/>
        </w:rPr>
        <w:t>vertisement</w:t>
      </w:r>
      <w:r w:rsidR="009645FC" w:rsidRPr="00220038">
        <w:rPr>
          <w:rFonts w:cs="Times New Roman"/>
          <w:szCs w:val="22"/>
          <w:lang w:val="en-US"/>
        </w:rPr>
        <w:t xml:space="preserve"> on voting behavior (</w:t>
      </w:r>
      <w:proofErr w:type="spellStart"/>
      <w:r w:rsidR="009645FC" w:rsidRPr="00220038">
        <w:rPr>
          <w:rFonts w:cs="Times New Roman"/>
          <w:szCs w:val="22"/>
          <w:lang w:val="en-US"/>
        </w:rPr>
        <w:t>Ansolabehere</w:t>
      </w:r>
      <w:proofErr w:type="spellEnd"/>
      <w:r w:rsidR="009645FC" w:rsidRPr="00220038">
        <w:rPr>
          <w:rFonts w:cs="Times New Roman"/>
          <w:szCs w:val="22"/>
          <w:lang w:val="en-US"/>
        </w:rPr>
        <w:t xml:space="preserve"> and </w:t>
      </w:r>
      <w:proofErr w:type="spellStart"/>
      <w:r w:rsidR="009645FC" w:rsidRPr="00220038">
        <w:rPr>
          <w:rFonts w:cs="Times New Roman"/>
          <w:szCs w:val="22"/>
          <w:lang w:val="en-US"/>
        </w:rPr>
        <w:t>Iyengar</w:t>
      </w:r>
      <w:proofErr w:type="spellEnd"/>
      <w:r w:rsidR="009645FC" w:rsidRPr="00220038">
        <w:rPr>
          <w:rFonts w:cs="Times New Roman"/>
          <w:szCs w:val="22"/>
          <w:lang w:val="en-US"/>
        </w:rPr>
        <w:t xml:space="preserve"> 1996; Brader 2005). </w:t>
      </w:r>
      <w:r w:rsidR="009E0689" w:rsidRPr="00220038">
        <w:rPr>
          <w:rFonts w:cs="Times New Roman"/>
          <w:szCs w:val="22"/>
          <w:lang w:val="en-US"/>
        </w:rPr>
        <w:t xml:space="preserve">While holding </w:t>
      </w:r>
      <w:r w:rsidR="00FB5E8C" w:rsidRPr="00220038">
        <w:rPr>
          <w:rFonts w:cs="Times New Roman"/>
          <w:szCs w:val="22"/>
          <w:lang w:val="en-US"/>
        </w:rPr>
        <w:t xml:space="preserve">strong internal validity, </w:t>
      </w:r>
      <w:r w:rsidR="009645FC" w:rsidRPr="00220038">
        <w:rPr>
          <w:rFonts w:cs="Times New Roman"/>
          <w:szCs w:val="22"/>
          <w:lang w:val="en-US"/>
        </w:rPr>
        <w:t xml:space="preserve">the external validity of laboratory experiments remains questionable. </w:t>
      </w:r>
    </w:p>
    <w:p w14:paraId="4117C629" w14:textId="0BFE1AAF" w:rsidR="00F43512" w:rsidRPr="00220038" w:rsidRDefault="00F43512" w:rsidP="00880A6D">
      <w:pPr>
        <w:rPr>
          <w:rFonts w:cs="Times New Roman"/>
          <w:szCs w:val="22"/>
          <w:lang w:val="en-US"/>
        </w:rPr>
      </w:pPr>
      <w:r w:rsidRPr="00220038">
        <w:rPr>
          <w:szCs w:val="22"/>
          <w:lang w:val="en-US"/>
        </w:rPr>
        <w:t xml:space="preserve">As for Switzerland, </w:t>
      </w:r>
      <w:r w:rsidRPr="00220038">
        <w:rPr>
          <w:rFonts w:cs="Times New Roman"/>
          <w:szCs w:val="22"/>
          <w:lang w:val="en-US"/>
        </w:rPr>
        <w:t xml:space="preserve">we note a paucity of research focusing on individual exposure to political campaigns </w:t>
      </w:r>
      <w:r w:rsidR="00787B87" w:rsidRPr="00220038">
        <w:rPr>
          <w:rFonts w:cs="Times New Roman"/>
          <w:szCs w:val="22"/>
          <w:lang w:val="en-US"/>
        </w:rPr>
        <w:t>during</w:t>
      </w:r>
      <w:r w:rsidRPr="00220038">
        <w:rPr>
          <w:rFonts w:cs="Times New Roman"/>
          <w:szCs w:val="22"/>
          <w:lang w:val="en-US"/>
        </w:rPr>
        <w:t xml:space="preserve"> elections. Although considerable insights </w:t>
      </w:r>
      <w:r w:rsidR="00787B87" w:rsidRPr="00220038">
        <w:rPr>
          <w:rFonts w:cs="Times New Roman"/>
          <w:szCs w:val="22"/>
          <w:lang w:val="en-US"/>
        </w:rPr>
        <w:t xml:space="preserve">exist </w:t>
      </w:r>
      <w:r w:rsidRPr="00220038">
        <w:rPr>
          <w:rFonts w:cs="Times New Roman"/>
          <w:szCs w:val="22"/>
          <w:lang w:val="en-US"/>
        </w:rPr>
        <w:t>on overall campaign effects in a selection of cantons (</w:t>
      </w:r>
      <w:proofErr w:type="spellStart"/>
      <w:r w:rsidR="00857069" w:rsidRPr="00220038">
        <w:rPr>
          <w:rFonts w:cs="Times New Roman"/>
          <w:szCs w:val="22"/>
          <w:lang w:val="en-US"/>
        </w:rPr>
        <w:t>Kriesi</w:t>
      </w:r>
      <w:proofErr w:type="spellEnd"/>
      <w:r w:rsidR="00857069" w:rsidRPr="00220038">
        <w:rPr>
          <w:rFonts w:cs="Times New Roman"/>
          <w:szCs w:val="22"/>
          <w:lang w:val="en-US"/>
        </w:rPr>
        <w:t xml:space="preserve"> and </w:t>
      </w:r>
      <w:proofErr w:type="spellStart"/>
      <w:r w:rsidR="00857069" w:rsidRPr="00220038">
        <w:rPr>
          <w:rFonts w:cs="Times New Roman"/>
          <w:szCs w:val="22"/>
          <w:lang w:val="en-US"/>
        </w:rPr>
        <w:t>Sciarini</w:t>
      </w:r>
      <w:proofErr w:type="spellEnd"/>
      <w:r w:rsidR="00857069" w:rsidRPr="00220038">
        <w:rPr>
          <w:rFonts w:cs="Times New Roman"/>
          <w:szCs w:val="22"/>
          <w:lang w:val="en-US"/>
        </w:rPr>
        <w:t xml:space="preserve"> 2004</w:t>
      </w:r>
      <w:r w:rsidR="00857069">
        <w:rPr>
          <w:rFonts w:cs="Times New Roman"/>
          <w:szCs w:val="22"/>
          <w:lang w:val="en-US"/>
        </w:rPr>
        <w:t xml:space="preserve">; </w:t>
      </w:r>
      <w:proofErr w:type="spellStart"/>
      <w:r w:rsidRPr="00220038">
        <w:rPr>
          <w:rFonts w:cs="Times New Roman"/>
          <w:szCs w:val="22"/>
          <w:lang w:val="en-US"/>
        </w:rPr>
        <w:t>Lachat</w:t>
      </w:r>
      <w:proofErr w:type="spellEnd"/>
      <w:r w:rsidRPr="00220038">
        <w:rPr>
          <w:rFonts w:cs="Times New Roman"/>
          <w:szCs w:val="22"/>
          <w:lang w:val="en-US"/>
        </w:rPr>
        <w:t xml:space="preserve"> 2000; </w:t>
      </w:r>
      <w:proofErr w:type="spellStart"/>
      <w:r w:rsidRPr="00220038">
        <w:rPr>
          <w:rFonts w:cs="Times New Roman"/>
          <w:szCs w:val="22"/>
          <w:lang w:val="en-US"/>
        </w:rPr>
        <w:t>Lachat</w:t>
      </w:r>
      <w:proofErr w:type="spellEnd"/>
      <w:r w:rsidRPr="00220038">
        <w:rPr>
          <w:rFonts w:cs="Times New Roman"/>
          <w:szCs w:val="22"/>
          <w:lang w:val="en-US"/>
        </w:rPr>
        <w:t xml:space="preserve"> and </w:t>
      </w:r>
      <w:proofErr w:type="spellStart"/>
      <w:r w:rsidRPr="00220038">
        <w:rPr>
          <w:rFonts w:cs="Times New Roman"/>
          <w:szCs w:val="22"/>
          <w:lang w:val="en-US"/>
        </w:rPr>
        <w:t>Sciarini</w:t>
      </w:r>
      <w:proofErr w:type="spellEnd"/>
      <w:r w:rsidRPr="00220038">
        <w:rPr>
          <w:rFonts w:cs="Times New Roman"/>
          <w:szCs w:val="22"/>
          <w:lang w:val="en-US"/>
        </w:rPr>
        <w:t xml:space="preserve"> 2002; </w:t>
      </w:r>
      <w:proofErr w:type="spellStart"/>
      <w:r w:rsidRPr="00220038">
        <w:rPr>
          <w:rFonts w:cs="Times New Roman"/>
          <w:szCs w:val="22"/>
          <w:lang w:val="en-US"/>
        </w:rPr>
        <w:t>Sciarini</w:t>
      </w:r>
      <w:proofErr w:type="spellEnd"/>
      <w:r w:rsidRPr="00220038">
        <w:rPr>
          <w:rFonts w:cs="Times New Roman"/>
          <w:szCs w:val="22"/>
          <w:lang w:val="en-US"/>
        </w:rPr>
        <w:t xml:space="preserve"> and </w:t>
      </w:r>
      <w:proofErr w:type="spellStart"/>
      <w:r w:rsidRPr="00220038">
        <w:rPr>
          <w:rFonts w:cs="Times New Roman"/>
          <w:szCs w:val="22"/>
          <w:lang w:val="en-US"/>
        </w:rPr>
        <w:t>Kriesi</w:t>
      </w:r>
      <w:proofErr w:type="spellEnd"/>
      <w:r w:rsidRPr="00220038">
        <w:rPr>
          <w:rFonts w:cs="Times New Roman"/>
          <w:szCs w:val="22"/>
          <w:lang w:val="en-US"/>
        </w:rPr>
        <w:t xml:space="preserve"> 2003), previous election surveys precluded researchers from analy</w:t>
      </w:r>
      <w:r w:rsidR="003C5914" w:rsidRPr="00220038">
        <w:rPr>
          <w:rFonts w:cs="Times New Roman"/>
          <w:szCs w:val="22"/>
          <w:lang w:val="en-US"/>
        </w:rPr>
        <w:t>z</w:t>
      </w:r>
      <w:r w:rsidRPr="00220038">
        <w:rPr>
          <w:rFonts w:cs="Times New Roman"/>
          <w:szCs w:val="22"/>
          <w:lang w:val="en-US"/>
        </w:rPr>
        <w:t xml:space="preserve">ing individual campaign exposure. </w:t>
      </w:r>
      <w:r w:rsidR="00787B87" w:rsidRPr="00220038">
        <w:rPr>
          <w:rFonts w:cs="Times New Roman"/>
          <w:szCs w:val="22"/>
          <w:lang w:val="en-US"/>
        </w:rPr>
        <w:t>Assuming</w:t>
      </w:r>
      <w:r w:rsidRPr="00220038">
        <w:rPr>
          <w:rFonts w:cs="Times New Roman"/>
          <w:szCs w:val="22"/>
          <w:lang w:val="en-US"/>
        </w:rPr>
        <w:t xml:space="preserve"> a monolithic understanding of electoral campaigns not only </w:t>
      </w:r>
      <w:r w:rsidR="00787B87" w:rsidRPr="00220038">
        <w:rPr>
          <w:rFonts w:cs="Times New Roman"/>
          <w:szCs w:val="22"/>
          <w:lang w:val="en-US"/>
        </w:rPr>
        <w:t xml:space="preserve">presumes </w:t>
      </w:r>
      <w:r w:rsidRPr="00220038">
        <w:rPr>
          <w:rFonts w:cs="Times New Roman"/>
          <w:szCs w:val="22"/>
          <w:lang w:val="en-US"/>
        </w:rPr>
        <w:t xml:space="preserve">that all voters have </w:t>
      </w:r>
      <w:r w:rsidRPr="00220038">
        <w:rPr>
          <w:rFonts w:cs="Times New Roman"/>
          <w:szCs w:val="22"/>
          <w:lang w:val="en-US"/>
        </w:rPr>
        <w:lastRenderedPageBreak/>
        <w:t>received identical campaign messages, it also makes the term “electoral campaign” all-encompassing</w:t>
      </w:r>
      <w:r w:rsidR="00787B87" w:rsidRPr="00220038">
        <w:rPr>
          <w:rFonts w:cs="Times New Roman"/>
          <w:szCs w:val="22"/>
          <w:lang w:val="en-US"/>
        </w:rPr>
        <w:t>. The issue with such a view is that</w:t>
      </w:r>
      <w:r w:rsidRPr="00220038">
        <w:rPr>
          <w:rFonts w:cs="Times New Roman"/>
          <w:szCs w:val="22"/>
          <w:lang w:val="en-US"/>
        </w:rPr>
        <w:t xml:space="preserve"> it contains all instances of electoral campaigning</w:t>
      </w:r>
      <w:r w:rsidR="00787B87" w:rsidRPr="00220038">
        <w:rPr>
          <w:rFonts w:cs="Times New Roman"/>
          <w:szCs w:val="22"/>
          <w:lang w:val="en-US"/>
        </w:rPr>
        <w:t>,</w:t>
      </w:r>
      <w:r w:rsidRPr="00220038">
        <w:rPr>
          <w:rFonts w:cs="Times New Roman"/>
          <w:szCs w:val="22"/>
          <w:lang w:val="en-US"/>
        </w:rPr>
        <w:t xml:space="preserve"> </w:t>
      </w:r>
      <w:r w:rsidR="00787B87" w:rsidRPr="00220038">
        <w:rPr>
          <w:rFonts w:cs="Times New Roman"/>
          <w:szCs w:val="22"/>
          <w:lang w:val="en-US"/>
        </w:rPr>
        <w:t>as well as</w:t>
      </w:r>
      <w:r w:rsidRPr="00220038">
        <w:rPr>
          <w:rFonts w:cs="Times New Roman"/>
          <w:szCs w:val="22"/>
          <w:lang w:val="en-US"/>
        </w:rPr>
        <w:t xml:space="preserve"> external events that occurred during the time of the electoral campaign</w:t>
      </w:r>
      <w:r w:rsidR="000C58C2" w:rsidRPr="00220038">
        <w:rPr>
          <w:rFonts w:cs="Times New Roman"/>
          <w:szCs w:val="22"/>
          <w:lang w:val="en-US"/>
        </w:rPr>
        <w:t xml:space="preserve"> rather than </w:t>
      </w:r>
      <w:r w:rsidR="003E35B1" w:rsidRPr="00220038">
        <w:rPr>
          <w:rFonts w:cs="Times New Roman"/>
          <w:szCs w:val="22"/>
          <w:lang w:val="en-US"/>
        </w:rPr>
        <w:t xml:space="preserve">focusing on </w:t>
      </w:r>
      <w:r w:rsidR="000C58C2" w:rsidRPr="00220038">
        <w:rPr>
          <w:rFonts w:cs="Times New Roman"/>
          <w:szCs w:val="22"/>
          <w:lang w:val="en-US"/>
        </w:rPr>
        <w:t xml:space="preserve">individual-level exposure to </w:t>
      </w:r>
      <w:r w:rsidR="003E35B1" w:rsidRPr="00220038">
        <w:rPr>
          <w:rFonts w:cs="Times New Roman"/>
          <w:szCs w:val="22"/>
          <w:lang w:val="en-US"/>
        </w:rPr>
        <w:t>specific campaign designs</w:t>
      </w:r>
      <w:r w:rsidR="000C58C2" w:rsidRPr="00220038">
        <w:rPr>
          <w:rFonts w:cs="Times New Roman"/>
          <w:szCs w:val="22"/>
          <w:lang w:val="en-US"/>
        </w:rPr>
        <w:t>.</w:t>
      </w:r>
    </w:p>
    <w:p w14:paraId="4819F6C6" w14:textId="48271F98" w:rsidR="00F43512" w:rsidRPr="00B3174B" w:rsidRDefault="00F43512" w:rsidP="00880A6D">
      <w:pPr>
        <w:rPr>
          <w:rFonts w:cs="Times New Roman"/>
          <w:szCs w:val="22"/>
          <w:lang w:val="en-US"/>
        </w:rPr>
      </w:pPr>
      <w:r w:rsidRPr="00220038">
        <w:rPr>
          <w:rFonts w:cs="Times New Roman"/>
          <w:szCs w:val="22"/>
          <w:lang w:val="en-US"/>
        </w:rPr>
        <w:t xml:space="preserve">Last but not least, </w:t>
      </w:r>
      <w:r w:rsidR="005F70FE" w:rsidRPr="00220038">
        <w:rPr>
          <w:rFonts w:cs="Times New Roman"/>
          <w:szCs w:val="22"/>
          <w:lang w:val="en-US"/>
        </w:rPr>
        <w:t>the</w:t>
      </w:r>
      <w:r w:rsidRPr="00220038">
        <w:rPr>
          <w:rFonts w:cs="Times New Roman"/>
          <w:szCs w:val="22"/>
          <w:lang w:val="en-US"/>
        </w:rPr>
        <w:t xml:space="preserve"> influence </w:t>
      </w:r>
      <w:r w:rsidR="005F70FE" w:rsidRPr="00220038">
        <w:rPr>
          <w:rFonts w:cs="Times New Roman"/>
          <w:szCs w:val="22"/>
          <w:lang w:val="en-US"/>
        </w:rPr>
        <w:t>of</w:t>
      </w:r>
      <w:r w:rsidRPr="00220038">
        <w:rPr>
          <w:rFonts w:cs="Times New Roman"/>
          <w:szCs w:val="22"/>
          <w:lang w:val="en-US"/>
        </w:rPr>
        <w:t xml:space="preserve"> parties’ issue-specific communications</w:t>
      </w:r>
      <w:r w:rsidR="005F70FE" w:rsidRPr="00220038">
        <w:rPr>
          <w:rFonts w:cs="Times New Roman"/>
          <w:szCs w:val="22"/>
          <w:lang w:val="en-US"/>
        </w:rPr>
        <w:t xml:space="preserve"> on individuals</w:t>
      </w:r>
      <w:r w:rsidR="00D36B96" w:rsidRPr="00220038">
        <w:rPr>
          <w:rFonts w:cs="Times New Roman"/>
          <w:szCs w:val="22"/>
          <w:lang w:val="en-US"/>
        </w:rPr>
        <w:t xml:space="preserve"> is still little understood</w:t>
      </w:r>
      <w:r w:rsidRPr="00220038">
        <w:rPr>
          <w:rFonts w:cs="Times New Roman"/>
          <w:szCs w:val="22"/>
          <w:lang w:val="en-US"/>
        </w:rPr>
        <w:t xml:space="preserve"> (see </w:t>
      </w:r>
      <w:r w:rsidR="00857069" w:rsidRPr="00B3174B">
        <w:rPr>
          <w:rFonts w:cs="Times New Roman"/>
          <w:szCs w:val="22"/>
          <w:lang w:val="en-US"/>
        </w:rPr>
        <w:t>Bechtel et al. 2015</w:t>
      </w:r>
      <w:r w:rsidR="00857069">
        <w:rPr>
          <w:rFonts w:cs="Times New Roman"/>
          <w:szCs w:val="22"/>
          <w:lang w:val="en-US"/>
        </w:rPr>
        <w:t xml:space="preserve">; </w:t>
      </w:r>
      <w:proofErr w:type="spellStart"/>
      <w:r w:rsidRPr="00220038">
        <w:rPr>
          <w:rFonts w:cs="Times New Roman"/>
          <w:szCs w:val="22"/>
          <w:lang w:val="en-US"/>
        </w:rPr>
        <w:t>Slothuus</w:t>
      </w:r>
      <w:proofErr w:type="spellEnd"/>
      <w:r w:rsidR="00C02093">
        <w:rPr>
          <w:rFonts w:cs="Times New Roman"/>
          <w:szCs w:val="22"/>
          <w:lang w:val="en-US"/>
        </w:rPr>
        <w:t xml:space="preserve"> and </w:t>
      </w:r>
      <w:r w:rsidR="00B3174B">
        <w:rPr>
          <w:rFonts w:cs="Times New Roman"/>
          <w:szCs w:val="22"/>
          <w:lang w:val="en-US"/>
        </w:rPr>
        <w:t>D</w:t>
      </w:r>
      <w:r w:rsidR="00C02093" w:rsidRPr="00B3174B">
        <w:rPr>
          <w:rFonts w:cs="Times New Roman"/>
          <w:szCs w:val="22"/>
          <w:lang w:val="en-US"/>
        </w:rPr>
        <w:t xml:space="preserve">e </w:t>
      </w:r>
      <w:proofErr w:type="spellStart"/>
      <w:r w:rsidR="00C02093" w:rsidRPr="00B3174B">
        <w:rPr>
          <w:rFonts w:cs="Times New Roman"/>
          <w:szCs w:val="22"/>
          <w:lang w:val="en-US"/>
        </w:rPr>
        <w:t>Vre</w:t>
      </w:r>
      <w:r w:rsidR="00B3174B" w:rsidRPr="00B3174B">
        <w:rPr>
          <w:rFonts w:cs="Times New Roman"/>
          <w:szCs w:val="22"/>
          <w:lang w:val="en-US"/>
        </w:rPr>
        <w:t>e</w:t>
      </w:r>
      <w:r w:rsidR="00C02093" w:rsidRPr="00B3174B">
        <w:rPr>
          <w:rFonts w:cs="Times New Roman"/>
          <w:szCs w:val="22"/>
          <w:lang w:val="en-US"/>
        </w:rPr>
        <w:t>se</w:t>
      </w:r>
      <w:proofErr w:type="spellEnd"/>
      <w:r w:rsidR="00C02093" w:rsidRPr="00B3174B">
        <w:rPr>
          <w:rFonts w:cs="Times New Roman"/>
          <w:szCs w:val="22"/>
          <w:lang w:val="en-US"/>
        </w:rPr>
        <w:t xml:space="preserve"> 2010</w:t>
      </w:r>
      <w:r w:rsidRPr="00B3174B">
        <w:rPr>
          <w:rFonts w:cs="Times New Roman"/>
          <w:szCs w:val="22"/>
          <w:lang w:val="en-US"/>
        </w:rPr>
        <w:t xml:space="preserve">). </w:t>
      </w:r>
      <w:r w:rsidRPr="00220038">
        <w:rPr>
          <w:rFonts w:cs="Times New Roman"/>
          <w:szCs w:val="22"/>
          <w:lang w:val="en-US"/>
        </w:rPr>
        <w:t xml:space="preserve">While the framing literature has convincingly demonstrated the influence of elite frames (see Chong and </w:t>
      </w:r>
      <w:proofErr w:type="spellStart"/>
      <w:r w:rsidRPr="00220038">
        <w:rPr>
          <w:rFonts w:cs="Times New Roman"/>
          <w:szCs w:val="22"/>
          <w:lang w:val="en-US"/>
        </w:rPr>
        <w:t>Druckman</w:t>
      </w:r>
      <w:proofErr w:type="spellEnd"/>
      <w:r w:rsidRPr="00220038">
        <w:rPr>
          <w:rFonts w:cs="Times New Roman"/>
          <w:szCs w:val="22"/>
          <w:lang w:val="en-US"/>
        </w:rPr>
        <w:t xml:space="preserve"> 2007), much less is known </w:t>
      </w:r>
      <w:r w:rsidR="008E0CBC" w:rsidRPr="00220038">
        <w:rPr>
          <w:rFonts w:cs="Times New Roman"/>
          <w:szCs w:val="22"/>
          <w:lang w:val="en-US"/>
        </w:rPr>
        <w:t xml:space="preserve">about </w:t>
      </w:r>
      <w:r w:rsidRPr="00220038">
        <w:rPr>
          <w:rFonts w:cs="Times New Roman"/>
          <w:szCs w:val="22"/>
          <w:lang w:val="en-US"/>
        </w:rPr>
        <w:t xml:space="preserve">the effect of issue frames delivered by political parties (see </w:t>
      </w:r>
      <w:r w:rsidR="00857069" w:rsidRPr="00220038">
        <w:rPr>
          <w:rFonts w:cs="Times New Roman"/>
          <w:szCs w:val="22"/>
          <w:lang w:val="en-US"/>
        </w:rPr>
        <w:t>Bechtel et al. 2015</w:t>
      </w:r>
      <w:r w:rsidR="00857069">
        <w:rPr>
          <w:rFonts w:cs="Times New Roman"/>
          <w:szCs w:val="22"/>
          <w:lang w:val="en-US"/>
        </w:rPr>
        <w:t xml:space="preserve">; </w:t>
      </w:r>
      <w:proofErr w:type="spellStart"/>
      <w:r w:rsidRPr="00220038">
        <w:rPr>
          <w:rFonts w:cs="Times New Roman"/>
          <w:szCs w:val="22"/>
          <w:lang w:val="en-US"/>
        </w:rPr>
        <w:t>Slothuus</w:t>
      </w:r>
      <w:proofErr w:type="spellEnd"/>
      <w:r w:rsidRPr="00220038">
        <w:rPr>
          <w:rFonts w:cs="Times New Roman"/>
          <w:szCs w:val="22"/>
          <w:lang w:val="en-US"/>
        </w:rPr>
        <w:t xml:space="preserve"> and </w:t>
      </w:r>
      <w:r w:rsidR="008610A8" w:rsidRPr="00220038">
        <w:rPr>
          <w:rFonts w:cs="Times New Roman"/>
          <w:szCs w:val="22"/>
          <w:lang w:val="en-US"/>
        </w:rPr>
        <w:t>D</w:t>
      </w:r>
      <w:r w:rsidRPr="00220038">
        <w:rPr>
          <w:rFonts w:cs="Times New Roman"/>
          <w:szCs w:val="22"/>
          <w:lang w:val="en-US"/>
        </w:rPr>
        <w:t xml:space="preserve">e </w:t>
      </w:r>
      <w:proofErr w:type="spellStart"/>
      <w:r w:rsidRPr="00220038">
        <w:rPr>
          <w:rFonts w:cs="Times New Roman"/>
          <w:szCs w:val="22"/>
          <w:lang w:val="en-US"/>
        </w:rPr>
        <w:t>Vreese</w:t>
      </w:r>
      <w:proofErr w:type="spellEnd"/>
      <w:r w:rsidRPr="00220038">
        <w:rPr>
          <w:rFonts w:cs="Times New Roman"/>
          <w:szCs w:val="22"/>
          <w:lang w:val="en-US"/>
        </w:rPr>
        <w:t xml:space="preserve"> 2010 for recent exceptions).</w:t>
      </w:r>
    </w:p>
    <w:p w14:paraId="271CF41B" w14:textId="070D628B" w:rsidR="009F74E5" w:rsidRPr="00220038" w:rsidRDefault="009F74E5" w:rsidP="009F74E5">
      <w:pPr>
        <w:rPr>
          <w:lang w:val="en-US"/>
        </w:rPr>
      </w:pPr>
      <w:r w:rsidRPr="00220038">
        <w:rPr>
          <w:lang w:val="en-US"/>
        </w:rPr>
        <w:t xml:space="preserve">The aim of this paper is to examine whether and to what extent the </w:t>
      </w:r>
      <w:r w:rsidR="003532E6" w:rsidRPr="00220038">
        <w:rPr>
          <w:lang w:val="en-US"/>
        </w:rPr>
        <w:t>widespread use of</w:t>
      </w:r>
      <w:r w:rsidRPr="00220038">
        <w:rPr>
          <w:lang w:val="en-US"/>
        </w:rPr>
        <w:t xml:space="preserve"> electoral campaigns conducted by the SVP and FDP increased electoral success of those parties. In </w:t>
      </w:r>
      <w:r w:rsidR="003532E6" w:rsidRPr="00220038">
        <w:rPr>
          <w:lang w:val="en-US"/>
        </w:rPr>
        <w:t>particular</w:t>
      </w:r>
      <w:r w:rsidRPr="00220038">
        <w:rPr>
          <w:lang w:val="en-US"/>
        </w:rPr>
        <w:t>, we are interested in the degree to which th</w:t>
      </w:r>
      <w:r w:rsidR="009C7539" w:rsidRPr="00220038">
        <w:rPr>
          <w:lang w:val="en-US"/>
        </w:rPr>
        <w:t xml:space="preserve">eir </w:t>
      </w:r>
      <w:r w:rsidRPr="00220038">
        <w:rPr>
          <w:lang w:val="en-US"/>
        </w:rPr>
        <w:t>issue-specific campaigns</w:t>
      </w:r>
      <w:r w:rsidR="003532E6" w:rsidRPr="00220038">
        <w:rPr>
          <w:lang w:val="en-US"/>
        </w:rPr>
        <w:t xml:space="preserve"> </w:t>
      </w:r>
      <w:r w:rsidRPr="00220038">
        <w:rPr>
          <w:lang w:val="en-US"/>
        </w:rPr>
        <w:t xml:space="preserve">succeeded in </w:t>
      </w:r>
      <w:r w:rsidR="001A3773" w:rsidRPr="00220038">
        <w:rPr>
          <w:lang w:val="en-US"/>
        </w:rPr>
        <w:t>activating</w:t>
      </w:r>
      <w:r w:rsidRPr="00220038">
        <w:rPr>
          <w:lang w:val="en-US"/>
        </w:rPr>
        <w:t xml:space="preserve"> voters</w:t>
      </w:r>
      <w:r w:rsidR="003532E6" w:rsidRPr="00220038">
        <w:rPr>
          <w:lang w:val="en-US"/>
        </w:rPr>
        <w:t>,</w:t>
      </w:r>
      <w:r w:rsidRPr="00220038">
        <w:rPr>
          <w:lang w:val="en-US"/>
        </w:rPr>
        <w:t xml:space="preserve"> and </w:t>
      </w:r>
      <w:r w:rsidR="003532E6" w:rsidRPr="00220038">
        <w:rPr>
          <w:lang w:val="en-US"/>
        </w:rPr>
        <w:t xml:space="preserve">how they </w:t>
      </w:r>
      <w:r w:rsidRPr="00220038">
        <w:rPr>
          <w:lang w:val="en-US"/>
        </w:rPr>
        <w:t xml:space="preserve">managed to reinforce their established voter clientele. </w:t>
      </w:r>
      <w:r w:rsidR="003E35B1" w:rsidRPr="00220038">
        <w:rPr>
          <w:lang w:val="en-US"/>
        </w:rPr>
        <w:t xml:space="preserve">In addition, we also ask whether issue-specific campaign advertisements influence competence-issue ownership perceptions among a party’s potential voter clientele. </w:t>
      </w:r>
      <w:r w:rsidRPr="00220038">
        <w:rPr>
          <w:rFonts w:cs="Times New Roman"/>
          <w:szCs w:val="22"/>
          <w:lang w:val="en-US"/>
        </w:rPr>
        <w:t xml:space="preserve">We </w:t>
      </w:r>
      <w:r w:rsidR="003532E6" w:rsidRPr="00220038">
        <w:rPr>
          <w:rFonts w:cs="Times New Roman"/>
          <w:szCs w:val="22"/>
          <w:lang w:val="en-US"/>
        </w:rPr>
        <w:t>take advantage of</w:t>
      </w:r>
      <w:r w:rsidRPr="00220038">
        <w:rPr>
          <w:rFonts w:cs="Times New Roman"/>
          <w:szCs w:val="22"/>
          <w:lang w:val="en-US"/>
        </w:rPr>
        <w:t xml:space="preserve"> a new question introduced in the Selects survey 2015 that asks participants which newspaper they </w:t>
      </w:r>
      <w:r w:rsidR="000C58C2" w:rsidRPr="00220038">
        <w:rPr>
          <w:rFonts w:cs="Times New Roman"/>
          <w:szCs w:val="22"/>
          <w:lang w:val="en-US"/>
        </w:rPr>
        <w:t xml:space="preserve">consulted </w:t>
      </w:r>
      <w:r w:rsidRPr="00220038">
        <w:rPr>
          <w:rFonts w:cs="Times New Roman"/>
          <w:szCs w:val="22"/>
          <w:lang w:val="en-US"/>
        </w:rPr>
        <w:t>the most. Together with</w:t>
      </w:r>
      <w:r w:rsidR="000C58C2" w:rsidRPr="00220038">
        <w:rPr>
          <w:rFonts w:cs="Times New Roman"/>
          <w:szCs w:val="22"/>
          <w:lang w:val="en-US"/>
        </w:rPr>
        <w:t xml:space="preserve"> the Année Politique Suisse database (APS 2016)</w:t>
      </w:r>
      <w:r w:rsidR="000A5927">
        <w:rPr>
          <w:rFonts w:cs="Times New Roman"/>
          <w:szCs w:val="22"/>
          <w:lang w:val="en-US"/>
        </w:rPr>
        <w:t>,</w:t>
      </w:r>
      <w:r w:rsidR="000C58C2" w:rsidRPr="00220038">
        <w:rPr>
          <w:rFonts w:cs="Times New Roman"/>
          <w:szCs w:val="22"/>
          <w:lang w:val="en-US"/>
        </w:rPr>
        <w:t xml:space="preserve"> </w:t>
      </w:r>
      <w:r w:rsidRPr="00220038">
        <w:rPr>
          <w:rFonts w:cs="Times New Roman"/>
          <w:szCs w:val="22"/>
          <w:lang w:val="en-US"/>
        </w:rPr>
        <w:t xml:space="preserve">our data on political advertisements in print media, we are </w:t>
      </w:r>
      <w:r w:rsidR="003532E6" w:rsidRPr="00220038">
        <w:rPr>
          <w:rFonts w:cs="Times New Roman"/>
          <w:szCs w:val="22"/>
          <w:lang w:val="en-US"/>
        </w:rPr>
        <w:t>able</w:t>
      </w:r>
      <w:r w:rsidRPr="00220038">
        <w:rPr>
          <w:rFonts w:cs="Times New Roman"/>
          <w:szCs w:val="22"/>
          <w:lang w:val="en-US"/>
        </w:rPr>
        <w:t xml:space="preserve"> to create an individual measure of potential campaign exposure </w:t>
      </w:r>
      <w:r w:rsidR="005F0125" w:rsidRPr="00220038">
        <w:rPr>
          <w:rFonts w:cs="Times New Roman"/>
          <w:szCs w:val="22"/>
          <w:lang w:val="en-US"/>
        </w:rPr>
        <w:t>to</w:t>
      </w:r>
      <w:r w:rsidRPr="00220038">
        <w:rPr>
          <w:rFonts w:cs="Times New Roman"/>
          <w:szCs w:val="22"/>
          <w:lang w:val="en-US"/>
        </w:rPr>
        <w:t xml:space="preserve"> test its influence on vote choice</w:t>
      </w:r>
      <w:r w:rsidR="002C624C" w:rsidRPr="00220038">
        <w:rPr>
          <w:rFonts w:cs="Times New Roman"/>
          <w:szCs w:val="22"/>
          <w:lang w:val="en-US"/>
        </w:rPr>
        <w:t xml:space="preserve"> and issue-ownership perceptions</w:t>
      </w:r>
      <w:r w:rsidRPr="00220038">
        <w:rPr>
          <w:rFonts w:cs="Times New Roman"/>
          <w:szCs w:val="22"/>
          <w:lang w:val="en-US"/>
        </w:rPr>
        <w:t xml:space="preserve"> in the </w:t>
      </w:r>
      <w:r w:rsidR="003532E6" w:rsidRPr="00220038">
        <w:rPr>
          <w:rFonts w:cs="Times New Roman"/>
          <w:szCs w:val="22"/>
          <w:lang w:val="en-US"/>
        </w:rPr>
        <w:t xml:space="preserve">context </w:t>
      </w:r>
      <w:r w:rsidRPr="00220038">
        <w:rPr>
          <w:rFonts w:cs="Times New Roman"/>
          <w:szCs w:val="22"/>
          <w:lang w:val="en-US"/>
        </w:rPr>
        <w:t xml:space="preserve">of </w:t>
      </w:r>
      <w:r w:rsidR="005F0125" w:rsidRPr="00220038">
        <w:rPr>
          <w:rFonts w:cs="Times New Roman"/>
          <w:szCs w:val="22"/>
          <w:lang w:val="en-US"/>
        </w:rPr>
        <w:t xml:space="preserve">the 2015 </w:t>
      </w:r>
      <w:r w:rsidRPr="00220038">
        <w:rPr>
          <w:rFonts w:cs="Times New Roman"/>
          <w:szCs w:val="22"/>
          <w:lang w:val="en-US"/>
        </w:rPr>
        <w:t>general elections</w:t>
      </w:r>
      <w:r w:rsidR="00BE04E6" w:rsidRPr="00220038">
        <w:rPr>
          <w:rFonts w:cs="Times New Roman"/>
          <w:szCs w:val="22"/>
          <w:lang w:val="en-US"/>
        </w:rPr>
        <w:t>.</w:t>
      </w:r>
      <w:r w:rsidR="006840C5" w:rsidRPr="00220038">
        <w:rPr>
          <w:rStyle w:val="Appelnotedebasdep"/>
          <w:rFonts w:cs="Times New Roman"/>
          <w:szCs w:val="22"/>
          <w:lang w:val="en-US"/>
        </w:rPr>
        <w:footnoteReference w:id="1"/>
      </w:r>
      <w:r w:rsidRPr="00220038">
        <w:rPr>
          <w:lang w:val="en-US"/>
        </w:rPr>
        <w:t xml:space="preserve"> </w:t>
      </w:r>
      <w:r w:rsidR="00F66049" w:rsidRPr="00220038">
        <w:rPr>
          <w:lang w:val="en-US"/>
        </w:rPr>
        <w:t xml:space="preserve">Thus, our paper follows the logic of linkage studies (see De </w:t>
      </w:r>
      <w:proofErr w:type="spellStart"/>
      <w:r w:rsidR="00F66049" w:rsidRPr="00220038">
        <w:rPr>
          <w:lang w:val="en-US"/>
        </w:rPr>
        <w:t>Vreese</w:t>
      </w:r>
      <w:proofErr w:type="spellEnd"/>
      <w:r w:rsidR="00F66049" w:rsidRPr="00220038">
        <w:rPr>
          <w:lang w:val="en-US"/>
        </w:rPr>
        <w:t xml:space="preserve"> et al. 2017). </w:t>
      </w:r>
      <w:r w:rsidRPr="00220038">
        <w:rPr>
          <w:lang w:val="en-US"/>
        </w:rPr>
        <w:t xml:space="preserve">By making use of a unique dataset consisting of campaign advertisements published in a variety of national and regional newspapers (APS 2016), we </w:t>
      </w:r>
      <w:r w:rsidR="000E7697" w:rsidRPr="00220038">
        <w:rPr>
          <w:lang w:val="en-US"/>
        </w:rPr>
        <w:t>can,</w:t>
      </w:r>
      <w:r w:rsidRPr="00220038">
        <w:rPr>
          <w:lang w:val="en-US"/>
        </w:rPr>
        <w:t xml:space="preserve"> for the first time</w:t>
      </w:r>
      <w:r w:rsidR="000E7697" w:rsidRPr="00220038">
        <w:rPr>
          <w:lang w:val="en-US"/>
        </w:rPr>
        <w:t>,</w:t>
      </w:r>
      <w:r w:rsidRPr="00220038">
        <w:rPr>
          <w:lang w:val="en-US"/>
        </w:rPr>
        <w:t xml:space="preserve"> track electoral campaigning in all 26 cantons. We test our hypotheses with the help of multinomial regression models and the inclusion of two</w:t>
      </w:r>
      <w:r w:rsidR="003532E6" w:rsidRPr="00220038">
        <w:rPr>
          <w:lang w:val="en-US"/>
        </w:rPr>
        <w:t>-</w:t>
      </w:r>
      <w:r w:rsidRPr="00220038">
        <w:rPr>
          <w:lang w:val="en-US"/>
        </w:rPr>
        <w:t>way- and three</w:t>
      </w:r>
      <w:r w:rsidR="003532E6" w:rsidRPr="00220038">
        <w:rPr>
          <w:lang w:val="en-US"/>
        </w:rPr>
        <w:t>-</w:t>
      </w:r>
      <w:r w:rsidRPr="00220038">
        <w:rPr>
          <w:lang w:val="en-US"/>
        </w:rPr>
        <w:t>way-interactions between initial vote intention, political advertisements and issue-specific considerations.</w:t>
      </w:r>
    </w:p>
    <w:p w14:paraId="1CCD720C" w14:textId="63745BBF" w:rsidR="009F74E5" w:rsidRPr="00220038" w:rsidRDefault="009F74E5" w:rsidP="009F74E5">
      <w:pPr>
        <w:rPr>
          <w:lang w:val="en-US"/>
        </w:rPr>
      </w:pPr>
      <w:r w:rsidRPr="00220038">
        <w:rPr>
          <w:lang w:val="en-US"/>
        </w:rPr>
        <w:t xml:space="preserve">This paper is structured as follows: In the </w:t>
      </w:r>
      <w:r w:rsidR="00000BA3" w:rsidRPr="00220038">
        <w:rPr>
          <w:lang w:val="en-US"/>
        </w:rPr>
        <w:t>following</w:t>
      </w:r>
      <w:r w:rsidRPr="00220038">
        <w:rPr>
          <w:lang w:val="en-US"/>
        </w:rPr>
        <w:t xml:space="preserve"> section, we </w:t>
      </w:r>
      <w:r w:rsidR="000D12FF" w:rsidRPr="00220038">
        <w:rPr>
          <w:lang w:val="en-US"/>
        </w:rPr>
        <w:t xml:space="preserve">first </w:t>
      </w:r>
      <w:r w:rsidR="00880A6D" w:rsidRPr="00220038">
        <w:rPr>
          <w:lang w:val="en-US"/>
        </w:rPr>
        <w:t>elaborate on the theoretical framework</w:t>
      </w:r>
      <w:r w:rsidR="00000BA3" w:rsidRPr="00220038">
        <w:rPr>
          <w:lang w:val="en-US"/>
        </w:rPr>
        <w:t xml:space="preserve">, </w:t>
      </w:r>
      <w:r w:rsidRPr="00220038">
        <w:rPr>
          <w:lang w:val="en-US"/>
        </w:rPr>
        <w:t>discuss</w:t>
      </w:r>
      <w:r w:rsidR="000D12FF" w:rsidRPr="00220038">
        <w:rPr>
          <w:lang w:val="en-US"/>
        </w:rPr>
        <w:t>ing</w:t>
      </w:r>
      <w:r w:rsidRPr="00220038">
        <w:rPr>
          <w:lang w:val="en-US"/>
        </w:rPr>
        <w:t xml:space="preserve"> general characteristics of the </w:t>
      </w:r>
      <w:r w:rsidR="000D12FF" w:rsidRPr="00220038">
        <w:rPr>
          <w:lang w:val="en-US"/>
        </w:rPr>
        <w:t xml:space="preserve">2015 </w:t>
      </w:r>
      <w:r w:rsidRPr="00220038">
        <w:rPr>
          <w:lang w:val="en-US"/>
        </w:rPr>
        <w:t xml:space="preserve">electoral campaign and </w:t>
      </w:r>
      <w:r w:rsidR="00000BA3" w:rsidRPr="00220038">
        <w:rPr>
          <w:lang w:val="en-US"/>
        </w:rPr>
        <w:t>o</w:t>
      </w:r>
      <w:r w:rsidR="000D12FF" w:rsidRPr="00220038">
        <w:rPr>
          <w:lang w:val="en-US"/>
        </w:rPr>
        <w:t>utlining</w:t>
      </w:r>
      <w:r w:rsidRPr="00220038">
        <w:rPr>
          <w:lang w:val="en-US"/>
        </w:rPr>
        <w:t xml:space="preserve"> why th</w:t>
      </w:r>
      <w:r w:rsidR="00000BA3" w:rsidRPr="00220038">
        <w:rPr>
          <w:lang w:val="en-US"/>
        </w:rPr>
        <w:t>is</w:t>
      </w:r>
      <w:r w:rsidRPr="00220038">
        <w:rPr>
          <w:lang w:val="en-US"/>
        </w:rPr>
        <w:t xml:space="preserve"> context presents a likely case for campaigning to have an effect</w:t>
      </w:r>
      <w:r w:rsidR="00000BA3" w:rsidRPr="00220038">
        <w:rPr>
          <w:lang w:val="en-US"/>
        </w:rPr>
        <w:t>. We then</w:t>
      </w:r>
      <w:r w:rsidRPr="00220038">
        <w:rPr>
          <w:lang w:val="en-US"/>
        </w:rPr>
        <w:t xml:space="preserve"> </w:t>
      </w:r>
      <w:r w:rsidR="00000BA3" w:rsidRPr="00220038">
        <w:rPr>
          <w:lang w:val="en-US"/>
        </w:rPr>
        <w:t xml:space="preserve">present </w:t>
      </w:r>
      <w:r w:rsidRPr="00220038">
        <w:rPr>
          <w:lang w:val="en-US"/>
        </w:rPr>
        <w:t>our theoretical argument, refer</w:t>
      </w:r>
      <w:r w:rsidR="00000BA3" w:rsidRPr="00220038">
        <w:rPr>
          <w:lang w:val="en-US"/>
        </w:rPr>
        <w:t>ring</w:t>
      </w:r>
      <w:r w:rsidRPr="00220038">
        <w:rPr>
          <w:lang w:val="en-US"/>
        </w:rPr>
        <w:t xml:space="preserve"> to cognitive accessibility-based models</w:t>
      </w:r>
      <w:r w:rsidR="000D12FF" w:rsidRPr="00220038">
        <w:rPr>
          <w:lang w:val="en-US"/>
        </w:rPr>
        <w:t>,</w:t>
      </w:r>
      <w:r w:rsidRPr="00220038">
        <w:rPr>
          <w:lang w:val="en-US"/>
        </w:rPr>
        <w:t xml:space="preserve"> postulating that because individuals have a limited capacity to process information, they base political judgments on their most salient considerations. </w:t>
      </w:r>
      <w:r w:rsidR="000D12FF" w:rsidRPr="00220038">
        <w:rPr>
          <w:lang w:val="en-US"/>
        </w:rPr>
        <w:t>In section 3, we present o</w:t>
      </w:r>
      <w:r w:rsidRPr="00220038">
        <w:rPr>
          <w:lang w:val="en-US"/>
        </w:rPr>
        <w:t>ur methodological approach</w:t>
      </w:r>
      <w:r w:rsidR="00B02D33" w:rsidRPr="00220038">
        <w:rPr>
          <w:lang w:val="en-US"/>
        </w:rPr>
        <w:t xml:space="preserve"> (linkage study)</w:t>
      </w:r>
      <w:r w:rsidR="00764A37" w:rsidRPr="00220038">
        <w:rPr>
          <w:lang w:val="en-US"/>
        </w:rPr>
        <w:t>.</w:t>
      </w:r>
      <w:r w:rsidRPr="00220038">
        <w:rPr>
          <w:lang w:val="en-US"/>
        </w:rPr>
        <w:t xml:space="preserve"> </w:t>
      </w:r>
      <w:r w:rsidR="000D12FF" w:rsidRPr="00220038">
        <w:rPr>
          <w:lang w:val="en-US"/>
        </w:rPr>
        <w:t>O</w:t>
      </w:r>
      <w:r w:rsidRPr="00220038">
        <w:rPr>
          <w:lang w:val="en-US"/>
        </w:rPr>
        <w:t>ur main results</w:t>
      </w:r>
      <w:r w:rsidR="000D12FF" w:rsidRPr="00220038">
        <w:rPr>
          <w:lang w:val="en-US"/>
        </w:rPr>
        <w:t xml:space="preserve"> </w:t>
      </w:r>
      <w:r w:rsidR="00B02D33" w:rsidRPr="00220038">
        <w:rPr>
          <w:lang w:val="en-US"/>
        </w:rPr>
        <w:t xml:space="preserve">that hint at only limited effects of issue-specific advertisements </w:t>
      </w:r>
      <w:r w:rsidR="000D12FF" w:rsidRPr="00220038">
        <w:rPr>
          <w:lang w:val="en-US"/>
        </w:rPr>
        <w:t>are described in</w:t>
      </w:r>
      <w:r w:rsidR="00B02D33" w:rsidRPr="00220038">
        <w:rPr>
          <w:lang w:val="en-US"/>
        </w:rPr>
        <w:t xml:space="preserve"> detail</w:t>
      </w:r>
      <w:r w:rsidRPr="00220038">
        <w:rPr>
          <w:lang w:val="en-US"/>
        </w:rPr>
        <w:t xml:space="preserve"> </w:t>
      </w:r>
      <w:r w:rsidR="00880A6D" w:rsidRPr="00220038">
        <w:rPr>
          <w:lang w:val="en-US"/>
        </w:rPr>
        <w:t xml:space="preserve">in section </w:t>
      </w:r>
      <w:r w:rsidR="00764A37" w:rsidRPr="00220038">
        <w:rPr>
          <w:lang w:val="en-US"/>
        </w:rPr>
        <w:t>4</w:t>
      </w:r>
      <w:r w:rsidRPr="00220038">
        <w:rPr>
          <w:lang w:val="en-US"/>
        </w:rPr>
        <w:t xml:space="preserve">. Section </w:t>
      </w:r>
      <w:r w:rsidR="00764A37" w:rsidRPr="00220038">
        <w:rPr>
          <w:lang w:val="en-US"/>
        </w:rPr>
        <w:t>5</w:t>
      </w:r>
      <w:r w:rsidRPr="00220038">
        <w:rPr>
          <w:lang w:val="en-US"/>
        </w:rPr>
        <w:t xml:space="preserve"> </w:t>
      </w:r>
      <w:r w:rsidR="00695277" w:rsidRPr="00220038">
        <w:rPr>
          <w:lang w:val="en-US"/>
        </w:rPr>
        <w:t>proposes</w:t>
      </w:r>
      <w:r w:rsidRPr="00220038">
        <w:rPr>
          <w:lang w:val="en-US"/>
        </w:rPr>
        <w:t xml:space="preserve"> future research avenues and</w:t>
      </w:r>
      <w:r w:rsidR="007F776B" w:rsidRPr="00220038">
        <w:rPr>
          <w:lang w:val="en-US"/>
        </w:rPr>
        <w:t xml:space="preserve"> </w:t>
      </w:r>
      <w:r w:rsidR="00584129" w:rsidRPr="00220038">
        <w:rPr>
          <w:lang w:val="en-US"/>
        </w:rPr>
        <w:t>acknowledges</w:t>
      </w:r>
      <w:r w:rsidRPr="00220038">
        <w:rPr>
          <w:lang w:val="en-US"/>
        </w:rPr>
        <w:t xml:space="preserve"> some limitations of our study.</w:t>
      </w:r>
    </w:p>
    <w:p w14:paraId="109CFFB8" w14:textId="5E04218E" w:rsidR="00880A6D" w:rsidRPr="00220038" w:rsidRDefault="001E16BF" w:rsidP="005F174A">
      <w:pPr>
        <w:pStyle w:val="Titre1"/>
        <w:rPr>
          <w:lang w:val="en-US"/>
        </w:rPr>
      </w:pPr>
      <w:r>
        <w:rPr>
          <w:lang w:val="en-US"/>
        </w:rPr>
        <w:lastRenderedPageBreak/>
        <w:t>Theoretical F</w:t>
      </w:r>
      <w:r w:rsidR="009F74E5" w:rsidRPr="00220038">
        <w:rPr>
          <w:lang w:val="en-US"/>
        </w:rPr>
        <w:t>ramework</w:t>
      </w:r>
    </w:p>
    <w:p w14:paraId="79C85F55" w14:textId="5391D690" w:rsidR="00BF2137" w:rsidRPr="00220038" w:rsidRDefault="002606AE" w:rsidP="00F407D6">
      <w:pPr>
        <w:rPr>
          <w:lang w:val="en-US"/>
        </w:rPr>
      </w:pPr>
      <w:r w:rsidRPr="00220038">
        <w:rPr>
          <w:lang w:val="en-US"/>
        </w:rPr>
        <w:t xml:space="preserve">Before we </w:t>
      </w:r>
      <w:r w:rsidR="009925F4" w:rsidRPr="00220038">
        <w:rPr>
          <w:lang w:val="en-US"/>
        </w:rPr>
        <w:t xml:space="preserve">introduce </w:t>
      </w:r>
      <w:r w:rsidRPr="00220038">
        <w:rPr>
          <w:lang w:val="en-US"/>
        </w:rPr>
        <w:t>our hypotheses, we need to contextuali</w:t>
      </w:r>
      <w:r w:rsidR="007F776B" w:rsidRPr="00220038">
        <w:rPr>
          <w:lang w:val="en-US"/>
        </w:rPr>
        <w:t>z</w:t>
      </w:r>
      <w:r w:rsidRPr="00220038">
        <w:rPr>
          <w:lang w:val="en-US"/>
        </w:rPr>
        <w:t xml:space="preserve">e the electoral campaign of 2015. There are several reasons suggesting that the campaign conducted by the two parties under scrutiny are likely to have influenced individual preferences. According to </w:t>
      </w:r>
      <w:proofErr w:type="spellStart"/>
      <w:r w:rsidRPr="00220038">
        <w:rPr>
          <w:lang w:val="en-US"/>
        </w:rPr>
        <w:t>Kriesi</w:t>
      </w:r>
      <w:proofErr w:type="spellEnd"/>
      <w:r w:rsidRPr="00220038">
        <w:rPr>
          <w:lang w:val="en-US"/>
        </w:rPr>
        <w:t xml:space="preserve"> and </w:t>
      </w:r>
      <w:proofErr w:type="spellStart"/>
      <w:r w:rsidRPr="00220038">
        <w:rPr>
          <w:lang w:val="en-US"/>
        </w:rPr>
        <w:t>Sciarini</w:t>
      </w:r>
      <w:proofErr w:type="spellEnd"/>
      <w:r w:rsidRPr="00220038">
        <w:rPr>
          <w:lang w:val="en-US"/>
        </w:rPr>
        <w:t xml:space="preserve"> (2004), campaigns are most influential when built around issues that are central, well-known and highly polarizing (see also Nicolet and </w:t>
      </w:r>
      <w:proofErr w:type="spellStart"/>
      <w:r w:rsidRPr="00220038">
        <w:rPr>
          <w:lang w:val="en-US"/>
        </w:rPr>
        <w:t>Sciarini</w:t>
      </w:r>
      <w:proofErr w:type="spellEnd"/>
      <w:r w:rsidRPr="00220038">
        <w:rPr>
          <w:lang w:val="en-US"/>
        </w:rPr>
        <w:t xml:space="preserve"> 2006). With immigration and </w:t>
      </w:r>
      <w:r w:rsidR="006E3CF5" w:rsidRPr="00220038">
        <w:rPr>
          <w:lang w:val="en-US"/>
        </w:rPr>
        <w:t>Switzerland’s</w:t>
      </w:r>
      <w:r w:rsidRPr="00220038">
        <w:rPr>
          <w:lang w:val="en-US"/>
        </w:rPr>
        <w:t xml:space="preserve"> relations to the EU, the </w:t>
      </w:r>
      <w:r w:rsidR="00AF1CE7" w:rsidRPr="00220038">
        <w:rPr>
          <w:lang w:val="en-US"/>
        </w:rPr>
        <w:t>SVP</w:t>
      </w:r>
      <w:r w:rsidRPr="00220038">
        <w:rPr>
          <w:lang w:val="en-US"/>
        </w:rPr>
        <w:t xml:space="preserve"> and the </w:t>
      </w:r>
      <w:r w:rsidR="00AF1CE7" w:rsidRPr="00220038">
        <w:rPr>
          <w:lang w:val="en-US"/>
        </w:rPr>
        <w:t>FDP</w:t>
      </w:r>
      <w:r w:rsidRPr="00220038">
        <w:rPr>
          <w:lang w:val="en-US"/>
        </w:rPr>
        <w:t xml:space="preserve"> focused on two highly contested issues that were regarded as </w:t>
      </w:r>
      <w:r w:rsidR="00AF1CE7" w:rsidRPr="00220038">
        <w:rPr>
          <w:lang w:val="en-US"/>
        </w:rPr>
        <w:t xml:space="preserve">both </w:t>
      </w:r>
      <w:r w:rsidRPr="00220038">
        <w:rPr>
          <w:lang w:val="en-US"/>
        </w:rPr>
        <w:t xml:space="preserve">salient and pressing. During </w:t>
      </w:r>
      <w:r w:rsidR="006E3CF5" w:rsidRPr="00220038">
        <w:rPr>
          <w:lang w:val="en-US"/>
        </w:rPr>
        <w:t xml:space="preserve">the </w:t>
      </w:r>
      <w:r w:rsidRPr="00220038">
        <w:rPr>
          <w:lang w:val="en-US"/>
        </w:rPr>
        <w:t xml:space="preserve">spring and summer </w:t>
      </w:r>
      <w:r w:rsidR="006E3CF5" w:rsidRPr="00220038">
        <w:rPr>
          <w:lang w:val="en-US"/>
        </w:rPr>
        <w:t xml:space="preserve">of </w:t>
      </w:r>
      <w:r w:rsidRPr="00220038">
        <w:rPr>
          <w:lang w:val="en-US"/>
        </w:rPr>
        <w:t>2015</w:t>
      </w:r>
      <w:r w:rsidR="00E74913" w:rsidRPr="00220038">
        <w:rPr>
          <w:lang w:val="en-US"/>
        </w:rPr>
        <w:t xml:space="preserve"> and thus in the run-up to the elections</w:t>
      </w:r>
      <w:r w:rsidRPr="00220038">
        <w:rPr>
          <w:lang w:val="en-US"/>
        </w:rPr>
        <w:t xml:space="preserve">, </w:t>
      </w:r>
      <w:r w:rsidR="00896841" w:rsidRPr="00220038">
        <w:rPr>
          <w:lang w:val="en-US"/>
        </w:rPr>
        <w:t xml:space="preserve">the </w:t>
      </w:r>
      <w:r w:rsidRPr="00220038">
        <w:rPr>
          <w:lang w:val="en-US"/>
        </w:rPr>
        <w:t xml:space="preserve">media was dominated by reporting on refugee catastrophes in the </w:t>
      </w:r>
      <w:r w:rsidR="00896841" w:rsidRPr="00220038">
        <w:rPr>
          <w:lang w:val="en-US"/>
        </w:rPr>
        <w:t>Mediterranean Sea</w:t>
      </w:r>
      <w:r w:rsidRPr="00220038">
        <w:rPr>
          <w:lang w:val="en-US"/>
        </w:rPr>
        <w:t xml:space="preserve"> and the sharp increase </w:t>
      </w:r>
      <w:r w:rsidR="00896841" w:rsidRPr="00220038">
        <w:rPr>
          <w:lang w:val="en-US"/>
        </w:rPr>
        <w:t>of</w:t>
      </w:r>
      <w:r w:rsidRPr="00220038">
        <w:rPr>
          <w:lang w:val="en-US"/>
        </w:rPr>
        <w:t xml:space="preserve"> asylum seekers in Europe (</w:t>
      </w:r>
      <w:proofErr w:type="spellStart"/>
      <w:r w:rsidRPr="00220038">
        <w:rPr>
          <w:lang w:val="en-US"/>
        </w:rPr>
        <w:t>Fög</w:t>
      </w:r>
      <w:proofErr w:type="spellEnd"/>
      <w:r w:rsidRPr="00220038">
        <w:rPr>
          <w:lang w:val="en-US"/>
        </w:rPr>
        <w:t xml:space="preserve"> 2015), potentially influencing voters’ perception of relevant problems (</w:t>
      </w:r>
      <w:r w:rsidR="00857069" w:rsidRPr="00220038">
        <w:rPr>
          <w:lang w:val="en-US"/>
        </w:rPr>
        <w:t>Gerber and Mueller 2016</w:t>
      </w:r>
      <w:r w:rsidR="00857069">
        <w:rPr>
          <w:lang w:val="en-US"/>
        </w:rPr>
        <w:t xml:space="preserve">; </w:t>
      </w:r>
      <w:r w:rsidRPr="00220038">
        <w:rPr>
          <w:lang w:val="en-US"/>
        </w:rPr>
        <w:t xml:space="preserve">Longchamp et al. 2015): 44% of respondents in the </w:t>
      </w:r>
      <w:r w:rsidR="00DF3DDF" w:rsidRPr="00220038">
        <w:rPr>
          <w:lang w:val="en-US"/>
        </w:rPr>
        <w:t xml:space="preserve">2015 </w:t>
      </w:r>
      <w:r w:rsidRPr="00220038">
        <w:rPr>
          <w:lang w:val="en-US"/>
        </w:rPr>
        <w:t>Selects survey indicated that they regard the issues of migration and asylum as the most important problem</w:t>
      </w:r>
      <w:r w:rsidR="00436F47" w:rsidRPr="00220038">
        <w:rPr>
          <w:lang w:val="en-US"/>
        </w:rPr>
        <w:t xml:space="preserve">s </w:t>
      </w:r>
      <w:r w:rsidR="006E5D13" w:rsidRPr="00220038">
        <w:rPr>
          <w:lang w:val="en-US"/>
        </w:rPr>
        <w:t xml:space="preserve">Switzerland </w:t>
      </w:r>
      <w:r w:rsidR="00436F47" w:rsidRPr="00220038">
        <w:rPr>
          <w:lang w:val="en-US"/>
        </w:rPr>
        <w:t>currently</w:t>
      </w:r>
      <w:r w:rsidRPr="00220038">
        <w:rPr>
          <w:lang w:val="en-US"/>
        </w:rPr>
        <w:t xml:space="preserve"> </w:t>
      </w:r>
      <w:r w:rsidR="00436F47" w:rsidRPr="00220038">
        <w:rPr>
          <w:lang w:val="en-US"/>
        </w:rPr>
        <w:t>fac</w:t>
      </w:r>
      <w:r w:rsidR="006E5D13">
        <w:rPr>
          <w:lang w:val="en-US"/>
        </w:rPr>
        <w:t>es</w:t>
      </w:r>
      <w:r w:rsidRPr="00220038">
        <w:rPr>
          <w:lang w:val="en-US"/>
        </w:rPr>
        <w:t xml:space="preserve"> (Lutz 2016). Compared to the ranking of most important problems in former Selects studies (1995-2011)</w:t>
      </w:r>
      <w:r w:rsidR="00D7645B" w:rsidRPr="00220038">
        <w:rPr>
          <w:lang w:val="en-US"/>
        </w:rPr>
        <w:t>,</w:t>
      </w:r>
      <w:r w:rsidRPr="00220038">
        <w:rPr>
          <w:lang w:val="en-US"/>
        </w:rPr>
        <w:t xml:space="preserve"> the 2015 results are surprising</w:t>
      </w:r>
      <w:r w:rsidR="00600351" w:rsidRPr="00220038">
        <w:rPr>
          <w:lang w:val="en-US"/>
        </w:rPr>
        <w:t xml:space="preserve"> in their singularity</w:t>
      </w:r>
      <w:r w:rsidRPr="00220038">
        <w:rPr>
          <w:lang w:val="en-US"/>
        </w:rPr>
        <w:t xml:space="preserve">: adherents of all seven major parties classified the issue of migration and asylum to be the most important problem to solve (ibid.). </w:t>
      </w:r>
    </w:p>
    <w:p w14:paraId="1E644333" w14:textId="2EAB10CB" w:rsidR="00530E56" w:rsidRPr="00220038" w:rsidRDefault="002606AE" w:rsidP="00F407D6">
      <w:pPr>
        <w:rPr>
          <w:rFonts w:eastAsia="Times New Roman" w:cs="Times New Roman"/>
          <w:szCs w:val="22"/>
          <w:lang w:val="en-US" w:eastAsia="de-DE"/>
        </w:rPr>
      </w:pPr>
      <w:r w:rsidRPr="00220038">
        <w:rPr>
          <w:lang w:val="en-US"/>
        </w:rPr>
        <w:t xml:space="preserve">In February 2014, the SVP’s initiative against mass immigration had been accepted at the ballot, resulting in great uncertainties about the future of Switzerland’s relations with the EU, </w:t>
      </w:r>
      <w:r w:rsidR="002E0597" w:rsidRPr="00220038">
        <w:rPr>
          <w:lang w:val="en-US"/>
        </w:rPr>
        <w:t xml:space="preserve">as </w:t>
      </w:r>
      <w:r w:rsidRPr="00220038">
        <w:rPr>
          <w:lang w:val="en-US"/>
        </w:rPr>
        <w:t xml:space="preserve">the government was </w:t>
      </w:r>
      <w:r w:rsidR="002E0597" w:rsidRPr="00220038">
        <w:rPr>
          <w:szCs w:val="22"/>
          <w:lang w:val="en-US"/>
        </w:rPr>
        <w:t xml:space="preserve">requested </w:t>
      </w:r>
      <w:r w:rsidRPr="00220038">
        <w:rPr>
          <w:szCs w:val="22"/>
          <w:lang w:val="en-US"/>
        </w:rPr>
        <w:t xml:space="preserve">to </w:t>
      </w:r>
      <w:r w:rsidRPr="00220038">
        <w:rPr>
          <w:rFonts w:eastAsia="Times New Roman" w:cs="Times New Roman"/>
          <w:szCs w:val="22"/>
          <w:lang w:val="en-US" w:eastAsia="de-DE"/>
        </w:rPr>
        <w:t>renegotiate the Agreement on the Free Movement of Persons with the EU.</w:t>
      </w:r>
      <w:r w:rsidR="00BF2137" w:rsidRPr="00220038">
        <w:rPr>
          <w:rFonts w:eastAsia="Times New Roman" w:cs="Times New Roman"/>
          <w:szCs w:val="22"/>
          <w:lang w:val="en-US" w:eastAsia="de-DE"/>
        </w:rPr>
        <w:t xml:space="preserve"> </w:t>
      </w:r>
      <w:r w:rsidRPr="00220038">
        <w:rPr>
          <w:rFonts w:eastAsia="Times New Roman" w:cs="Times New Roman"/>
          <w:szCs w:val="22"/>
          <w:lang w:val="en-US" w:eastAsia="de-DE"/>
        </w:rPr>
        <w:t xml:space="preserve">Among the Selects respondents, </w:t>
      </w:r>
      <w:r w:rsidR="00275928" w:rsidRPr="00220038">
        <w:rPr>
          <w:rFonts w:eastAsia="Times New Roman" w:cs="Times New Roman"/>
          <w:szCs w:val="22"/>
          <w:lang w:val="en-US" w:eastAsia="de-DE"/>
        </w:rPr>
        <w:t>13% considered European policy to be the most important issue for Switzerland, making this</w:t>
      </w:r>
      <w:r w:rsidRPr="00220038">
        <w:rPr>
          <w:rFonts w:eastAsia="Times New Roman" w:cs="Times New Roman"/>
          <w:szCs w:val="22"/>
          <w:lang w:val="en-US" w:eastAsia="de-DE"/>
        </w:rPr>
        <w:t xml:space="preserve"> the second most </w:t>
      </w:r>
      <w:r w:rsidR="00275928" w:rsidRPr="00220038">
        <w:rPr>
          <w:rFonts w:eastAsia="Times New Roman" w:cs="Times New Roman"/>
          <w:szCs w:val="22"/>
          <w:lang w:val="en-US" w:eastAsia="de-DE"/>
        </w:rPr>
        <w:t>salient issue after immigration and asylum</w:t>
      </w:r>
      <w:r w:rsidRPr="00220038">
        <w:rPr>
          <w:rFonts w:eastAsia="Times New Roman" w:cs="Times New Roman"/>
          <w:szCs w:val="22"/>
          <w:lang w:val="en-US" w:eastAsia="de-DE"/>
        </w:rPr>
        <w:t xml:space="preserve"> </w:t>
      </w:r>
      <w:r w:rsidR="00275928" w:rsidRPr="00220038">
        <w:rPr>
          <w:rFonts w:eastAsia="Times New Roman" w:cs="Times New Roman"/>
          <w:szCs w:val="22"/>
          <w:lang w:val="en-US" w:eastAsia="de-DE"/>
        </w:rPr>
        <w:t>(</w:t>
      </w:r>
      <w:r w:rsidRPr="00220038">
        <w:rPr>
          <w:rFonts w:eastAsia="Times New Roman" w:cs="Times New Roman"/>
          <w:szCs w:val="22"/>
          <w:lang w:val="en-US" w:eastAsia="de-DE"/>
        </w:rPr>
        <w:t xml:space="preserve">Lutz 2016). </w:t>
      </w:r>
    </w:p>
    <w:p w14:paraId="6135CA11" w14:textId="027D2A3F" w:rsidR="00553AD3" w:rsidRPr="00220038" w:rsidRDefault="002606AE" w:rsidP="00F407D6">
      <w:pPr>
        <w:rPr>
          <w:lang w:val="en-US"/>
        </w:rPr>
      </w:pPr>
      <w:r w:rsidRPr="00220038">
        <w:rPr>
          <w:rFonts w:eastAsia="Times New Roman" w:cs="Times New Roman"/>
          <w:szCs w:val="22"/>
          <w:lang w:val="en-US" w:eastAsia="de-DE"/>
        </w:rPr>
        <w:t xml:space="preserve">Turning to the economy, </w:t>
      </w:r>
      <w:r w:rsidRPr="00220038">
        <w:rPr>
          <w:lang w:val="en-US"/>
        </w:rPr>
        <w:t>the Swiss National Bank surprisingly annulled the minimum exchange rate against the Euro at the beginning of 2015. As a consequence, uncertainties with regard to potential economic consequences were growing, rendering the topic</w:t>
      </w:r>
      <w:r w:rsidR="00530E56" w:rsidRPr="00220038">
        <w:rPr>
          <w:lang w:val="en-US"/>
        </w:rPr>
        <w:t xml:space="preserve"> </w:t>
      </w:r>
      <w:r w:rsidRPr="00220038">
        <w:rPr>
          <w:lang w:val="en-US"/>
        </w:rPr>
        <w:t xml:space="preserve">a salient issue throughout the year (Lutz and </w:t>
      </w:r>
      <w:proofErr w:type="spellStart"/>
      <w:r w:rsidRPr="00220038">
        <w:rPr>
          <w:lang w:val="en-US"/>
        </w:rPr>
        <w:t>Sciarini</w:t>
      </w:r>
      <w:proofErr w:type="spellEnd"/>
      <w:r w:rsidRPr="00220038">
        <w:rPr>
          <w:lang w:val="en-US"/>
        </w:rPr>
        <w:t xml:space="preserve"> 2016: 9). The economy, however, was only regarded to be the most important problem by 5% of the Selects respondents (Lutz 2016), </w:t>
      </w:r>
      <w:r w:rsidR="00794C6A" w:rsidRPr="00220038">
        <w:rPr>
          <w:lang w:val="en-US"/>
        </w:rPr>
        <w:t xml:space="preserve">indicating that </w:t>
      </w:r>
      <w:r w:rsidRPr="00220038">
        <w:rPr>
          <w:lang w:val="en-US"/>
        </w:rPr>
        <w:t xml:space="preserve">the issue </w:t>
      </w:r>
      <w:r w:rsidR="00794C6A" w:rsidRPr="00220038">
        <w:rPr>
          <w:lang w:val="en-US"/>
        </w:rPr>
        <w:t xml:space="preserve">was seen as </w:t>
      </w:r>
      <w:r w:rsidRPr="00220038">
        <w:rPr>
          <w:lang w:val="en-US"/>
        </w:rPr>
        <w:t xml:space="preserve">less pressing than </w:t>
      </w:r>
      <w:r w:rsidR="00C73E1D" w:rsidRPr="00220038">
        <w:rPr>
          <w:lang w:val="en-US"/>
        </w:rPr>
        <w:t xml:space="preserve">immigration and </w:t>
      </w:r>
      <w:r w:rsidR="007A3DB2" w:rsidRPr="00220038">
        <w:rPr>
          <w:lang w:val="en-US"/>
        </w:rPr>
        <w:t xml:space="preserve">European </w:t>
      </w:r>
      <w:r w:rsidR="00EC7731" w:rsidRPr="00220038">
        <w:rPr>
          <w:lang w:val="en-US"/>
        </w:rPr>
        <w:t>policy</w:t>
      </w:r>
      <w:r w:rsidRPr="00220038">
        <w:rPr>
          <w:lang w:val="en-US"/>
        </w:rPr>
        <w:t>.</w:t>
      </w:r>
    </w:p>
    <w:p w14:paraId="720AE2A6" w14:textId="2E4DBFB4" w:rsidR="00930CA5" w:rsidRPr="00220038" w:rsidRDefault="00553AD3" w:rsidP="00F407D6">
      <w:pPr>
        <w:rPr>
          <w:rFonts w:cs="Times New Roman"/>
          <w:lang w:val="en-US"/>
        </w:rPr>
      </w:pPr>
      <w:r w:rsidRPr="00220038">
        <w:rPr>
          <w:lang w:val="en-US"/>
        </w:rPr>
        <w:t>A</w:t>
      </w:r>
      <w:r w:rsidR="002606AE" w:rsidRPr="00220038">
        <w:rPr>
          <w:lang w:val="en-US"/>
        </w:rPr>
        <w:t xml:space="preserve"> salient topic alone does not present a sufficient condition for voters to change their minds</w:t>
      </w:r>
      <w:r w:rsidR="00EC7731" w:rsidRPr="00220038">
        <w:rPr>
          <w:lang w:val="en-US"/>
        </w:rPr>
        <w:t xml:space="preserve"> about the party they favor</w:t>
      </w:r>
      <w:r w:rsidR="002606AE" w:rsidRPr="00220038">
        <w:rPr>
          <w:lang w:val="en-US"/>
        </w:rPr>
        <w:t>.</w:t>
      </w:r>
      <w:r w:rsidR="00930CA5" w:rsidRPr="00220038" w:rsidDel="00930CA5">
        <w:rPr>
          <w:lang w:val="en-US"/>
        </w:rPr>
        <w:t xml:space="preserve"> </w:t>
      </w:r>
      <w:r w:rsidR="002473AE" w:rsidRPr="00220038">
        <w:rPr>
          <w:rFonts w:cs="Times New Roman"/>
          <w:lang w:val="en-US"/>
        </w:rPr>
        <w:t>W</w:t>
      </w:r>
      <w:r w:rsidR="004615F5" w:rsidRPr="00220038">
        <w:rPr>
          <w:rFonts w:cs="Times New Roman"/>
          <w:lang w:val="en-US"/>
        </w:rPr>
        <w:t>e argue that campaign messages on a given</w:t>
      </w:r>
      <w:r w:rsidR="00930CA5" w:rsidRPr="00220038">
        <w:rPr>
          <w:rFonts w:cs="Times New Roman"/>
          <w:lang w:val="en-US"/>
        </w:rPr>
        <w:t xml:space="preserve"> salient </w:t>
      </w:r>
      <w:r w:rsidR="004615F5" w:rsidRPr="00220038">
        <w:rPr>
          <w:rFonts w:cs="Times New Roman"/>
          <w:lang w:val="en-US"/>
        </w:rPr>
        <w:t xml:space="preserve">issue have the power to alter vote intentions </w:t>
      </w:r>
      <w:r w:rsidR="00F86358" w:rsidRPr="00220038">
        <w:rPr>
          <w:rFonts w:cs="Times New Roman"/>
          <w:lang w:val="en-US"/>
        </w:rPr>
        <w:t xml:space="preserve">only </w:t>
      </w:r>
      <w:r w:rsidR="004615F5" w:rsidRPr="00220038">
        <w:rPr>
          <w:rFonts w:cs="Times New Roman"/>
          <w:lang w:val="en-US"/>
        </w:rPr>
        <w:t xml:space="preserve">when the </w:t>
      </w:r>
      <w:r w:rsidR="00F86358" w:rsidRPr="00220038">
        <w:rPr>
          <w:rFonts w:cs="Times New Roman"/>
          <w:lang w:val="en-US"/>
        </w:rPr>
        <w:t>party</w:t>
      </w:r>
      <w:r w:rsidR="004615F5" w:rsidRPr="00220038">
        <w:rPr>
          <w:rFonts w:cs="Times New Roman"/>
          <w:lang w:val="en-US"/>
        </w:rPr>
        <w:t xml:space="preserve"> sponsoring them is perceived </w:t>
      </w:r>
      <w:r w:rsidR="00F86358" w:rsidRPr="00220038">
        <w:rPr>
          <w:rFonts w:cs="Times New Roman"/>
          <w:lang w:val="en-US"/>
        </w:rPr>
        <w:t>as</w:t>
      </w:r>
      <w:r w:rsidR="00BE5ABA" w:rsidRPr="00220038">
        <w:rPr>
          <w:rFonts w:cs="Times New Roman"/>
          <w:lang w:val="en-US"/>
        </w:rPr>
        <w:t xml:space="preserve"> </w:t>
      </w:r>
      <w:r w:rsidR="00F86358" w:rsidRPr="00220038">
        <w:rPr>
          <w:rFonts w:cs="Times New Roman"/>
          <w:lang w:val="en-US"/>
        </w:rPr>
        <w:t>the actor</w:t>
      </w:r>
      <w:r w:rsidR="00BE5ABA" w:rsidRPr="00220038">
        <w:rPr>
          <w:rFonts w:cs="Times New Roman"/>
          <w:lang w:val="en-US"/>
        </w:rPr>
        <w:t xml:space="preserve"> </w:t>
      </w:r>
      <w:r w:rsidR="00F86358" w:rsidRPr="00220038">
        <w:rPr>
          <w:rFonts w:cs="Times New Roman"/>
          <w:lang w:val="en-US"/>
        </w:rPr>
        <w:t xml:space="preserve">best </w:t>
      </w:r>
      <w:r w:rsidR="00BE5ABA" w:rsidRPr="00220038">
        <w:rPr>
          <w:rFonts w:cs="Times New Roman"/>
          <w:lang w:val="en-US"/>
        </w:rPr>
        <w:t xml:space="preserve">able to deal with </w:t>
      </w:r>
      <w:r w:rsidR="00361F76" w:rsidRPr="00220038">
        <w:rPr>
          <w:rFonts w:cs="Times New Roman"/>
          <w:lang w:val="en-US"/>
        </w:rPr>
        <w:t>it</w:t>
      </w:r>
      <w:r w:rsidR="00B01F5B" w:rsidRPr="00220038">
        <w:rPr>
          <w:rFonts w:cs="Times New Roman"/>
          <w:lang w:val="en-US"/>
        </w:rPr>
        <w:t>. In the literature,</w:t>
      </w:r>
      <w:r w:rsidR="000501BC" w:rsidRPr="00220038">
        <w:rPr>
          <w:rFonts w:cs="Times New Roman"/>
          <w:lang w:val="en-US"/>
        </w:rPr>
        <w:t xml:space="preserve"> this is referred to as</w:t>
      </w:r>
      <w:r w:rsidR="00BE5ABA" w:rsidRPr="00220038">
        <w:rPr>
          <w:rFonts w:cs="Times New Roman"/>
          <w:lang w:val="en-US"/>
        </w:rPr>
        <w:t xml:space="preserve"> </w:t>
      </w:r>
      <w:r w:rsidR="000501BC" w:rsidRPr="00220038">
        <w:rPr>
          <w:rFonts w:cs="Times New Roman"/>
          <w:lang w:val="en-US"/>
        </w:rPr>
        <w:t>“</w:t>
      </w:r>
      <w:r w:rsidR="00BE5ABA" w:rsidRPr="00220038">
        <w:rPr>
          <w:rFonts w:cs="Times New Roman"/>
          <w:lang w:val="en-US"/>
        </w:rPr>
        <w:t>owning an issue</w:t>
      </w:r>
      <w:r w:rsidR="000501BC" w:rsidRPr="00220038">
        <w:rPr>
          <w:rFonts w:cs="Times New Roman"/>
          <w:lang w:val="en-US"/>
        </w:rPr>
        <w:t>”</w:t>
      </w:r>
      <w:r w:rsidR="00BE5ABA" w:rsidRPr="00220038">
        <w:rPr>
          <w:rFonts w:cs="Times New Roman"/>
          <w:lang w:val="en-US"/>
        </w:rPr>
        <w:t xml:space="preserve"> (</w:t>
      </w:r>
      <w:proofErr w:type="spellStart"/>
      <w:r w:rsidR="00E9758A" w:rsidRPr="00220038">
        <w:rPr>
          <w:rFonts w:cs="Times New Roman"/>
          <w:lang w:val="en-US"/>
        </w:rPr>
        <w:t>Geers</w:t>
      </w:r>
      <w:proofErr w:type="spellEnd"/>
      <w:r w:rsidR="00E9758A" w:rsidRPr="00220038">
        <w:rPr>
          <w:rFonts w:cs="Times New Roman"/>
          <w:lang w:val="en-US"/>
        </w:rPr>
        <w:t xml:space="preserve"> and Bos 2017</w:t>
      </w:r>
      <w:r w:rsidR="00E9758A">
        <w:rPr>
          <w:rFonts w:cs="Times New Roman"/>
          <w:lang w:val="en-US"/>
        </w:rPr>
        <w:t xml:space="preserve">; </w:t>
      </w:r>
      <w:proofErr w:type="spellStart"/>
      <w:r w:rsidR="00BE5ABA" w:rsidRPr="00220038">
        <w:rPr>
          <w:rFonts w:cs="Times New Roman"/>
          <w:lang w:val="en-US"/>
        </w:rPr>
        <w:t>Petrocik</w:t>
      </w:r>
      <w:proofErr w:type="spellEnd"/>
      <w:r w:rsidR="00BE5ABA" w:rsidRPr="00220038">
        <w:rPr>
          <w:rFonts w:cs="Times New Roman"/>
          <w:lang w:val="en-US"/>
        </w:rPr>
        <w:t xml:space="preserve"> 1996).</w:t>
      </w:r>
      <w:r w:rsidR="001A3773" w:rsidRPr="00220038">
        <w:rPr>
          <w:rFonts w:cs="Times New Roman"/>
          <w:color w:val="000000" w:themeColor="text1"/>
          <w:lang w:val="en-US"/>
        </w:rPr>
        <w:t xml:space="preserve"> Numerous </w:t>
      </w:r>
      <w:r w:rsidR="001A3773" w:rsidRPr="00220038">
        <w:rPr>
          <w:color w:val="000000" w:themeColor="text1"/>
          <w:lang w:val="en-US"/>
        </w:rPr>
        <w:t xml:space="preserve">studies have demonstrated a potential electoral advantage for political parties owning a salient issue (Alvarez et al. 2000; </w:t>
      </w:r>
      <w:proofErr w:type="spellStart"/>
      <w:r w:rsidR="001A3773" w:rsidRPr="00220038">
        <w:rPr>
          <w:color w:val="000000" w:themeColor="text1"/>
          <w:lang w:val="en-US"/>
        </w:rPr>
        <w:t>Bélanger</w:t>
      </w:r>
      <w:proofErr w:type="spellEnd"/>
      <w:r w:rsidR="001A3773" w:rsidRPr="00220038">
        <w:rPr>
          <w:color w:val="000000" w:themeColor="text1"/>
          <w:lang w:val="en-US"/>
        </w:rPr>
        <w:t xml:space="preserve"> and </w:t>
      </w:r>
      <w:proofErr w:type="spellStart"/>
      <w:r w:rsidR="001A3773" w:rsidRPr="00220038">
        <w:rPr>
          <w:color w:val="000000" w:themeColor="text1"/>
          <w:lang w:val="en-US"/>
        </w:rPr>
        <w:t>Meguid</w:t>
      </w:r>
      <w:proofErr w:type="spellEnd"/>
      <w:r w:rsidR="001A3773" w:rsidRPr="00220038">
        <w:rPr>
          <w:color w:val="000000" w:themeColor="text1"/>
          <w:lang w:val="en-US"/>
        </w:rPr>
        <w:t xml:space="preserve"> 2008; </w:t>
      </w:r>
      <w:proofErr w:type="spellStart"/>
      <w:r w:rsidR="001A3773" w:rsidRPr="00220038">
        <w:rPr>
          <w:color w:val="000000" w:themeColor="text1"/>
          <w:lang w:val="en-US"/>
        </w:rPr>
        <w:t>Kriesi</w:t>
      </w:r>
      <w:proofErr w:type="spellEnd"/>
      <w:r w:rsidR="001A3773" w:rsidRPr="00220038">
        <w:rPr>
          <w:color w:val="000000" w:themeColor="text1"/>
          <w:lang w:val="en-US"/>
        </w:rPr>
        <w:t xml:space="preserve"> and </w:t>
      </w:r>
      <w:proofErr w:type="spellStart"/>
      <w:r w:rsidR="001A3773" w:rsidRPr="00220038">
        <w:rPr>
          <w:color w:val="000000" w:themeColor="text1"/>
          <w:lang w:val="en-US"/>
        </w:rPr>
        <w:t>Sciarini</w:t>
      </w:r>
      <w:proofErr w:type="spellEnd"/>
      <w:r w:rsidR="001A3773" w:rsidRPr="00220038">
        <w:rPr>
          <w:color w:val="000000" w:themeColor="text1"/>
          <w:lang w:val="en-US"/>
        </w:rPr>
        <w:t xml:space="preserve"> 2004; Lutz and </w:t>
      </w:r>
      <w:proofErr w:type="spellStart"/>
      <w:r w:rsidR="001A3773" w:rsidRPr="00220038">
        <w:rPr>
          <w:color w:val="000000" w:themeColor="text1"/>
          <w:lang w:val="en-US"/>
        </w:rPr>
        <w:t>Sciarini</w:t>
      </w:r>
      <w:proofErr w:type="spellEnd"/>
      <w:r w:rsidR="001A3773" w:rsidRPr="00220038">
        <w:rPr>
          <w:color w:val="000000" w:themeColor="text1"/>
          <w:lang w:val="en-US"/>
        </w:rPr>
        <w:t xml:space="preserve"> 2016).</w:t>
      </w:r>
      <w:r w:rsidR="001A3773" w:rsidRPr="00220038">
        <w:rPr>
          <w:rFonts w:ascii="Times" w:hAnsi="Times" w:cs="Times"/>
          <w:color w:val="000000"/>
          <w:szCs w:val="22"/>
          <w:lang w:val="en-US"/>
        </w:rPr>
        <w:t xml:space="preserve"> </w:t>
      </w:r>
      <w:r w:rsidR="00BE5ABA" w:rsidRPr="00220038">
        <w:rPr>
          <w:rFonts w:cs="Times New Roman"/>
          <w:lang w:val="en-US"/>
        </w:rPr>
        <w:t xml:space="preserve">In this regard, </w:t>
      </w:r>
      <w:r w:rsidR="00880A6D" w:rsidRPr="00220038">
        <w:rPr>
          <w:rFonts w:cs="Times New Roman"/>
          <w:lang w:val="en-US"/>
        </w:rPr>
        <w:t>the distinction between associative and competence issue-ownership</w:t>
      </w:r>
      <w:r w:rsidR="00BE5ABA" w:rsidRPr="00220038">
        <w:rPr>
          <w:rFonts w:cs="Times New Roman"/>
          <w:lang w:val="en-US"/>
        </w:rPr>
        <w:t xml:space="preserve"> is pivotal</w:t>
      </w:r>
      <w:r w:rsidR="00880A6D" w:rsidRPr="00220038">
        <w:rPr>
          <w:rFonts w:cs="Times New Roman"/>
          <w:lang w:val="en-US"/>
        </w:rPr>
        <w:t xml:space="preserve">. </w:t>
      </w:r>
      <w:r w:rsidR="00BE5ABA" w:rsidRPr="00220038">
        <w:rPr>
          <w:rFonts w:cs="Times New Roman"/>
          <w:lang w:val="en-US"/>
        </w:rPr>
        <w:t>While associative issue-ownership</w:t>
      </w:r>
      <w:r w:rsidR="00880A6D" w:rsidRPr="00220038">
        <w:rPr>
          <w:rFonts w:cs="Times New Roman"/>
          <w:lang w:val="en-US"/>
        </w:rPr>
        <w:t xml:space="preserve"> denotes the “spontaneous association between an issue and a party in the minds of voters</w:t>
      </w:r>
      <w:r w:rsidR="004F4691" w:rsidRPr="00220038">
        <w:rPr>
          <w:rFonts w:cs="Times New Roman"/>
          <w:lang w:val="en-US"/>
        </w:rPr>
        <w:t>”</w:t>
      </w:r>
      <w:r w:rsidR="00BE5ABA" w:rsidRPr="00220038">
        <w:rPr>
          <w:rFonts w:cs="Times New Roman"/>
          <w:lang w:val="en-US"/>
        </w:rPr>
        <w:t>, competence issue</w:t>
      </w:r>
      <w:r w:rsidR="00722532" w:rsidRPr="00220038">
        <w:rPr>
          <w:rFonts w:cs="Times New Roman"/>
          <w:lang w:val="en-US"/>
        </w:rPr>
        <w:t>-</w:t>
      </w:r>
      <w:r w:rsidR="00BE5ABA" w:rsidRPr="00220038">
        <w:rPr>
          <w:rFonts w:cs="Times New Roman"/>
          <w:lang w:val="en-US"/>
        </w:rPr>
        <w:t>ownership refers to</w:t>
      </w:r>
      <w:r w:rsidR="005F174A" w:rsidRPr="00220038">
        <w:rPr>
          <w:rFonts w:cs="Times New Roman"/>
          <w:lang w:val="en-US"/>
        </w:rPr>
        <w:t xml:space="preserve"> </w:t>
      </w:r>
      <w:r w:rsidR="00880A6D" w:rsidRPr="00220038">
        <w:rPr>
          <w:rFonts w:cs="Times New Roman"/>
          <w:lang w:val="en-US"/>
        </w:rPr>
        <w:t xml:space="preserve">the belief that a party is the most competent to </w:t>
      </w:r>
      <w:r w:rsidR="00880A6D" w:rsidRPr="00220038">
        <w:rPr>
          <w:rFonts w:cs="Times New Roman"/>
          <w:lang w:val="en-US"/>
        </w:rPr>
        <w:lastRenderedPageBreak/>
        <w:t>handle a relevant issue</w:t>
      </w:r>
      <w:r w:rsidR="00B66148" w:rsidRPr="00220038">
        <w:rPr>
          <w:rFonts w:cs="Times New Roman"/>
          <w:lang w:val="en-US"/>
        </w:rPr>
        <w:t xml:space="preserve"> (</w:t>
      </w:r>
      <w:proofErr w:type="spellStart"/>
      <w:r w:rsidR="00B66148" w:rsidRPr="00220038">
        <w:rPr>
          <w:rFonts w:cs="Times New Roman"/>
          <w:lang w:val="en-US"/>
        </w:rPr>
        <w:t>Lachat</w:t>
      </w:r>
      <w:proofErr w:type="spellEnd"/>
      <w:r w:rsidR="00B66148" w:rsidRPr="00220038">
        <w:rPr>
          <w:rFonts w:cs="Times New Roman"/>
          <w:lang w:val="en-US"/>
        </w:rPr>
        <w:t xml:space="preserve"> 2014: 728</w:t>
      </w:r>
      <w:r w:rsidR="00FA2D81">
        <w:rPr>
          <w:rFonts w:cs="Times New Roman"/>
          <w:lang w:val="en-US"/>
        </w:rPr>
        <w:t xml:space="preserve">; </w:t>
      </w:r>
      <w:proofErr w:type="spellStart"/>
      <w:r w:rsidR="00FA2D81">
        <w:rPr>
          <w:rFonts w:cs="Times New Roman"/>
          <w:lang w:val="en-US"/>
        </w:rPr>
        <w:t>Walgrave</w:t>
      </w:r>
      <w:proofErr w:type="spellEnd"/>
      <w:r w:rsidR="00FA2D81">
        <w:rPr>
          <w:rFonts w:cs="Times New Roman"/>
          <w:lang w:val="en-US"/>
        </w:rPr>
        <w:t xml:space="preserve"> et al. 2014: 1 and </w:t>
      </w:r>
      <w:r w:rsidR="00B3174B">
        <w:rPr>
          <w:rFonts w:cs="Times New Roman"/>
          <w:lang w:val="en-US"/>
        </w:rPr>
        <w:t>7</w:t>
      </w:r>
      <w:r w:rsidR="00B66148" w:rsidRPr="00220038">
        <w:rPr>
          <w:rFonts w:cs="Times New Roman"/>
          <w:lang w:val="en-US"/>
        </w:rPr>
        <w:t>)</w:t>
      </w:r>
      <w:r w:rsidR="00880A6D" w:rsidRPr="00220038">
        <w:rPr>
          <w:rFonts w:cs="Times New Roman"/>
          <w:lang w:val="en-US"/>
        </w:rPr>
        <w:t xml:space="preserve">. </w:t>
      </w:r>
      <w:r w:rsidR="00BE5ABA" w:rsidRPr="00220038">
        <w:rPr>
          <w:rFonts w:cs="Times New Roman"/>
          <w:lang w:val="en-US"/>
        </w:rPr>
        <w:t>For our purpose, w</w:t>
      </w:r>
      <w:r w:rsidR="00880A6D" w:rsidRPr="00220038">
        <w:rPr>
          <w:rFonts w:cs="Times New Roman"/>
          <w:lang w:val="en-US"/>
        </w:rPr>
        <w:t>e rely extensively on competence issue-ownership</w:t>
      </w:r>
      <w:r w:rsidR="00722532" w:rsidRPr="00220038">
        <w:rPr>
          <w:rFonts w:cs="Times New Roman"/>
          <w:lang w:val="en-US"/>
        </w:rPr>
        <w:t>,</w:t>
      </w:r>
      <w:r w:rsidR="00880A6D" w:rsidRPr="00220038">
        <w:rPr>
          <w:rFonts w:cs="Times New Roman"/>
          <w:lang w:val="en-US"/>
        </w:rPr>
        <w:t xml:space="preserve"> since associating a party with an issue does not necessarily</w:t>
      </w:r>
      <w:r w:rsidR="00722532" w:rsidRPr="00220038">
        <w:rPr>
          <w:rFonts w:cs="Times New Roman"/>
          <w:lang w:val="en-US"/>
        </w:rPr>
        <w:t xml:space="preserve"> </w:t>
      </w:r>
      <w:r w:rsidR="00A5545F" w:rsidRPr="00220038">
        <w:rPr>
          <w:rFonts w:cs="Times New Roman"/>
          <w:lang w:val="en-US"/>
        </w:rPr>
        <w:t>mean voters</w:t>
      </w:r>
      <w:r w:rsidR="00880A6D" w:rsidRPr="00220038">
        <w:rPr>
          <w:rFonts w:cs="Times New Roman"/>
          <w:lang w:val="en-US"/>
        </w:rPr>
        <w:t xml:space="preserve"> agree with the solution the party advances (</w:t>
      </w:r>
      <w:r w:rsidR="008D07D0" w:rsidRPr="00220038">
        <w:rPr>
          <w:rFonts w:cs="Times New Roman"/>
          <w:lang w:val="en-US"/>
        </w:rPr>
        <w:t xml:space="preserve">e.g., see also </w:t>
      </w:r>
      <w:proofErr w:type="spellStart"/>
      <w:r w:rsidR="00880A6D" w:rsidRPr="00220038">
        <w:rPr>
          <w:rFonts w:cs="Times New Roman"/>
          <w:lang w:val="en-US"/>
        </w:rPr>
        <w:t>Lachat</w:t>
      </w:r>
      <w:proofErr w:type="spellEnd"/>
      <w:r w:rsidR="00880A6D" w:rsidRPr="00220038">
        <w:rPr>
          <w:rFonts w:cs="Times New Roman"/>
          <w:lang w:val="en-US"/>
        </w:rPr>
        <w:t xml:space="preserve"> 2014;</w:t>
      </w:r>
      <w:r w:rsidR="00E9758A">
        <w:rPr>
          <w:rFonts w:cs="Times New Roman"/>
          <w:lang w:val="en-US"/>
        </w:rPr>
        <w:t xml:space="preserve"> </w:t>
      </w:r>
      <w:r w:rsidR="00E9758A" w:rsidRPr="00220038">
        <w:rPr>
          <w:rFonts w:cs="Times New Roman"/>
          <w:lang w:val="en-US"/>
        </w:rPr>
        <w:t xml:space="preserve">Lutz and </w:t>
      </w:r>
      <w:proofErr w:type="spellStart"/>
      <w:r w:rsidR="00E9758A" w:rsidRPr="00220038">
        <w:rPr>
          <w:rFonts w:cs="Times New Roman"/>
          <w:lang w:val="en-US"/>
        </w:rPr>
        <w:t>Sciarini</w:t>
      </w:r>
      <w:proofErr w:type="spellEnd"/>
      <w:r w:rsidR="00E9758A" w:rsidRPr="00220038">
        <w:rPr>
          <w:rFonts w:cs="Times New Roman"/>
          <w:lang w:val="en-US"/>
        </w:rPr>
        <w:t xml:space="preserve"> 2016</w:t>
      </w:r>
      <w:r w:rsidR="00E9758A">
        <w:rPr>
          <w:rFonts w:cs="Times New Roman"/>
          <w:lang w:val="en-US"/>
        </w:rPr>
        <w:t>;</w:t>
      </w:r>
      <w:r w:rsidR="008D07D0" w:rsidRPr="00220038">
        <w:rPr>
          <w:rFonts w:cs="Times New Roman"/>
          <w:lang w:val="en-US"/>
        </w:rPr>
        <w:t xml:space="preserve"> </w:t>
      </w:r>
      <w:proofErr w:type="spellStart"/>
      <w:r w:rsidR="008D07D0" w:rsidRPr="00220038">
        <w:rPr>
          <w:rFonts w:cs="Times New Roman"/>
          <w:lang w:val="en-US"/>
        </w:rPr>
        <w:t>Walgrave</w:t>
      </w:r>
      <w:proofErr w:type="spellEnd"/>
      <w:r w:rsidR="008D07D0" w:rsidRPr="00220038">
        <w:rPr>
          <w:rFonts w:cs="Times New Roman"/>
          <w:lang w:val="en-US"/>
        </w:rPr>
        <w:t xml:space="preserve"> et al. 2014</w:t>
      </w:r>
      <w:r w:rsidR="00880A6D" w:rsidRPr="00220038">
        <w:rPr>
          <w:rFonts w:cs="Times New Roman"/>
          <w:lang w:val="en-US"/>
        </w:rPr>
        <w:t xml:space="preserve">). </w:t>
      </w:r>
      <w:r w:rsidR="006E5D13">
        <w:rPr>
          <w:lang w:val="en-US"/>
        </w:rPr>
        <w:t>Additionally</w:t>
      </w:r>
      <w:r w:rsidR="00E614B9" w:rsidRPr="00220038">
        <w:rPr>
          <w:lang w:val="en-US"/>
        </w:rPr>
        <w:t>, a voter</w:t>
      </w:r>
      <w:r w:rsidR="006E7593" w:rsidRPr="00220038">
        <w:rPr>
          <w:lang w:val="en-US"/>
        </w:rPr>
        <w:t xml:space="preserve">'s </w:t>
      </w:r>
      <w:r w:rsidR="00326F4C" w:rsidRPr="00220038">
        <w:rPr>
          <w:lang w:val="en-US"/>
        </w:rPr>
        <w:t>party preference is</w:t>
      </w:r>
      <w:r w:rsidR="006E7593" w:rsidRPr="00220038">
        <w:rPr>
          <w:lang w:val="en-US"/>
        </w:rPr>
        <w:t xml:space="preserve"> deeply </w:t>
      </w:r>
      <w:r w:rsidR="00326F4C" w:rsidRPr="00220038">
        <w:rPr>
          <w:lang w:val="en-US"/>
        </w:rPr>
        <w:t xml:space="preserve">linked to </w:t>
      </w:r>
      <w:r w:rsidR="006E5D13">
        <w:rPr>
          <w:lang w:val="en-US"/>
        </w:rPr>
        <w:t>her</w:t>
      </w:r>
      <w:r w:rsidR="006E7593" w:rsidRPr="00220038">
        <w:rPr>
          <w:lang w:val="en-US"/>
        </w:rPr>
        <w:t xml:space="preserve"> perception of </w:t>
      </w:r>
      <w:r w:rsidR="00326F4C" w:rsidRPr="00220038">
        <w:rPr>
          <w:lang w:val="en-US"/>
        </w:rPr>
        <w:t>the party’s issue competence</w:t>
      </w:r>
      <w:r w:rsidR="006E7593" w:rsidRPr="00220038">
        <w:rPr>
          <w:lang w:val="en-US"/>
        </w:rPr>
        <w:t>.</w:t>
      </w:r>
      <w:r w:rsidR="00E42F8C" w:rsidRPr="00220038">
        <w:rPr>
          <w:lang w:val="en-US"/>
        </w:rPr>
        <w:t xml:space="preserve"> </w:t>
      </w:r>
      <w:r w:rsidR="00F407D6" w:rsidRPr="00220038">
        <w:rPr>
          <w:lang w:val="en-US"/>
        </w:rPr>
        <w:t>This is also in line with the theory of valence politics that claims that voters cast ballots for the political party they see as the most competent to handle their most pressing issue (Clarke et al. 2011).</w:t>
      </w:r>
    </w:p>
    <w:p w14:paraId="465A7810" w14:textId="52D510E3" w:rsidR="002606AE" w:rsidRPr="00220038" w:rsidRDefault="0083059C" w:rsidP="009F74E5">
      <w:pPr>
        <w:rPr>
          <w:color w:val="000000" w:themeColor="text1"/>
          <w:lang w:val="en-US"/>
        </w:rPr>
      </w:pPr>
      <w:r w:rsidRPr="00220038">
        <w:rPr>
          <w:lang w:val="en-US"/>
        </w:rPr>
        <w:t xml:space="preserve">In the context of the </w:t>
      </w:r>
      <w:r w:rsidR="002A29D2" w:rsidRPr="00220038">
        <w:rPr>
          <w:lang w:val="en-US"/>
        </w:rPr>
        <w:t xml:space="preserve">2015 </w:t>
      </w:r>
      <w:r w:rsidRPr="00220038">
        <w:rPr>
          <w:lang w:val="en-US"/>
        </w:rPr>
        <w:t xml:space="preserve">elections, issue ownership was accredited to both parties with regard to all of their central campaign issues. </w:t>
      </w:r>
      <w:r w:rsidR="00264B9E" w:rsidRPr="00220038">
        <w:rPr>
          <w:color w:val="000000" w:themeColor="text1"/>
          <w:lang w:val="en-US"/>
        </w:rPr>
        <w:t>M</w:t>
      </w:r>
      <w:r w:rsidRPr="00220038">
        <w:rPr>
          <w:color w:val="000000" w:themeColor="text1"/>
          <w:lang w:val="en-US"/>
        </w:rPr>
        <w:t xml:space="preserve">igration has recently been occupied to large extent by the </w:t>
      </w:r>
      <w:r w:rsidR="002A29D2" w:rsidRPr="00220038">
        <w:rPr>
          <w:color w:val="000000" w:themeColor="text1"/>
          <w:lang w:val="en-US"/>
        </w:rPr>
        <w:t>SVP</w:t>
      </w:r>
      <w:r w:rsidRPr="00220038">
        <w:rPr>
          <w:color w:val="000000" w:themeColor="text1"/>
          <w:lang w:val="en-US"/>
        </w:rPr>
        <w:t xml:space="preserve"> (Lutz and </w:t>
      </w:r>
      <w:proofErr w:type="spellStart"/>
      <w:r w:rsidRPr="00220038">
        <w:rPr>
          <w:color w:val="000000" w:themeColor="text1"/>
          <w:lang w:val="en-US"/>
        </w:rPr>
        <w:t>Sciarini</w:t>
      </w:r>
      <w:proofErr w:type="spellEnd"/>
      <w:r w:rsidRPr="00220038">
        <w:rPr>
          <w:color w:val="000000" w:themeColor="text1"/>
          <w:lang w:val="en-US"/>
        </w:rPr>
        <w:t xml:space="preserve"> 2016: 5), </w:t>
      </w:r>
      <w:r w:rsidR="001E070B" w:rsidRPr="00220038">
        <w:rPr>
          <w:color w:val="000000" w:themeColor="text1"/>
          <w:lang w:val="en-US"/>
        </w:rPr>
        <w:t>which</w:t>
      </w:r>
      <w:r w:rsidRPr="00220038">
        <w:rPr>
          <w:color w:val="000000" w:themeColor="text1"/>
          <w:lang w:val="en-US"/>
        </w:rPr>
        <w:t xml:space="preserve"> is confirmed by the analysis of media data in the </w:t>
      </w:r>
      <w:r w:rsidR="001E070B" w:rsidRPr="00220038">
        <w:rPr>
          <w:color w:val="000000" w:themeColor="text1"/>
          <w:lang w:val="en-US"/>
        </w:rPr>
        <w:t>run-up to</w:t>
      </w:r>
      <w:r w:rsidRPr="00220038">
        <w:rPr>
          <w:color w:val="000000" w:themeColor="text1"/>
          <w:lang w:val="en-US"/>
        </w:rPr>
        <w:t xml:space="preserve"> the general elections (</w:t>
      </w:r>
      <w:proofErr w:type="spellStart"/>
      <w:r w:rsidRPr="00220038">
        <w:rPr>
          <w:color w:val="000000" w:themeColor="text1"/>
          <w:lang w:val="en-US"/>
        </w:rPr>
        <w:t>Bühlmann</w:t>
      </w:r>
      <w:proofErr w:type="spellEnd"/>
      <w:r w:rsidRPr="00220038">
        <w:rPr>
          <w:color w:val="000000" w:themeColor="text1"/>
          <w:lang w:val="en-US"/>
        </w:rPr>
        <w:t xml:space="preserve"> et al. 2015b). </w:t>
      </w:r>
      <w:r w:rsidR="000D689C" w:rsidRPr="00220038">
        <w:rPr>
          <w:color w:val="000000" w:themeColor="text1"/>
          <w:lang w:val="en-US"/>
        </w:rPr>
        <w:t>T</w:t>
      </w:r>
      <w:r w:rsidRPr="00220038">
        <w:rPr>
          <w:color w:val="000000" w:themeColor="text1"/>
          <w:lang w:val="en-US"/>
        </w:rPr>
        <w:t xml:space="preserve">he SVP is regarded to be the most competent party to offer solutions </w:t>
      </w:r>
      <w:r w:rsidR="00F26282" w:rsidRPr="00220038">
        <w:rPr>
          <w:color w:val="000000" w:themeColor="text1"/>
          <w:lang w:val="en-US"/>
        </w:rPr>
        <w:t>to immigration</w:t>
      </w:r>
      <w:r w:rsidRPr="00220038">
        <w:rPr>
          <w:color w:val="000000" w:themeColor="text1"/>
          <w:lang w:val="en-US"/>
        </w:rPr>
        <w:t xml:space="preserve"> – 29% of respondents affirmed this question, followed by 22% who considered the </w:t>
      </w:r>
      <w:r w:rsidR="00C63DF0" w:rsidRPr="00220038">
        <w:rPr>
          <w:lang w:val="en-US"/>
        </w:rPr>
        <w:t xml:space="preserve">Social Democrats (SP) </w:t>
      </w:r>
      <w:r w:rsidRPr="00220038">
        <w:rPr>
          <w:color w:val="000000" w:themeColor="text1"/>
          <w:lang w:val="en-US"/>
        </w:rPr>
        <w:t xml:space="preserve">to be the most competent party </w:t>
      </w:r>
      <w:r w:rsidR="00F26282" w:rsidRPr="00220038">
        <w:rPr>
          <w:color w:val="000000" w:themeColor="text1"/>
          <w:lang w:val="en-US"/>
        </w:rPr>
        <w:t xml:space="preserve">in this regard </w:t>
      </w:r>
      <w:r w:rsidRPr="00220038">
        <w:rPr>
          <w:color w:val="000000" w:themeColor="text1"/>
          <w:lang w:val="en-US"/>
        </w:rPr>
        <w:t>(ibid.).</w:t>
      </w:r>
      <w:r w:rsidR="000D689C" w:rsidRPr="00220038">
        <w:rPr>
          <w:color w:val="000000" w:themeColor="text1"/>
          <w:lang w:val="en-US"/>
        </w:rPr>
        <w:t xml:space="preserve"> In addition, almost two thirds of all Selects respondents indicated that the SVP is the party that cares the most about the issue (Lutz 2016).  Thus, the SVP owns the migration issue both in terms of associative and competence issue ownership. Turning to the economy issue</w:t>
      </w:r>
      <w:r w:rsidR="00275928" w:rsidRPr="00220038">
        <w:rPr>
          <w:color w:val="000000" w:themeColor="text1"/>
          <w:lang w:val="en-US"/>
        </w:rPr>
        <w:t xml:space="preserve">, </w:t>
      </w:r>
      <w:r w:rsidR="000D689C" w:rsidRPr="00220038">
        <w:rPr>
          <w:color w:val="000000" w:themeColor="text1"/>
          <w:lang w:val="en-US"/>
        </w:rPr>
        <w:t>it becomes evident that the FDP</w:t>
      </w:r>
      <w:r w:rsidRPr="00220038">
        <w:rPr>
          <w:color w:val="000000" w:themeColor="text1"/>
          <w:lang w:val="en-US"/>
        </w:rPr>
        <w:t xml:space="preserve"> own</w:t>
      </w:r>
      <w:r w:rsidR="00F26282" w:rsidRPr="00220038">
        <w:rPr>
          <w:color w:val="000000" w:themeColor="text1"/>
          <w:lang w:val="en-US"/>
        </w:rPr>
        <w:t>s</w:t>
      </w:r>
      <w:r w:rsidRPr="00220038">
        <w:rPr>
          <w:color w:val="000000" w:themeColor="text1"/>
          <w:lang w:val="en-US"/>
        </w:rPr>
        <w:t xml:space="preserve"> the issue </w:t>
      </w:r>
      <w:r w:rsidR="00F26282" w:rsidRPr="00220038">
        <w:rPr>
          <w:color w:val="000000" w:themeColor="text1"/>
          <w:lang w:val="en-US"/>
        </w:rPr>
        <w:t xml:space="preserve">both </w:t>
      </w:r>
      <w:r w:rsidRPr="00220038">
        <w:rPr>
          <w:color w:val="000000" w:themeColor="text1"/>
          <w:lang w:val="en-US"/>
        </w:rPr>
        <w:t>in terms of associative and competence issue ownership</w:t>
      </w:r>
      <w:r w:rsidR="00275928" w:rsidRPr="00220038">
        <w:rPr>
          <w:color w:val="000000" w:themeColor="text1"/>
          <w:lang w:val="en-US"/>
        </w:rPr>
        <w:t>. Not only 68% of respondents agree that the FDP cares most about the issue, but also 50% affirm that the FDP is the most competent party to offer solutions to the issue (Lutz 2016)</w:t>
      </w:r>
      <w:r w:rsidRPr="00220038">
        <w:rPr>
          <w:color w:val="000000" w:themeColor="text1"/>
          <w:lang w:val="en-US"/>
        </w:rPr>
        <w:t>.</w:t>
      </w:r>
      <w:r w:rsidRPr="00220038">
        <w:rPr>
          <w:color w:val="FF0000"/>
          <w:lang w:val="en-US"/>
        </w:rPr>
        <w:t xml:space="preserve"> </w:t>
      </w:r>
      <w:r w:rsidR="00264B9E" w:rsidRPr="00220038">
        <w:rPr>
          <w:color w:val="000000" w:themeColor="text1"/>
          <w:lang w:val="en-US"/>
        </w:rPr>
        <w:t>W</w:t>
      </w:r>
      <w:r w:rsidRPr="00220038">
        <w:rPr>
          <w:color w:val="000000" w:themeColor="text1"/>
          <w:lang w:val="en-US"/>
        </w:rPr>
        <w:t xml:space="preserve">ith regard to European </w:t>
      </w:r>
      <w:r w:rsidR="00EC7731" w:rsidRPr="00220038">
        <w:rPr>
          <w:color w:val="000000" w:themeColor="text1"/>
          <w:lang w:val="en-US"/>
        </w:rPr>
        <w:t>policy</w:t>
      </w:r>
      <w:r w:rsidRPr="00220038">
        <w:rPr>
          <w:color w:val="000000" w:themeColor="text1"/>
          <w:lang w:val="en-US"/>
        </w:rPr>
        <w:t>, the SVP and FDP are associated with higher issue ownership than any other party (Lutz 2016)</w:t>
      </w:r>
      <w:r w:rsidR="00AE48FF" w:rsidRPr="00220038">
        <w:rPr>
          <w:color w:val="000000" w:themeColor="text1"/>
          <w:lang w:val="en-US"/>
        </w:rPr>
        <w:t>:</w:t>
      </w:r>
      <w:r w:rsidRPr="00220038">
        <w:rPr>
          <w:color w:val="000000" w:themeColor="text1"/>
          <w:lang w:val="en-US"/>
        </w:rPr>
        <w:t xml:space="preserve"> </w:t>
      </w:r>
      <w:r w:rsidR="00AE48FF" w:rsidRPr="00220038">
        <w:rPr>
          <w:color w:val="000000" w:themeColor="text1"/>
          <w:lang w:val="en-US"/>
        </w:rPr>
        <w:t>t</w:t>
      </w:r>
      <w:r w:rsidR="000D689C" w:rsidRPr="00220038">
        <w:rPr>
          <w:color w:val="000000" w:themeColor="text1"/>
          <w:lang w:val="en-US"/>
        </w:rPr>
        <w:t xml:space="preserve">he FDP is regarded to be the most competent party to deal with this issue – 27% of respondents agree on that, followed by 20% of respondents who perceive the SVP to be the most competent party. On the other hand, the SVP is the party associated the most with the issue: 29% of respondents think the SVP cares most about the EU, followed by 24% of respondents who </w:t>
      </w:r>
      <w:r w:rsidR="0095225F" w:rsidRPr="00220038">
        <w:rPr>
          <w:color w:val="000000" w:themeColor="text1"/>
          <w:lang w:val="en-US"/>
        </w:rPr>
        <w:t>mostly associate the FDP</w:t>
      </w:r>
      <w:r w:rsidR="00AE48FF" w:rsidRPr="00220038">
        <w:rPr>
          <w:color w:val="000000" w:themeColor="text1"/>
          <w:lang w:val="en-US"/>
        </w:rPr>
        <w:t xml:space="preserve"> with the issue</w:t>
      </w:r>
      <w:r w:rsidR="000D689C" w:rsidRPr="00220038">
        <w:rPr>
          <w:color w:val="000000" w:themeColor="text1"/>
          <w:lang w:val="en-US"/>
        </w:rPr>
        <w:t xml:space="preserve">. </w:t>
      </w:r>
    </w:p>
    <w:p w14:paraId="34493B73" w14:textId="79CBBB08" w:rsidR="00B66148" w:rsidRPr="00220038" w:rsidRDefault="00F43512" w:rsidP="009F74E5">
      <w:pPr>
        <w:rPr>
          <w:rFonts w:cs="Times New Roman"/>
          <w:b/>
          <w:lang w:val="en-US"/>
        </w:rPr>
      </w:pPr>
      <w:r w:rsidRPr="00220038">
        <w:rPr>
          <w:rFonts w:cs="Times New Roman"/>
          <w:b/>
          <w:lang w:val="en-US"/>
        </w:rPr>
        <w:t>Hypotheses</w:t>
      </w:r>
    </w:p>
    <w:p w14:paraId="787A7ADF" w14:textId="7D799B57" w:rsidR="009F74E5" w:rsidRPr="00220038" w:rsidRDefault="00CF4172" w:rsidP="009F74E5">
      <w:pPr>
        <w:rPr>
          <w:lang w:val="en-US"/>
        </w:rPr>
      </w:pPr>
      <w:r w:rsidRPr="00220038">
        <w:rPr>
          <w:lang w:val="en-US"/>
        </w:rPr>
        <w:t>We</w:t>
      </w:r>
      <w:r w:rsidR="00776997" w:rsidRPr="00220038">
        <w:rPr>
          <w:lang w:val="en-US"/>
        </w:rPr>
        <w:t xml:space="preserve"> have </w:t>
      </w:r>
      <w:r w:rsidR="00DD5ABC" w:rsidRPr="00220038">
        <w:rPr>
          <w:lang w:val="en-US"/>
        </w:rPr>
        <w:t xml:space="preserve">demonstrated </w:t>
      </w:r>
      <w:r w:rsidR="00776997" w:rsidRPr="00220038">
        <w:rPr>
          <w:lang w:val="en-US"/>
        </w:rPr>
        <w:t xml:space="preserve">that political messages </w:t>
      </w:r>
      <w:r w:rsidR="008607C4" w:rsidRPr="00220038">
        <w:rPr>
          <w:lang w:val="en-US"/>
        </w:rPr>
        <w:t xml:space="preserve">espoused </w:t>
      </w:r>
      <w:r w:rsidR="00776997" w:rsidRPr="00220038">
        <w:rPr>
          <w:lang w:val="en-US"/>
        </w:rPr>
        <w:t xml:space="preserve">by a party that owns </w:t>
      </w:r>
      <w:r w:rsidR="008607C4" w:rsidRPr="00220038">
        <w:rPr>
          <w:lang w:val="en-US"/>
        </w:rPr>
        <w:t>the issue</w:t>
      </w:r>
      <w:r w:rsidR="00776997" w:rsidRPr="00220038">
        <w:rPr>
          <w:lang w:val="en-US"/>
        </w:rPr>
        <w:t xml:space="preserve"> </w:t>
      </w:r>
      <w:r w:rsidR="008607C4" w:rsidRPr="00220038">
        <w:rPr>
          <w:lang w:val="en-US"/>
        </w:rPr>
        <w:t>have</w:t>
      </w:r>
      <w:r w:rsidR="00776997" w:rsidRPr="00220038">
        <w:rPr>
          <w:lang w:val="en-US"/>
        </w:rPr>
        <w:t xml:space="preserve"> the potential to influence voters’ preferences. </w:t>
      </w:r>
      <w:r w:rsidR="002E7CA3" w:rsidRPr="00220038">
        <w:rPr>
          <w:lang w:val="en-US"/>
        </w:rPr>
        <w:t>However, p</w:t>
      </w:r>
      <w:r w:rsidR="009F74E5" w:rsidRPr="00220038">
        <w:rPr>
          <w:lang w:val="en-US"/>
        </w:rPr>
        <w:t xml:space="preserve">eople are “limited information processors” (Lau and </w:t>
      </w:r>
      <w:proofErr w:type="spellStart"/>
      <w:r w:rsidR="009F74E5" w:rsidRPr="00220038">
        <w:rPr>
          <w:lang w:val="en-US"/>
        </w:rPr>
        <w:t>Redlawsk</w:t>
      </w:r>
      <w:proofErr w:type="spellEnd"/>
      <w:r w:rsidR="009F74E5" w:rsidRPr="00220038">
        <w:rPr>
          <w:lang w:val="en-US"/>
        </w:rPr>
        <w:t xml:space="preserve"> 2006: 23)</w:t>
      </w:r>
      <w:r w:rsidR="005563D1" w:rsidRPr="00220038">
        <w:rPr>
          <w:lang w:val="en-US"/>
        </w:rPr>
        <w:t>; they are</w:t>
      </w:r>
      <w:r w:rsidR="009F74E5" w:rsidRPr="00220038">
        <w:rPr>
          <w:lang w:val="en-US"/>
        </w:rPr>
        <w:t xml:space="preserve"> biased in how they process information (e.g., </w:t>
      </w:r>
      <w:r w:rsidR="00E9758A" w:rsidRPr="00220038">
        <w:rPr>
          <w:lang w:val="en-US"/>
        </w:rPr>
        <w:t>Fiske and Taylor 1991</w:t>
      </w:r>
      <w:r w:rsidR="00E9758A">
        <w:rPr>
          <w:lang w:val="en-US"/>
        </w:rPr>
        <w:t xml:space="preserve">; </w:t>
      </w:r>
      <w:proofErr w:type="spellStart"/>
      <w:r w:rsidR="009F74E5" w:rsidRPr="00220038">
        <w:rPr>
          <w:lang w:val="en-US"/>
        </w:rPr>
        <w:t>Kunda</w:t>
      </w:r>
      <w:proofErr w:type="spellEnd"/>
      <w:r w:rsidR="009F74E5" w:rsidRPr="00220038">
        <w:rPr>
          <w:lang w:val="en-US"/>
        </w:rPr>
        <w:t xml:space="preserve"> 1990</w:t>
      </w:r>
      <w:r w:rsidR="00524790" w:rsidRPr="00220038">
        <w:rPr>
          <w:lang w:val="en-US"/>
        </w:rPr>
        <w:t xml:space="preserve">; </w:t>
      </w:r>
      <w:proofErr w:type="spellStart"/>
      <w:r w:rsidR="00E9758A" w:rsidRPr="00220038">
        <w:rPr>
          <w:lang w:val="en-US"/>
        </w:rPr>
        <w:t>Steenbergen</w:t>
      </w:r>
      <w:proofErr w:type="spellEnd"/>
      <w:r w:rsidR="00E9758A" w:rsidRPr="00220038">
        <w:rPr>
          <w:lang w:val="en-US"/>
        </w:rPr>
        <w:t xml:space="preserve"> 2010</w:t>
      </w:r>
      <w:r w:rsidR="00E9758A">
        <w:rPr>
          <w:lang w:val="en-US"/>
        </w:rPr>
        <w:t xml:space="preserve">; </w:t>
      </w:r>
      <w:r w:rsidR="009F74E5" w:rsidRPr="00220038">
        <w:rPr>
          <w:lang w:val="en-US"/>
        </w:rPr>
        <w:t>Taber and Lodge 2006</w:t>
      </w:r>
      <w:r w:rsidR="00E9758A">
        <w:rPr>
          <w:lang w:val="en-US"/>
        </w:rPr>
        <w:t xml:space="preserve">; </w:t>
      </w:r>
      <w:proofErr w:type="spellStart"/>
      <w:r w:rsidR="00E9758A" w:rsidRPr="00220038">
        <w:rPr>
          <w:lang w:val="en-US"/>
        </w:rPr>
        <w:t>Zaller</w:t>
      </w:r>
      <w:proofErr w:type="spellEnd"/>
      <w:r w:rsidR="00E9758A" w:rsidRPr="00220038">
        <w:rPr>
          <w:lang w:val="en-US"/>
        </w:rPr>
        <w:t xml:space="preserve"> 1992</w:t>
      </w:r>
      <w:r w:rsidR="009F74E5" w:rsidRPr="00220038">
        <w:rPr>
          <w:lang w:val="en-US"/>
        </w:rPr>
        <w:t xml:space="preserve">). Thus, the availability of a particular campaign message does </w:t>
      </w:r>
      <w:r w:rsidR="00971217" w:rsidRPr="00220038">
        <w:rPr>
          <w:lang w:val="en-US"/>
        </w:rPr>
        <w:t>not</w:t>
      </w:r>
      <w:r w:rsidR="009F74E5" w:rsidRPr="00220038">
        <w:rPr>
          <w:lang w:val="en-US"/>
        </w:rPr>
        <w:t xml:space="preserve"> imply its automatic acceptance. A central reason for this is subsumed under the theory of motivated reasoning, </w:t>
      </w:r>
      <w:r w:rsidR="009C76DB" w:rsidRPr="00220038">
        <w:rPr>
          <w:lang w:val="en-US"/>
        </w:rPr>
        <w:t xml:space="preserve">which </w:t>
      </w:r>
      <w:r w:rsidR="009F74E5" w:rsidRPr="00220038">
        <w:rPr>
          <w:lang w:val="en-US"/>
        </w:rPr>
        <w:t>stat</w:t>
      </w:r>
      <w:r w:rsidR="009C76DB" w:rsidRPr="00220038">
        <w:rPr>
          <w:lang w:val="en-US"/>
        </w:rPr>
        <w:t>es</w:t>
      </w:r>
      <w:r w:rsidR="009F74E5" w:rsidRPr="00220038">
        <w:rPr>
          <w:lang w:val="en-US"/>
        </w:rPr>
        <w:t xml:space="preserve"> that people often pursue directional goals, prefer</w:t>
      </w:r>
      <w:r w:rsidR="009C76DB" w:rsidRPr="00220038">
        <w:rPr>
          <w:lang w:val="en-US"/>
        </w:rPr>
        <w:t>ring</w:t>
      </w:r>
      <w:r w:rsidR="009F74E5" w:rsidRPr="00220038">
        <w:rPr>
          <w:lang w:val="en-US"/>
        </w:rPr>
        <w:t xml:space="preserve"> information that is in line with their predispositions and ignore conflicting information (</w:t>
      </w:r>
      <w:proofErr w:type="spellStart"/>
      <w:r w:rsidR="009F74E5" w:rsidRPr="00220038">
        <w:rPr>
          <w:lang w:val="en-US"/>
        </w:rPr>
        <w:t>Kunda</w:t>
      </w:r>
      <w:proofErr w:type="spellEnd"/>
      <w:r w:rsidR="009F74E5" w:rsidRPr="00220038">
        <w:rPr>
          <w:lang w:val="en-US"/>
        </w:rPr>
        <w:t xml:space="preserve"> 1990) or even </w:t>
      </w:r>
      <w:r w:rsidR="00971217" w:rsidRPr="00220038">
        <w:rPr>
          <w:lang w:val="en-US"/>
        </w:rPr>
        <w:t>argue against</w:t>
      </w:r>
      <w:r w:rsidR="009C76DB" w:rsidRPr="00220038">
        <w:rPr>
          <w:lang w:val="en-US"/>
        </w:rPr>
        <w:t xml:space="preserve"> them </w:t>
      </w:r>
      <w:r w:rsidR="009F74E5" w:rsidRPr="00220038">
        <w:rPr>
          <w:lang w:val="en-US"/>
        </w:rPr>
        <w:t>(</w:t>
      </w:r>
      <w:proofErr w:type="spellStart"/>
      <w:r w:rsidR="00E9758A" w:rsidRPr="00220038">
        <w:rPr>
          <w:lang w:val="en-US"/>
        </w:rPr>
        <w:t>Sloothus</w:t>
      </w:r>
      <w:proofErr w:type="spellEnd"/>
      <w:r w:rsidR="00E9758A" w:rsidRPr="00220038">
        <w:rPr>
          <w:lang w:val="en-US"/>
        </w:rPr>
        <w:t xml:space="preserve"> and De </w:t>
      </w:r>
      <w:proofErr w:type="spellStart"/>
      <w:r w:rsidR="00E9758A" w:rsidRPr="00220038">
        <w:rPr>
          <w:lang w:val="en-US"/>
        </w:rPr>
        <w:t>Vreese</w:t>
      </w:r>
      <w:proofErr w:type="spellEnd"/>
      <w:r w:rsidR="00E9758A" w:rsidRPr="00220038">
        <w:rPr>
          <w:lang w:val="en-US"/>
        </w:rPr>
        <w:t xml:space="preserve"> 2010</w:t>
      </w:r>
      <w:r w:rsidR="00E9758A">
        <w:rPr>
          <w:lang w:val="en-US"/>
        </w:rPr>
        <w:t xml:space="preserve">; </w:t>
      </w:r>
      <w:r w:rsidR="009F74E5" w:rsidRPr="00220038">
        <w:rPr>
          <w:lang w:val="en-US"/>
        </w:rPr>
        <w:t>Taber and Lodge 2006). Motivated reasoning occurs at every step of information processing, e.g. when it comes to the search of information (Taber and Lodge 2006), the evaluation of information (</w:t>
      </w:r>
      <w:r w:rsidR="00E9758A" w:rsidRPr="00220038">
        <w:rPr>
          <w:lang w:val="en-US"/>
        </w:rPr>
        <w:t>Bechtel et al. 2015</w:t>
      </w:r>
      <w:r w:rsidR="00E9758A">
        <w:rPr>
          <w:lang w:val="en-US"/>
        </w:rPr>
        <w:t xml:space="preserve">; </w:t>
      </w:r>
      <w:proofErr w:type="spellStart"/>
      <w:r w:rsidR="009F74E5" w:rsidRPr="00220038">
        <w:rPr>
          <w:lang w:val="en-US"/>
        </w:rPr>
        <w:t>Jerit</w:t>
      </w:r>
      <w:proofErr w:type="spellEnd"/>
      <w:r w:rsidR="009F74E5" w:rsidRPr="00220038">
        <w:rPr>
          <w:lang w:val="en-US"/>
        </w:rPr>
        <w:t xml:space="preserve"> and </w:t>
      </w:r>
      <w:proofErr w:type="spellStart"/>
      <w:r w:rsidR="009F74E5" w:rsidRPr="00220038">
        <w:rPr>
          <w:lang w:val="en-US"/>
        </w:rPr>
        <w:t>Barabas</w:t>
      </w:r>
      <w:proofErr w:type="spellEnd"/>
      <w:r w:rsidR="009F74E5" w:rsidRPr="00220038">
        <w:rPr>
          <w:lang w:val="en-US"/>
        </w:rPr>
        <w:t xml:space="preserve"> 2012; Taber and Lodge 2006) or </w:t>
      </w:r>
      <w:r w:rsidR="00565AB4" w:rsidRPr="00220038">
        <w:rPr>
          <w:lang w:val="en-US"/>
        </w:rPr>
        <w:t>the</w:t>
      </w:r>
      <w:r w:rsidR="009F74E5" w:rsidRPr="00220038">
        <w:rPr>
          <w:lang w:val="en-US"/>
        </w:rPr>
        <w:t xml:space="preserve"> recall</w:t>
      </w:r>
      <w:r w:rsidR="00565AB4" w:rsidRPr="00220038">
        <w:rPr>
          <w:lang w:val="en-US"/>
        </w:rPr>
        <w:t>ing of it</w:t>
      </w:r>
      <w:r w:rsidR="009F74E5" w:rsidRPr="00220038">
        <w:rPr>
          <w:lang w:val="en-US"/>
        </w:rPr>
        <w:t xml:space="preserve"> (Lau and </w:t>
      </w:r>
      <w:proofErr w:type="spellStart"/>
      <w:r w:rsidR="009F74E5" w:rsidRPr="00220038">
        <w:rPr>
          <w:lang w:val="en-US"/>
        </w:rPr>
        <w:t>Redlawsk</w:t>
      </w:r>
      <w:proofErr w:type="spellEnd"/>
      <w:r w:rsidR="009F74E5" w:rsidRPr="00220038">
        <w:rPr>
          <w:lang w:val="en-US"/>
        </w:rPr>
        <w:t xml:space="preserve"> 2006: </w:t>
      </w:r>
      <w:proofErr w:type="spellStart"/>
      <w:r w:rsidR="009F74E5" w:rsidRPr="00220038">
        <w:rPr>
          <w:lang w:val="en-US"/>
        </w:rPr>
        <w:t>Chp</w:t>
      </w:r>
      <w:proofErr w:type="spellEnd"/>
      <w:r w:rsidR="009F74E5" w:rsidRPr="00220038">
        <w:rPr>
          <w:lang w:val="en-US"/>
        </w:rPr>
        <w:t xml:space="preserve">. 5). Numerous </w:t>
      </w:r>
      <w:r w:rsidR="009F74E5" w:rsidRPr="00220038">
        <w:rPr>
          <w:lang w:val="en-US"/>
        </w:rPr>
        <w:lastRenderedPageBreak/>
        <w:t xml:space="preserve">studies have demonstrated that processing information depends on political predispositions (e.g., </w:t>
      </w:r>
      <w:proofErr w:type="spellStart"/>
      <w:r w:rsidR="00E9758A" w:rsidRPr="00220038">
        <w:rPr>
          <w:lang w:val="en-US"/>
        </w:rPr>
        <w:t>Jerit</w:t>
      </w:r>
      <w:proofErr w:type="spellEnd"/>
      <w:r w:rsidR="00E9758A" w:rsidRPr="00220038">
        <w:rPr>
          <w:lang w:val="en-US"/>
        </w:rPr>
        <w:t xml:space="preserve"> and </w:t>
      </w:r>
      <w:proofErr w:type="spellStart"/>
      <w:r w:rsidR="00E9758A" w:rsidRPr="00220038">
        <w:rPr>
          <w:lang w:val="en-US"/>
        </w:rPr>
        <w:t>Barabas</w:t>
      </w:r>
      <w:proofErr w:type="spellEnd"/>
      <w:r w:rsidR="00E9758A" w:rsidRPr="00220038">
        <w:rPr>
          <w:lang w:val="en-US"/>
        </w:rPr>
        <w:t xml:space="preserve"> 2012</w:t>
      </w:r>
      <w:r w:rsidR="00E9758A">
        <w:rPr>
          <w:lang w:val="en-US"/>
        </w:rPr>
        <w:t xml:space="preserve">; </w:t>
      </w:r>
      <w:r w:rsidR="009F74E5" w:rsidRPr="00220038">
        <w:rPr>
          <w:lang w:val="en-US"/>
        </w:rPr>
        <w:t xml:space="preserve">Nicolet and </w:t>
      </w:r>
      <w:proofErr w:type="spellStart"/>
      <w:r w:rsidR="009F74E5" w:rsidRPr="00220038">
        <w:rPr>
          <w:lang w:val="en-US"/>
        </w:rPr>
        <w:t>Sciarini</w:t>
      </w:r>
      <w:proofErr w:type="spellEnd"/>
      <w:r w:rsidR="009F74E5" w:rsidRPr="00220038">
        <w:rPr>
          <w:lang w:val="en-US"/>
        </w:rPr>
        <w:t xml:space="preserve"> 2006; </w:t>
      </w:r>
      <w:proofErr w:type="spellStart"/>
      <w:r w:rsidR="009F74E5" w:rsidRPr="00220038">
        <w:rPr>
          <w:lang w:val="en-US"/>
        </w:rPr>
        <w:t>Slothuus</w:t>
      </w:r>
      <w:proofErr w:type="spellEnd"/>
      <w:r w:rsidR="009F74E5" w:rsidRPr="00220038">
        <w:rPr>
          <w:lang w:val="en-US"/>
        </w:rPr>
        <w:t xml:space="preserve"> and </w:t>
      </w:r>
      <w:r w:rsidR="008610A8" w:rsidRPr="00220038">
        <w:rPr>
          <w:lang w:val="en-US"/>
        </w:rPr>
        <w:t>D</w:t>
      </w:r>
      <w:r w:rsidR="009F74E5" w:rsidRPr="00220038">
        <w:rPr>
          <w:lang w:val="en-US"/>
        </w:rPr>
        <w:t xml:space="preserve">e </w:t>
      </w:r>
      <w:proofErr w:type="spellStart"/>
      <w:r w:rsidR="009F74E5" w:rsidRPr="00220038">
        <w:rPr>
          <w:lang w:val="en-US"/>
        </w:rPr>
        <w:t>Vreese</w:t>
      </w:r>
      <w:proofErr w:type="spellEnd"/>
      <w:r w:rsidR="009F74E5" w:rsidRPr="00220038">
        <w:rPr>
          <w:lang w:val="en-US"/>
        </w:rPr>
        <w:t xml:space="preserve"> 2010</w:t>
      </w:r>
      <w:r w:rsidR="00E9758A">
        <w:rPr>
          <w:lang w:val="en-US"/>
        </w:rPr>
        <w:t xml:space="preserve">; </w:t>
      </w:r>
      <w:proofErr w:type="spellStart"/>
      <w:r w:rsidR="00E9758A" w:rsidRPr="00220038">
        <w:rPr>
          <w:lang w:val="en-US"/>
        </w:rPr>
        <w:t>Zaller</w:t>
      </w:r>
      <w:proofErr w:type="spellEnd"/>
      <w:r w:rsidR="00E9758A" w:rsidRPr="00220038">
        <w:rPr>
          <w:lang w:val="en-US"/>
        </w:rPr>
        <w:t xml:space="preserve"> 1992</w:t>
      </w:r>
      <w:r w:rsidR="009F74E5" w:rsidRPr="00220038">
        <w:rPr>
          <w:lang w:val="en-US"/>
        </w:rPr>
        <w:t xml:space="preserve">). </w:t>
      </w:r>
      <w:r w:rsidR="00565AB4" w:rsidRPr="00220038">
        <w:rPr>
          <w:lang w:val="en-US"/>
        </w:rPr>
        <w:t>P</w:t>
      </w:r>
      <w:r w:rsidR="009F74E5" w:rsidRPr="00220038">
        <w:rPr>
          <w:lang w:val="en-US"/>
        </w:rPr>
        <w:t xml:space="preserve">olitical campaigns </w:t>
      </w:r>
      <w:r w:rsidR="00565AB4" w:rsidRPr="00220038">
        <w:rPr>
          <w:lang w:val="en-US"/>
        </w:rPr>
        <w:t xml:space="preserve">thus </w:t>
      </w:r>
      <w:r w:rsidR="009F74E5" w:rsidRPr="00220038">
        <w:rPr>
          <w:lang w:val="en-US"/>
        </w:rPr>
        <w:t>mainly succeed in reinforcing initially</w:t>
      </w:r>
      <w:r w:rsidR="00565AB4" w:rsidRPr="00220038">
        <w:rPr>
          <w:lang w:val="en-US"/>
        </w:rPr>
        <w:t>-</w:t>
      </w:r>
      <w:r w:rsidR="009F74E5" w:rsidRPr="00220038">
        <w:rPr>
          <w:lang w:val="en-US"/>
        </w:rPr>
        <w:t>held views or</w:t>
      </w:r>
      <w:r w:rsidR="00565AB4" w:rsidRPr="00220038">
        <w:rPr>
          <w:lang w:val="en-US"/>
        </w:rPr>
        <w:t xml:space="preserve"> in</w:t>
      </w:r>
      <w:r w:rsidR="009F74E5" w:rsidRPr="00220038">
        <w:rPr>
          <w:lang w:val="en-US"/>
        </w:rPr>
        <w:t xml:space="preserve"> activat</w:t>
      </w:r>
      <w:r w:rsidR="00565AB4" w:rsidRPr="00220038">
        <w:rPr>
          <w:lang w:val="en-US"/>
        </w:rPr>
        <w:t>ing</w:t>
      </w:r>
      <w:r w:rsidR="009F74E5" w:rsidRPr="00220038">
        <w:rPr>
          <w:lang w:val="en-US"/>
        </w:rPr>
        <w:t xml:space="preserve"> latent preferences </w:t>
      </w:r>
      <w:r w:rsidR="00565AB4" w:rsidRPr="00220038">
        <w:rPr>
          <w:lang w:val="en-US"/>
        </w:rPr>
        <w:t xml:space="preserve">rather </w:t>
      </w:r>
      <w:r w:rsidR="009F74E5" w:rsidRPr="00220038">
        <w:rPr>
          <w:lang w:val="en-US"/>
        </w:rPr>
        <w:t>than in convincing voters to adapt their preferences (</w:t>
      </w:r>
      <w:proofErr w:type="spellStart"/>
      <w:r w:rsidR="009F74E5" w:rsidRPr="00220038">
        <w:rPr>
          <w:lang w:val="en-US"/>
        </w:rPr>
        <w:t>Lazarsfeld</w:t>
      </w:r>
      <w:proofErr w:type="spellEnd"/>
      <w:r w:rsidR="009F74E5" w:rsidRPr="00220038">
        <w:rPr>
          <w:lang w:val="en-US"/>
        </w:rPr>
        <w:t xml:space="preserve"> et al. 1968: 94). Based on these considerations, we expect political advertisements of a particular party to exert the strongest effect for citizens who are already favorably inclined towards that party – independent of the issues portrayed. Consequently, we formulate the following hypothesis: </w:t>
      </w:r>
    </w:p>
    <w:p w14:paraId="0DC8C3E3" w14:textId="4B3446BC" w:rsidR="009F74E5" w:rsidRPr="00220038" w:rsidRDefault="009F74E5" w:rsidP="009F74E5">
      <w:pPr>
        <w:rPr>
          <w:lang w:val="en-US"/>
        </w:rPr>
      </w:pPr>
      <w:r w:rsidRPr="00220038">
        <w:rPr>
          <w:b/>
          <w:lang w:val="en-US"/>
        </w:rPr>
        <w:t>H1:</w:t>
      </w:r>
      <w:r w:rsidRPr="00220038">
        <w:rPr>
          <w:lang w:val="en-US"/>
        </w:rPr>
        <w:t xml:space="preserve"> Citizens are reinforced in their vote choice with increasing exposure to the campaign of the party they initially favored. </w:t>
      </w:r>
    </w:p>
    <w:p w14:paraId="6A0F8D24" w14:textId="3C867E48" w:rsidR="009F74E5" w:rsidRPr="00220038" w:rsidRDefault="00C85905" w:rsidP="009F74E5">
      <w:pPr>
        <w:rPr>
          <w:lang w:val="en-US"/>
        </w:rPr>
      </w:pPr>
      <w:r w:rsidRPr="00220038">
        <w:rPr>
          <w:lang w:val="en-US"/>
        </w:rPr>
        <w:t>D</w:t>
      </w:r>
      <w:r w:rsidR="009F74E5" w:rsidRPr="00220038">
        <w:rPr>
          <w:lang w:val="en-US"/>
        </w:rPr>
        <w:t xml:space="preserve">uring the course of political campaigns, (potential) voters </w:t>
      </w:r>
      <w:r w:rsidR="00466F81" w:rsidRPr="00220038">
        <w:rPr>
          <w:lang w:val="en-US"/>
        </w:rPr>
        <w:t>have</w:t>
      </w:r>
      <w:r w:rsidR="009F74E5" w:rsidRPr="00220038">
        <w:rPr>
          <w:lang w:val="en-US"/>
        </w:rPr>
        <w:t xml:space="preserve"> the chance to learn more about fundamental issues and parties’ stances on these issues (</w:t>
      </w:r>
      <w:r w:rsidR="00E9758A" w:rsidRPr="00220038">
        <w:rPr>
          <w:lang w:val="en-US"/>
        </w:rPr>
        <w:t>Arcen</w:t>
      </w:r>
      <w:r w:rsidR="00E9758A">
        <w:rPr>
          <w:lang w:val="en-US"/>
        </w:rPr>
        <w:t>e</w:t>
      </w:r>
      <w:r w:rsidR="00E9758A" w:rsidRPr="00220038">
        <w:rPr>
          <w:lang w:val="en-US"/>
        </w:rPr>
        <w:t>aux 2006</w:t>
      </w:r>
      <w:r w:rsidR="00E9758A">
        <w:rPr>
          <w:lang w:val="en-US"/>
        </w:rPr>
        <w:t xml:space="preserve">; </w:t>
      </w:r>
      <w:r w:rsidR="009F74E5" w:rsidRPr="00220038">
        <w:rPr>
          <w:lang w:val="en-US"/>
        </w:rPr>
        <w:t xml:space="preserve">Gelman and King 1993; see also </w:t>
      </w:r>
      <w:proofErr w:type="spellStart"/>
      <w:r w:rsidR="009F74E5" w:rsidRPr="00220038">
        <w:rPr>
          <w:lang w:val="en-US"/>
        </w:rPr>
        <w:t>Iyengar</w:t>
      </w:r>
      <w:proofErr w:type="spellEnd"/>
      <w:r w:rsidR="009F74E5" w:rsidRPr="00220038">
        <w:rPr>
          <w:lang w:val="en-US"/>
        </w:rPr>
        <w:t xml:space="preserve"> and Simon 2000: 155).</w:t>
      </w:r>
      <w:r w:rsidR="00466F81" w:rsidRPr="00220038">
        <w:rPr>
          <w:lang w:val="en-US"/>
        </w:rPr>
        <w:t xml:space="preserve"> P</w:t>
      </w:r>
      <w:r w:rsidR="009F74E5" w:rsidRPr="00220038">
        <w:rPr>
          <w:lang w:val="en-US"/>
        </w:rPr>
        <w:t xml:space="preserve">olitical predispositions </w:t>
      </w:r>
      <w:r w:rsidR="00776997" w:rsidRPr="00220038">
        <w:rPr>
          <w:lang w:val="en-US"/>
        </w:rPr>
        <w:t>also play out</w:t>
      </w:r>
      <w:r w:rsidR="009F74E5" w:rsidRPr="00220038">
        <w:rPr>
          <w:lang w:val="en-US"/>
        </w:rPr>
        <w:t xml:space="preserve"> in this context. As </w:t>
      </w:r>
      <w:proofErr w:type="spellStart"/>
      <w:r w:rsidR="009F74E5" w:rsidRPr="00220038">
        <w:rPr>
          <w:lang w:val="en-US"/>
        </w:rPr>
        <w:t>Kriesi</w:t>
      </w:r>
      <w:proofErr w:type="spellEnd"/>
      <w:r w:rsidR="009F74E5" w:rsidRPr="00220038">
        <w:rPr>
          <w:lang w:val="en-US"/>
        </w:rPr>
        <w:t xml:space="preserve"> and </w:t>
      </w:r>
      <w:proofErr w:type="spellStart"/>
      <w:r w:rsidR="009F74E5" w:rsidRPr="00220038">
        <w:rPr>
          <w:lang w:val="en-US"/>
        </w:rPr>
        <w:t>Sciarini</w:t>
      </w:r>
      <w:proofErr w:type="spellEnd"/>
      <w:r w:rsidR="009F74E5" w:rsidRPr="00220038">
        <w:rPr>
          <w:lang w:val="en-US"/>
        </w:rPr>
        <w:t xml:space="preserve"> (2004: 737) </w:t>
      </w:r>
      <w:r w:rsidR="00C63FCE" w:rsidRPr="00220038">
        <w:rPr>
          <w:lang w:val="en-US"/>
        </w:rPr>
        <w:t>note</w:t>
      </w:r>
      <w:r w:rsidR="00466F81" w:rsidRPr="00220038">
        <w:rPr>
          <w:lang w:val="en-US"/>
        </w:rPr>
        <w:t>,</w:t>
      </w:r>
      <w:r w:rsidR="009F74E5" w:rsidRPr="00220038">
        <w:rPr>
          <w:lang w:val="en-US"/>
        </w:rPr>
        <w:t xml:space="preserve"> </w:t>
      </w:r>
      <w:r w:rsidR="00466F81" w:rsidRPr="00220038">
        <w:rPr>
          <w:rFonts w:ascii="Times" w:hAnsi="Times"/>
          <w:szCs w:val="22"/>
          <w:lang w:val="en-US"/>
        </w:rPr>
        <w:t>“</w:t>
      </w:r>
      <w:r w:rsidR="009F74E5" w:rsidRPr="00220038">
        <w:rPr>
          <w:rFonts w:ascii="Times" w:hAnsi="Times" w:cs="Times"/>
          <w:color w:val="000000"/>
          <w:szCs w:val="22"/>
          <w:lang w:val="en-US"/>
        </w:rPr>
        <w:t xml:space="preserve">electoral campaigns are not so much shaping policy preferences, but linking established preferences to political parties.” </w:t>
      </w:r>
      <w:r w:rsidR="009F74E5" w:rsidRPr="00220038">
        <w:rPr>
          <w:lang w:val="en-US"/>
        </w:rPr>
        <w:t>Citizens who are indecisive whether they would like to partake in the elections may be encouraged to vote for a party if th</w:t>
      </w:r>
      <w:r w:rsidR="00DF2C5D" w:rsidRPr="00220038">
        <w:rPr>
          <w:lang w:val="en-US"/>
        </w:rPr>
        <w:t>at</w:t>
      </w:r>
      <w:r w:rsidR="009F74E5" w:rsidRPr="00220038">
        <w:rPr>
          <w:lang w:val="en-US"/>
        </w:rPr>
        <w:t xml:space="preserve"> party manages to activate their latent predispositions (</w:t>
      </w:r>
      <w:proofErr w:type="spellStart"/>
      <w:r w:rsidR="009F74E5" w:rsidRPr="00220038">
        <w:rPr>
          <w:lang w:val="en-US"/>
        </w:rPr>
        <w:t>Lazarsfeld</w:t>
      </w:r>
      <w:proofErr w:type="spellEnd"/>
      <w:r w:rsidR="009F74E5" w:rsidRPr="00220038">
        <w:rPr>
          <w:lang w:val="en-US"/>
        </w:rPr>
        <w:t xml:space="preserve"> et al. 1968).</w:t>
      </w:r>
      <w:r w:rsidR="006C36F7" w:rsidRPr="00220038">
        <w:rPr>
          <w:lang w:val="en-US"/>
        </w:rPr>
        <w:t xml:space="preserve"> </w:t>
      </w:r>
      <w:proofErr w:type="spellStart"/>
      <w:r w:rsidR="006C36F7" w:rsidRPr="00220038">
        <w:rPr>
          <w:lang w:val="en-US"/>
        </w:rPr>
        <w:t>Kriesi</w:t>
      </w:r>
      <w:proofErr w:type="spellEnd"/>
      <w:r w:rsidR="006C36F7" w:rsidRPr="00220038">
        <w:rPr>
          <w:lang w:val="en-US"/>
        </w:rPr>
        <w:t xml:space="preserve"> and </w:t>
      </w:r>
      <w:proofErr w:type="spellStart"/>
      <w:r w:rsidR="006C36F7" w:rsidRPr="00220038">
        <w:rPr>
          <w:lang w:val="en-US"/>
        </w:rPr>
        <w:t>Sciarini</w:t>
      </w:r>
      <w:proofErr w:type="spellEnd"/>
      <w:r w:rsidR="006C36F7" w:rsidRPr="00220038">
        <w:rPr>
          <w:lang w:val="en-US"/>
        </w:rPr>
        <w:t xml:space="preserve"> (2004: 726) decompose the activation in four steps: campaign awakens interest, </w:t>
      </w:r>
      <w:r w:rsidR="00CD0BC3" w:rsidRPr="00220038">
        <w:rPr>
          <w:lang w:val="en-US"/>
        </w:rPr>
        <w:t xml:space="preserve">interest motivates exposure, exposure becomes selective due to motivated reasoning and </w:t>
      </w:r>
      <w:r w:rsidR="00C935C4" w:rsidRPr="00220038">
        <w:rPr>
          <w:lang w:val="en-US"/>
        </w:rPr>
        <w:t xml:space="preserve">finally, </w:t>
      </w:r>
      <w:r w:rsidR="00CD0BC3" w:rsidRPr="00220038">
        <w:rPr>
          <w:lang w:val="en-US"/>
        </w:rPr>
        <w:t>latent predisposition</w:t>
      </w:r>
      <w:r w:rsidR="00C63FCE" w:rsidRPr="00220038">
        <w:rPr>
          <w:lang w:val="en-US"/>
        </w:rPr>
        <w:t>s</w:t>
      </w:r>
      <w:r w:rsidR="00CD0BC3" w:rsidRPr="00220038">
        <w:rPr>
          <w:lang w:val="en-US"/>
        </w:rPr>
        <w:t xml:space="preserve"> crystalli</w:t>
      </w:r>
      <w:r w:rsidR="0034379F" w:rsidRPr="00220038">
        <w:rPr>
          <w:lang w:val="en-US"/>
        </w:rPr>
        <w:t>z</w:t>
      </w:r>
      <w:r w:rsidR="00CD0BC3" w:rsidRPr="00220038">
        <w:rPr>
          <w:lang w:val="en-US"/>
        </w:rPr>
        <w:t>e into a vote intention</w:t>
      </w:r>
      <w:r w:rsidR="00E96F8C" w:rsidRPr="00220038">
        <w:rPr>
          <w:lang w:val="en-US"/>
        </w:rPr>
        <w:t>.</w:t>
      </w:r>
      <w:r w:rsidR="009F74E5" w:rsidRPr="00220038">
        <w:rPr>
          <w:lang w:val="en-US"/>
        </w:rPr>
        <w:t xml:space="preserve"> In order for considerations </w:t>
      </w:r>
      <w:r w:rsidR="00CD0BC3" w:rsidRPr="00220038">
        <w:rPr>
          <w:lang w:val="en-US"/>
        </w:rPr>
        <w:t>t</w:t>
      </w:r>
      <w:r w:rsidR="009F74E5" w:rsidRPr="00220038">
        <w:rPr>
          <w:lang w:val="en-US"/>
        </w:rPr>
        <w:t xml:space="preserve">o influence the opinion formation process, they need to be accessible. One way to attain accessibility is to increase exposure to the consideration on a regular or recent basis (Chong and </w:t>
      </w:r>
      <w:proofErr w:type="spellStart"/>
      <w:r w:rsidR="009F74E5" w:rsidRPr="00220038">
        <w:rPr>
          <w:lang w:val="en-US"/>
        </w:rPr>
        <w:t>Druckman</w:t>
      </w:r>
      <w:proofErr w:type="spellEnd"/>
      <w:r w:rsidR="009F74E5" w:rsidRPr="00220038">
        <w:rPr>
          <w:lang w:val="en-US"/>
        </w:rPr>
        <w:t xml:space="preserve"> 2007).</w:t>
      </w:r>
      <w:r w:rsidR="009F74E5" w:rsidRPr="00220038">
        <w:rPr>
          <w:rFonts w:ascii="Times" w:hAnsi="Times" w:cs="Times"/>
          <w:color w:val="000000"/>
          <w:szCs w:val="22"/>
          <w:lang w:val="en-US"/>
        </w:rPr>
        <w:t xml:space="preserve"> Hence, we </w:t>
      </w:r>
      <w:r w:rsidR="0034379F" w:rsidRPr="00220038">
        <w:rPr>
          <w:rFonts w:ascii="Times" w:hAnsi="Times" w:cs="Times"/>
          <w:color w:val="000000"/>
          <w:szCs w:val="22"/>
          <w:lang w:val="en-US"/>
        </w:rPr>
        <w:t>hypothesiz</w:t>
      </w:r>
      <w:r w:rsidR="00843373" w:rsidRPr="00220038">
        <w:rPr>
          <w:rFonts w:ascii="Times" w:hAnsi="Times" w:cs="Times"/>
          <w:color w:val="000000"/>
          <w:szCs w:val="22"/>
          <w:lang w:val="en-US"/>
        </w:rPr>
        <w:t>e</w:t>
      </w:r>
      <w:r w:rsidR="009F74E5" w:rsidRPr="00220038">
        <w:rPr>
          <w:rFonts w:ascii="Times" w:hAnsi="Times" w:cs="Times"/>
          <w:color w:val="000000"/>
          <w:szCs w:val="22"/>
          <w:lang w:val="en-US"/>
        </w:rPr>
        <w:t xml:space="preserve"> that:</w:t>
      </w:r>
    </w:p>
    <w:p w14:paraId="71A68853" w14:textId="38550F38" w:rsidR="009F74E5" w:rsidRPr="00220038" w:rsidRDefault="009F74E5" w:rsidP="009F74E5">
      <w:pPr>
        <w:rPr>
          <w:rFonts w:ascii="Times" w:hAnsi="Times" w:cs="Times"/>
          <w:color w:val="000000"/>
          <w:szCs w:val="22"/>
          <w:lang w:val="en-US"/>
        </w:rPr>
      </w:pPr>
      <w:r w:rsidRPr="00220038">
        <w:rPr>
          <w:rFonts w:ascii="Times" w:hAnsi="Times" w:cs="Times"/>
          <w:b/>
          <w:color w:val="000000"/>
          <w:szCs w:val="22"/>
          <w:lang w:val="en-US"/>
        </w:rPr>
        <w:t xml:space="preserve"> H2a: </w:t>
      </w:r>
      <w:r w:rsidRPr="00220038">
        <w:rPr>
          <w:rFonts w:ascii="Times" w:hAnsi="Times" w:cs="Times"/>
          <w:color w:val="000000"/>
          <w:szCs w:val="22"/>
          <w:lang w:val="en-US"/>
        </w:rPr>
        <w:t xml:space="preserve">The higher the exposure to the issue-specific campaign </w:t>
      </w:r>
      <w:r w:rsidR="00D42503" w:rsidRPr="00220038">
        <w:rPr>
          <w:rFonts w:ascii="Times" w:hAnsi="Times" w:cs="Times"/>
          <w:color w:val="000000"/>
          <w:szCs w:val="22"/>
          <w:lang w:val="en-US"/>
        </w:rPr>
        <w:t>by</w:t>
      </w:r>
      <w:r w:rsidRPr="00220038">
        <w:rPr>
          <w:rFonts w:ascii="Times" w:hAnsi="Times" w:cs="Times"/>
          <w:color w:val="000000"/>
          <w:szCs w:val="22"/>
          <w:lang w:val="en-US"/>
        </w:rPr>
        <w:t xml:space="preserve"> </w:t>
      </w:r>
      <w:r w:rsidR="00D42503" w:rsidRPr="00220038">
        <w:rPr>
          <w:rFonts w:ascii="Times" w:hAnsi="Times" w:cs="Times"/>
          <w:color w:val="000000"/>
          <w:szCs w:val="22"/>
          <w:lang w:val="en-US"/>
        </w:rPr>
        <w:t>the</w:t>
      </w:r>
      <w:r w:rsidRPr="00220038">
        <w:rPr>
          <w:rFonts w:ascii="Times" w:hAnsi="Times" w:cs="Times"/>
          <w:color w:val="000000"/>
          <w:szCs w:val="22"/>
          <w:lang w:val="en-US"/>
        </w:rPr>
        <w:t xml:space="preserve"> advertising party, the higher the chances that a citizen </w:t>
      </w:r>
      <w:r w:rsidR="00C935C4" w:rsidRPr="00220038">
        <w:rPr>
          <w:rFonts w:ascii="Times" w:hAnsi="Times" w:cs="Times"/>
          <w:color w:val="000000"/>
          <w:szCs w:val="22"/>
          <w:lang w:val="en-US"/>
        </w:rPr>
        <w:t>develops a vote intention</w:t>
      </w:r>
      <w:r w:rsidRPr="00220038">
        <w:rPr>
          <w:rFonts w:ascii="Times" w:hAnsi="Times" w:cs="Times"/>
          <w:color w:val="000000"/>
          <w:szCs w:val="22"/>
          <w:lang w:val="en-US"/>
        </w:rPr>
        <w:t xml:space="preserve"> for that party – given that </w:t>
      </w:r>
      <w:r w:rsidR="00887044">
        <w:rPr>
          <w:rFonts w:ascii="Times" w:hAnsi="Times" w:cs="Times"/>
          <w:color w:val="000000"/>
          <w:szCs w:val="22"/>
          <w:lang w:val="en-US"/>
        </w:rPr>
        <w:t>her</w:t>
      </w:r>
      <w:r w:rsidRPr="00220038">
        <w:rPr>
          <w:rFonts w:ascii="Times" w:hAnsi="Times" w:cs="Times"/>
          <w:color w:val="000000"/>
          <w:szCs w:val="22"/>
          <w:lang w:val="en-US"/>
        </w:rPr>
        <w:t xml:space="preserve"> issue preferences are in line with the ones portrayed by the party.</w:t>
      </w:r>
    </w:p>
    <w:p w14:paraId="1CC8C7B9" w14:textId="6EDFC0F2" w:rsidR="009F74E5" w:rsidRPr="00220038" w:rsidRDefault="009F74E5" w:rsidP="009F74E5">
      <w:pPr>
        <w:rPr>
          <w:rFonts w:ascii="Times" w:hAnsi="Times" w:cs="Times"/>
          <w:color w:val="000000"/>
          <w:szCs w:val="22"/>
          <w:lang w:val="en-US"/>
        </w:rPr>
      </w:pPr>
      <w:r w:rsidRPr="00220038">
        <w:rPr>
          <w:rFonts w:ascii="Times" w:hAnsi="Times" w:cs="Times"/>
          <w:color w:val="000000"/>
          <w:szCs w:val="22"/>
          <w:lang w:val="en-US"/>
        </w:rPr>
        <w:t xml:space="preserve">Similarly, we might expect reinforcement effects to be on display, assuming that at the beginning of the campaign, voters are not perfectly informed about issue stances of the party they favor. Therefore, we </w:t>
      </w:r>
      <w:r w:rsidR="009E2710" w:rsidRPr="00220038">
        <w:rPr>
          <w:rFonts w:ascii="Times" w:hAnsi="Times" w:cs="Times"/>
          <w:color w:val="000000"/>
          <w:szCs w:val="22"/>
          <w:lang w:val="en-US"/>
        </w:rPr>
        <w:t xml:space="preserve">posit </w:t>
      </w:r>
      <w:r w:rsidRPr="00220038">
        <w:rPr>
          <w:rFonts w:ascii="Times" w:hAnsi="Times" w:cs="Times"/>
          <w:color w:val="000000"/>
          <w:szCs w:val="22"/>
          <w:lang w:val="en-US"/>
        </w:rPr>
        <w:t xml:space="preserve">the following hypothesis: </w:t>
      </w:r>
    </w:p>
    <w:p w14:paraId="5DA2C984" w14:textId="24B232B3" w:rsidR="009F74E5" w:rsidRPr="00220038" w:rsidRDefault="009F74E5" w:rsidP="009F74E5">
      <w:pPr>
        <w:rPr>
          <w:rFonts w:ascii="Times" w:hAnsi="Times" w:cs="Times"/>
          <w:color w:val="000000"/>
          <w:szCs w:val="22"/>
          <w:lang w:val="en-US"/>
        </w:rPr>
      </w:pPr>
      <w:r w:rsidRPr="00220038">
        <w:rPr>
          <w:rFonts w:ascii="Times" w:hAnsi="Times" w:cs="Times"/>
          <w:b/>
          <w:color w:val="000000"/>
          <w:szCs w:val="22"/>
          <w:lang w:val="en-US"/>
        </w:rPr>
        <w:t xml:space="preserve">H2b: </w:t>
      </w:r>
      <w:r w:rsidRPr="00220038">
        <w:rPr>
          <w:rFonts w:ascii="Times" w:hAnsi="Times" w:cs="Times"/>
          <w:color w:val="000000"/>
          <w:szCs w:val="22"/>
          <w:lang w:val="en-US"/>
        </w:rPr>
        <w:t xml:space="preserve">The higher the exposure to the issue-specific campaign of an advertising party, the higher the chances that a citizen is reinforced in </w:t>
      </w:r>
      <w:r w:rsidR="00887044">
        <w:rPr>
          <w:rFonts w:ascii="Times" w:hAnsi="Times" w:cs="Times"/>
          <w:color w:val="000000"/>
          <w:szCs w:val="22"/>
          <w:lang w:val="en-US"/>
        </w:rPr>
        <w:t>her</w:t>
      </w:r>
      <w:r w:rsidRPr="00220038">
        <w:rPr>
          <w:rFonts w:ascii="Times" w:hAnsi="Times" w:cs="Times"/>
          <w:color w:val="000000"/>
          <w:szCs w:val="22"/>
          <w:lang w:val="en-US"/>
        </w:rPr>
        <w:t xml:space="preserve"> vote intention for that party – given that </w:t>
      </w:r>
      <w:r w:rsidR="00887044">
        <w:rPr>
          <w:rFonts w:ascii="Times" w:hAnsi="Times" w:cs="Times"/>
          <w:color w:val="000000"/>
          <w:szCs w:val="22"/>
          <w:lang w:val="en-US"/>
        </w:rPr>
        <w:t>her</w:t>
      </w:r>
      <w:r w:rsidRPr="00220038">
        <w:rPr>
          <w:rFonts w:ascii="Times" w:hAnsi="Times" w:cs="Times"/>
          <w:color w:val="000000"/>
          <w:szCs w:val="22"/>
          <w:lang w:val="en-US"/>
        </w:rPr>
        <w:t xml:space="preserve"> issue preferences are in line with the ones portrayed by the party.</w:t>
      </w:r>
    </w:p>
    <w:p w14:paraId="1E798ED5" w14:textId="3A70F8FC" w:rsidR="00CD0BC3" w:rsidRPr="00220038" w:rsidRDefault="00E96F8C" w:rsidP="009F74E5">
      <w:pPr>
        <w:rPr>
          <w:rFonts w:ascii="Times" w:hAnsi="Times" w:cs="Times"/>
          <w:color w:val="000000"/>
          <w:szCs w:val="22"/>
          <w:lang w:val="en-US"/>
        </w:rPr>
      </w:pPr>
      <w:r w:rsidRPr="00220038">
        <w:rPr>
          <w:rFonts w:ascii="Times" w:hAnsi="Times" w:cs="Times"/>
          <w:color w:val="000000"/>
          <w:szCs w:val="22"/>
          <w:lang w:val="en-US"/>
        </w:rPr>
        <w:t xml:space="preserve">Given the preponderant influence of issue-ownership on vote behavior, political parties potentially follow two strategies when communicating with citizens. </w:t>
      </w:r>
      <w:r w:rsidR="00001287" w:rsidRPr="00220038">
        <w:rPr>
          <w:rFonts w:ascii="Times" w:hAnsi="Times" w:cs="Times"/>
          <w:color w:val="000000"/>
          <w:szCs w:val="22"/>
          <w:lang w:val="en-US"/>
        </w:rPr>
        <w:t>The f</w:t>
      </w:r>
      <w:r w:rsidRPr="00220038">
        <w:rPr>
          <w:rFonts w:ascii="Times" w:hAnsi="Times" w:cs="Times"/>
          <w:color w:val="000000"/>
          <w:szCs w:val="22"/>
          <w:lang w:val="en-US"/>
        </w:rPr>
        <w:t>irst</w:t>
      </w:r>
      <w:r w:rsidR="00001287" w:rsidRPr="00220038">
        <w:rPr>
          <w:rFonts w:ascii="Times" w:hAnsi="Times" w:cs="Times"/>
          <w:color w:val="000000"/>
          <w:szCs w:val="22"/>
          <w:lang w:val="en-US"/>
        </w:rPr>
        <w:t xml:space="preserve"> strategy is to</w:t>
      </w:r>
      <w:r w:rsidRPr="00220038">
        <w:rPr>
          <w:rFonts w:ascii="Times" w:hAnsi="Times" w:cs="Times"/>
          <w:color w:val="000000"/>
          <w:szCs w:val="22"/>
          <w:lang w:val="en-US"/>
        </w:rPr>
        <w:t xml:space="preserve"> selectively </w:t>
      </w:r>
      <w:r w:rsidR="00001287" w:rsidRPr="00220038">
        <w:rPr>
          <w:rFonts w:ascii="Times" w:hAnsi="Times" w:cs="Times"/>
          <w:color w:val="000000"/>
          <w:szCs w:val="22"/>
          <w:lang w:val="en-US"/>
        </w:rPr>
        <w:t xml:space="preserve">link </w:t>
      </w:r>
      <w:r w:rsidRPr="00220038">
        <w:rPr>
          <w:rFonts w:ascii="Times" w:hAnsi="Times" w:cs="Times"/>
          <w:color w:val="000000"/>
          <w:szCs w:val="22"/>
          <w:lang w:val="en-US"/>
        </w:rPr>
        <w:t>their campaign to issues they</w:t>
      </w:r>
      <w:r w:rsidR="004E0FFD" w:rsidRPr="00220038">
        <w:rPr>
          <w:rFonts w:ascii="Times" w:hAnsi="Times" w:cs="Times"/>
          <w:color w:val="000000"/>
          <w:szCs w:val="22"/>
          <w:lang w:val="en-US"/>
        </w:rPr>
        <w:t xml:space="preserve"> already</w:t>
      </w:r>
      <w:r w:rsidR="008238E1" w:rsidRPr="00220038">
        <w:rPr>
          <w:rFonts w:ascii="Times" w:hAnsi="Times" w:cs="Times"/>
          <w:color w:val="000000"/>
          <w:szCs w:val="22"/>
          <w:lang w:val="en-US"/>
        </w:rPr>
        <w:t xml:space="preserve"> </w:t>
      </w:r>
      <w:r w:rsidRPr="00220038">
        <w:rPr>
          <w:rFonts w:ascii="Times" w:hAnsi="Times" w:cs="Times"/>
          <w:color w:val="000000"/>
          <w:szCs w:val="22"/>
          <w:lang w:val="en-US"/>
        </w:rPr>
        <w:t>own</w:t>
      </w:r>
      <w:r w:rsidR="00F76FCB" w:rsidRPr="00220038">
        <w:rPr>
          <w:rFonts w:ascii="Times" w:hAnsi="Times" w:cs="Times"/>
          <w:color w:val="000000"/>
          <w:szCs w:val="22"/>
          <w:lang w:val="en-US"/>
        </w:rPr>
        <w:t>.</w:t>
      </w:r>
      <w:r w:rsidR="004E0FFD" w:rsidRPr="00220038">
        <w:rPr>
          <w:rFonts w:ascii="Times" w:hAnsi="Times" w:cs="Times"/>
          <w:color w:val="000000"/>
          <w:szCs w:val="22"/>
          <w:lang w:val="en-US"/>
        </w:rPr>
        <w:t xml:space="preserve"> </w:t>
      </w:r>
      <w:r w:rsidR="00F76FCB" w:rsidRPr="00220038">
        <w:rPr>
          <w:rFonts w:ascii="Times" w:hAnsi="Times" w:cs="Times"/>
          <w:color w:val="000000"/>
          <w:szCs w:val="22"/>
          <w:lang w:val="en-US"/>
        </w:rPr>
        <w:t>They can</w:t>
      </w:r>
      <w:r w:rsidR="008238E1" w:rsidRPr="00220038">
        <w:rPr>
          <w:rFonts w:ascii="Times" w:hAnsi="Times" w:cs="Times"/>
          <w:color w:val="000000"/>
          <w:szCs w:val="22"/>
          <w:lang w:val="en-US"/>
        </w:rPr>
        <w:t xml:space="preserve"> thus profit from </w:t>
      </w:r>
      <w:r w:rsidR="004E0FFD" w:rsidRPr="00220038">
        <w:rPr>
          <w:rFonts w:ascii="Times" w:hAnsi="Times" w:cs="Times"/>
          <w:color w:val="000000"/>
          <w:szCs w:val="22"/>
          <w:lang w:val="en-US"/>
        </w:rPr>
        <w:t>association</w:t>
      </w:r>
      <w:r w:rsidR="008238E1" w:rsidRPr="00220038">
        <w:rPr>
          <w:rFonts w:ascii="Times" w:hAnsi="Times" w:cs="Times"/>
          <w:color w:val="000000"/>
          <w:szCs w:val="22"/>
          <w:lang w:val="en-US"/>
        </w:rPr>
        <w:t>s</w:t>
      </w:r>
      <w:r w:rsidR="004E0FFD" w:rsidRPr="00220038">
        <w:rPr>
          <w:rFonts w:ascii="Times" w:hAnsi="Times" w:cs="Times"/>
          <w:color w:val="000000"/>
          <w:szCs w:val="22"/>
          <w:lang w:val="en-US"/>
        </w:rPr>
        <w:t xml:space="preserve"> with the issue</w:t>
      </w:r>
      <w:r w:rsidR="008238E1" w:rsidRPr="00220038">
        <w:rPr>
          <w:rFonts w:ascii="Times" w:hAnsi="Times" w:cs="Times"/>
          <w:color w:val="000000"/>
          <w:szCs w:val="22"/>
          <w:lang w:val="en-US"/>
        </w:rPr>
        <w:t xml:space="preserve"> that </w:t>
      </w:r>
      <w:r w:rsidR="00001287" w:rsidRPr="00220038">
        <w:rPr>
          <w:rFonts w:ascii="Times" w:hAnsi="Times" w:cs="Times"/>
          <w:color w:val="000000"/>
          <w:szCs w:val="22"/>
          <w:lang w:val="en-US"/>
        </w:rPr>
        <w:t>were</w:t>
      </w:r>
      <w:r w:rsidR="008238E1" w:rsidRPr="00220038">
        <w:rPr>
          <w:rFonts w:ascii="Times" w:hAnsi="Times" w:cs="Times"/>
          <w:color w:val="000000"/>
          <w:szCs w:val="22"/>
          <w:lang w:val="en-US"/>
        </w:rPr>
        <w:t xml:space="preserve"> created in the past, e.g. via news reporting or campaign activity</w:t>
      </w:r>
      <w:r w:rsidRPr="00220038">
        <w:rPr>
          <w:rFonts w:ascii="Times" w:hAnsi="Times" w:cs="Times"/>
          <w:color w:val="000000"/>
          <w:szCs w:val="22"/>
          <w:lang w:val="en-US"/>
        </w:rPr>
        <w:t xml:space="preserve">. </w:t>
      </w:r>
      <w:r w:rsidR="00F76FCB" w:rsidRPr="00220038">
        <w:rPr>
          <w:rFonts w:ascii="Times" w:hAnsi="Times" w:cs="Times"/>
          <w:color w:val="000000"/>
          <w:szCs w:val="22"/>
          <w:lang w:val="en-US"/>
        </w:rPr>
        <w:t>Our h</w:t>
      </w:r>
      <w:r w:rsidR="008238E1" w:rsidRPr="00220038">
        <w:rPr>
          <w:rFonts w:ascii="Times" w:hAnsi="Times" w:cs="Times"/>
          <w:color w:val="000000"/>
          <w:szCs w:val="22"/>
          <w:lang w:val="en-US"/>
        </w:rPr>
        <w:t xml:space="preserve">ypotheses 2a and 2b </w:t>
      </w:r>
      <w:r w:rsidR="00887044">
        <w:rPr>
          <w:rFonts w:ascii="Times" w:hAnsi="Times" w:cs="Times"/>
          <w:color w:val="000000"/>
          <w:szCs w:val="22"/>
          <w:lang w:val="en-US"/>
        </w:rPr>
        <w:t>follow</w:t>
      </w:r>
      <w:r w:rsidR="008238E1" w:rsidRPr="00220038">
        <w:rPr>
          <w:rFonts w:ascii="Times" w:hAnsi="Times" w:cs="Times"/>
          <w:color w:val="000000"/>
          <w:szCs w:val="22"/>
          <w:lang w:val="en-US"/>
        </w:rPr>
        <w:t xml:space="preserve"> this </w:t>
      </w:r>
      <w:r w:rsidR="008238E1" w:rsidRPr="00220038">
        <w:rPr>
          <w:rFonts w:ascii="Times" w:hAnsi="Times" w:cs="Times"/>
          <w:color w:val="000000"/>
          <w:szCs w:val="22"/>
          <w:lang w:val="en-US"/>
        </w:rPr>
        <w:lastRenderedPageBreak/>
        <w:t xml:space="preserve">scenario. </w:t>
      </w:r>
      <w:r w:rsidR="00001287" w:rsidRPr="00220038">
        <w:rPr>
          <w:rFonts w:ascii="Times" w:hAnsi="Times" w:cs="Times"/>
          <w:color w:val="000000"/>
          <w:szCs w:val="22"/>
          <w:lang w:val="en-US"/>
        </w:rPr>
        <w:t>The second strategy therefore goes beyond this</w:t>
      </w:r>
      <w:r w:rsidR="00AC0A2B" w:rsidRPr="00220038">
        <w:rPr>
          <w:rFonts w:ascii="Times" w:hAnsi="Times" w:cs="Times"/>
          <w:color w:val="000000"/>
          <w:szCs w:val="22"/>
          <w:lang w:val="en-US"/>
        </w:rPr>
        <w:t>; parties recognize</w:t>
      </w:r>
      <w:r w:rsidR="00001287" w:rsidRPr="00220038">
        <w:rPr>
          <w:rFonts w:ascii="Times" w:hAnsi="Times" w:cs="Times"/>
          <w:color w:val="000000"/>
          <w:szCs w:val="22"/>
          <w:lang w:val="en-US"/>
        </w:rPr>
        <w:t xml:space="preserve"> that</w:t>
      </w:r>
      <w:r w:rsidR="008238E1" w:rsidRPr="00220038">
        <w:rPr>
          <w:rFonts w:ascii="Times" w:hAnsi="Times" w:cs="Times"/>
          <w:color w:val="000000"/>
          <w:szCs w:val="22"/>
          <w:lang w:val="en-US"/>
        </w:rPr>
        <w:t xml:space="preserve"> each political campaign bears the potential to </w:t>
      </w:r>
      <w:r w:rsidR="004E0FFD" w:rsidRPr="00220038">
        <w:rPr>
          <w:rFonts w:ascii="Times" w:hAnsi="Times" w:cs="Times"/>
          <w:color w:val="000000"/>
          <w:szCs w:val="22"/>
          <w:lang w:val="en-US"/>
        </w:rPr>
        <w:t xml:space="preserve">increase issue ownership </w:t>
      </w:r>
      <w:r w:rsidR="008238E1" w:rsidRPr="00220038">
        <w:rPr>
          <w:rFonts w:ascii="Times" w:hAnsi="Times" w:cs="Times"/>
          <w:color w:val="000000"/>
          <w:szCs w:val="22"/>
          <w:lang w:val="en-US"/>
        </w:rPr>
        <w:t xml:space="preserve">perceptions </w:t>
      </w:r>
      <w:r w:rsidR="004E0FFD" w:rsidRPr="00220038">
        <w:rPr>
          <w:rFonts w:ascii="Times" w:hAnsi="Times" w:cs="Times"/>
          <w:color w:val="000000"/>
          <w:szCs w:val="22"/>
          <w:lang w:val="en-US"/>
        </w:rPr>
        <w:t>among</w:t>
      </w:r>
      <w:r w:rsidR="00001287" w:rsidRPr="00220038">
        <w:rPr>
          <w:rFonts w:ascii="Times" w:hAnsi="Times" w:cs="Times"/>
          <w:color w:val="000000"/>
          <w:szCs w:val="22"/>
          <w:lang w:val="en-US"/>
        </w:rPr>
        <w:t xml:space="preserve"> their</w:t>
      </w:r>
      <w:r w:rsidR="008238E1" w:rsidRPr="00220038">
        <w:rPr>
          <w:rFonts w:ascii="Times" w:hAnsi="Times" w:cs="Times"/>
          <w:color w:val="000000"/>
          <w:szCs w:val="22"/>
          <w:lang w:val="en-US"/>
        </w:rPr>
        <w:t xml:space="preserve"> </w:t>
      </w:r>
      <w:r w:rsidR="004E0FFD" w:rsidRPr="00220038">
        <w:rPr>
          <w:rFonts w:ascii="Times" w:hAnsi="Times" w:cs="Times"/>
          <w:color w:val="000000"/>
          <w:szCs w:val="22"/>
          <w:lang w:val="en-US"/>
        </w:rPr>
        <w:t xml:space="preserve">potential </w:t>
      </w:r>
      <w:r w:rsidR="008238E1" w:rsidRPr="00220038">
        <w:rPr>
          <w:rFonts w:ascii="Times" w:hAnsi="Times" w:cs="Times"/>
          <w:color w:val="000000"/>
          <w:szCs w:val="22"/>
          <w:lang w:val="en-US"/>
        </w:rPr>
        <w:t>electorate</w:t>
      </w:r>
      <w:r w:rsidR="008F2F8A" w:rsidRPr="00220038">
        <w:rPr>
          <w:rFonts w:ascii="Times" w:hAnsi="Times" w:cs="Times"/>
          <w:color w:val="000000"/>
          <w:szCs w:val="22"/>
          <w:lang w:val="en-US"/>
        </w:rPr>
        <w:t xml:space="preserve"> (</w:t>
      </w:r>
      <w:proofErr w:type="spellStart"/>
      <w:r w:rsidR="008F2F8A" w:rsidRPr="00220038">
        <w:rPr>
          <w:rFonts w:ascii="Times" w:hAnsi="Times" w:cs="Times"/>
          <w:color w:val="000000"/>
          <w:szCs w:val="22"/>
          <w:lang w:val="en-US"/>
        </w:rPr>
        <w:t>Walgrave</w:t>
      </w:r>
      <w:proofErr w:type="spellEnd"/>
      <w:r w:rsidR="008F2F8A" w:rsidRPr="00220038">
        <w:rPr>
          <w:rFonts w:ascii="Times" w:hAnsi="Times" w:cs="Times"/>
          <w:color w:val="000000"/>
          <w:szCs w:val="22"/>
          <w:lang w:val="en-US"/>
        </w:rPr>
        <w:t xml:space="preserve"> et al. 2014)</w:t>
      </w:r>
      <w:r w:rsidRPr="00220038">
        <w:rPr>
          <w:rFonts w:ascii="Times" w:hAnsi="Times" w:cs="Times"/>
          <w:color w:val="000000"/>
          <w:szCs w:val="22"/>
          <w:lang w:val="en-US"/>
        </w:rPr>
        <w:t xml:space="preserve">. </w:t>
      </w:r>
      <w:r w:rsidR="008238E1" w:rsidRPr="00220038">
        <w:rPr>
          <w:lang w:val="en-US"/>
        </w:rPr>
        <w:t>This is in line with</w:t>
      </w:r>
      <w:r w:rsidR="001A3773" w:rsidRPr="00220038">
        <w:rPr>
          <w:lang w:val="en-US"/>
        </w:rPr>
        <w:t xml:space="preserve"> issue ownership theory, </w:t>
      </w:r>
      <w:r w:rsidR="008238E1" w:rsidRPr="00220038">
        <w:rPr>
          <w:lang w:val="en-US"/>
        </w:rPr>
        <w:t xml:space="preserve">according to which </w:t>
      </w:r>
      <w:r w:rsidR="001A3773" w:rsidRPr="00220038">
        <w:rPr>
          <w:lang w:val="en-US"/>
        </w:rPr>
        <w:t>campaigns have the intended effect when a political a</w:t>
      </w:r>
      <w:r w:rsidR="006635B4" w:rsidRPr="00220038">
        <w:rPr>
          <w:lang w:val="en-US"/>
        </w:rPr>
        <w:t xml:space="preserve">ctor manages to demonstrate </w:t>
      </w:r>
      <w:r w:rsidR="00735830" w:rsidRPr="00220038">
        <w:rPr>
          <w:lang w:val="en-US"/>
        </w:rPr>
        <w:t xml:space="preserve">its </w:t>
      </w:r>
      <w:r w:rsidR="001A3773" w:rsidRPr="00220038">
        <w:rPr>
          <w:lang w:val="en-US"/>
        </w:rPr>
        <w:t>reputation</w:t>
      </w:r>
      <w:r w:rsidR="006635B4" w:rsidRPr="00220038">
        <w:rPr>
          <w:lang w:val="en-US"/>
        </w:rPr>
        <w:t xml:space="preserve"> </w:t>
      </w:r>
      <w:r w:rsidR="001A3773" w:rsidRPr="00220038">
        <w:rPr>
          <w:lang w:val="en-US"/>
        </w:rPr>
        <w:t xml:space="preserve">in handling a relevant political </w:t>
      </w:r>
      <w:r w:rsidR="005A7739" w:rsidRPr="00220038">
        <w:rPr>
          <w:lang w:val="en-US"/>
        </w:rPr>
        <w:t xml:space="preserve">issue </w:t>
      </w:r>
      <w:r w:rsidR="001A3773" w:rsidRPr="00220038">
        <w:rPr>
          <w:lang w:val="en-US"/>
        </w:rPr>
        <w:t>(</w:t>
      </w:r>
      <w:proofErr w:type="spellStart"/>
      <w:r w:rsidR="001A3773" w:rsidRPr="00220038">
        <w:rPr>
          <w:lang w:val="en-US"/>
        </w:rPr>
        <w:t>Petrocik</w:t>
      </w:r>
      <w:proofErr w:type="spellEnd"/>
      <w:r w:rsidR="001A3773" w:rsidRPr="00220038">
        <w:rPr>
          <w:lang w:val="en-US"/>
        </w:rPr>
        <w:t xml:space="preserve"> </w:t>
      </w:r>
      <w:r w:rsidR="001A3773" w:rsidRPr="00220038">
        <w:rPr>
          <w:color w:val="000000" w:themeColor="text1"/>
          <w:lang w:val="en-US"/>
        </w:rPr>
        <w:t>1996: 826).</w:t>
      </w:r>
      <w:r w:rsidR="00255F0C" w:rsidRPr="00220038">
        <w:rPr>
          <w:color w:val="000000" w:themeColor="text1"/>
          <w:lang w:val="en-US"/>
        </w:rPr>
        <w:t xml:space="preserve"> </w:t>
      </w:r>
      <w:r w:rsidR="005A7739" w:rsidRPr="00220038">
        <w:rPr>
          <w:rFonts w:ascii="Times" w:hAnsi="Times" w:cs="Times"/>
          <w:color w:val="000000"/>
          <w:szCs w:val="22"/>
          <w:lang w:val="en-US"/>
        </w:rPr>
        <w:t>R</w:t>
      </w:r>
      <w:r w:rsidRPr="00220038" w:rsidDel="001A3773">
        <w:rPr>
          <w:rFonts w:ascii="Times" w:hAnsi="Times" w:cs="Times"/>
          <w:color w:val="000000"/>
          <w:szCs w:val="22"/>
          <w:lang w:val="en-US"/>
        </w:rPr>
        <w:t>ecent literature emphasizes the dynamic dimension of competence issue-ownership</w:t>
      </w:r>
      <w:r w:rsidR="00F02B06" w:rsidRPr="00220038">
        <w:rPr>
          <w:rFonts w:ascii="Times" w:hAnsi="Times" w:cs="Times"/>
          <w:color w:val="000000"/>
          <w:szCs w:val="22"/>
          <w:lang w:val="en-US"/>
        </w:rPr>
        <w:t xml:space="preserve">. It </w:t>
      </w:r>
      <w:r w:rsidR="008F2F8A" w:rsidRPr="00220038">
        <w:rPr>
          <w:rFonts w:ascii="Times" w:hAnsi="Times" w:cs="Times"/>
          <w:color w:val="000000"/>
          <w:szCs w:val="22"/>
          <w:lang w:val="en-US"/>
        </w:rPr>
        <w:t>assum</w:t>
      </w:r>
      <w:r w:rsidR="00F02B06" w:rsidRPr="00220038">
        <w:rPr>
          <w:rFonts w:ascii="Times" w:hAnsi="Times" w:cs="Times"/>
          <w:color w:val="000000"/>
          <w:szCs w:val="22"/>
          <w:lang w:val="en-US"/>
        </w:rPr>
        <w:t>es</w:t>
      </w:r>
      <w:r w:rsidR="008F2F8A" w:rsidRPr="00220038">
        <w:rPr>
          <w:rFonts w:ascii="Times" w:hAnsi="Times" w:cs="Times"/>
          <w:color w:val="000000"/>
          <w:szCs w:val="22"/>
          <w:lang w:val="en-US"/>
        </w:rPr>
        <w:t xml:space="preserve"> that, </w:t>
      </w:r>
      <w:r w:rsidR="008E48A7" w:rsidRPr="00220038">
        <w:rPr>
          <w:rFonts w:ascii="Times" w:hAnsi="Times" w:cs="Times"/>
          <w:color w:val="000000"/>
          <w:szCs w:val="22"/>
          <w:lang w:val="en-US"/>
        </w:rPr>
        <w:t>in addition</w:t>
      </w:r>
      <w:r w:rsidR="008F2F8A" w:rsidRPr="00220038">
        <w:rPr>
          <w:rFonts w:ascii="Times" w:hAnsi="Times" w:cs="Times"/>
          <w:color w:val="000000"/>
          <w:szCs w:val="22"/>
          <w:lang w:val="en-US"/>
        </w:rPr>
        <w:t xml:space="preserve"> to a party’s political performance, party communications contribute to the recorded fluctuations</w:t>
      </w:r>
      <w:r w:rsidR="008F2F8A" w:rsidRPr="00220038" w:rsidDel="001A3773">
        <w:rPr>
          <w:rFonts w:ascii="Times" w:hAnsi="Times" w:cs="Times"/>
          <w:color w:val="000000"/>
          <w:szCs w:val="22"/>
          <w:lang w:val="en-US"/>
        </w:rPr>
        <w:t xml:space="preserve"> </w:t>
      </w:r>
      <w:r w:rsidR="008F2F8A" w:rsidRPr="00220038">
        <w:rPr>
          <w:rFonts w:ascii="Times" w:hAnsi="Times" w:cs="Times"/>
          <w:color w:val="000000"/>
          <w:szCs w:val="22"/>
          <w:lang w:val="en-US"/>
        </w:rPr>
        <w:t xml:space="preserve">in the </w:t>
      </w:r>
      <w:r w:rsidR="008F2F8A" w:rsidRPr="00220038" w:rsidDel="001A3773">
        <w:rPr>
          <w:rFonts w:ascii="Times" w:hAnsi="Times" w:cs="Times"/>
          <w:color w:val="000000"/>
          <w:szCs w:val="22"/>
          <w:lang w:val="en-US"/>
        </w:rPr>
        <w:t>public’s perception of issue</w:t>
      </w:r>
      <w:r w:rsidR="00F64C38" w:rsidRPr="00220038">
        <w:rPr>
          <w:rFonts w:ascii="Times" w:hAnsi="Times" w:cs="Times"/>
          <w:color w:val="000000"/>
          <w:szCs w:val="22"/>
          <w:lang w:val="en-US"/>
        </w:rPr>
        <w:t xml:space="preserve"> </w:t>
      </w:r>
      <w:r w:rsidR="008F2F8A" w:rsidRPr="00220038" w:rsidDel="001A3773">
        <w:rPr>
          <w:rFonts w:ascii="Times" w:hAnsi="Times" w:cs="Times"/>
          <w:color w:val="000000"/>
          <w:szCs w:val="22"/>
          <w:lang w:val="en-US"/>
        </w:rPr>
        <w:t>ownership</w:t>
      </w:r>
      <w:r w:rsidR="009436C4" w:rsidRPr="00220038">
        <w:rPr>
          <w:rFonts w:ascii="Times" w:hAnsi="Times" w:cs="Times"/>
          <w:color w:val="000000"/>
          <w:szCs w:val="22"/>
          <w:lang w:val="en-US"/>
        </w:rPr>
        <w:t xml:space="preserve"> </w:t>
      </w:r>
      <w:r w:rsidRPr="00220038" w:rsidDel="001A3773">
        <w:rPr>
          <w:rFonts w:ascii="Times" w:hAnsi="Times" w:cs="Times"/>
          <w:color w:val="000000"/>
          <w:szCs w:val="22"/>
          <w:lang w:val="en-US"/>
        </w:rPr>
        <w:t>(</w:t>
      </w:r>
      <w:proofErr w:type="spellStart"/>
      <w:r w:rsidRPr="00220038" w:rsidDel="001A3773">
        <w:rPr>
          <w:rFonts w:ascii="Times" w:hAnsi="Times" w:cs="Times"/>
          <w:color w:val="000000"/>
          <w:szCs w:val="22"/>
          <w:lang w:val="en-US"/>
        </w:rPr>
        <w:t>Bélanger</w:t>
      </w:r>
      <w:proofErr w:type="spellEnd"/>
      <w:r w:rsidRPr="00220038" w:rsidDel="001A3773">
        <w:rPr>
          <w:rFonts w:ascii="Times" w:hAnsi="Times" w:cs="Times"/>
          <w:color w:val="000000"/>
          <w:szCs w:val="22"/>
          <w:lang w:val="en-US"/>
        </w:rPr>
        <w:t xml:space="preserve">, 2003; </w:t>
      </w:r>
      <w:proofErr w:type="spellStart"/>
      <w:r w:rsidRPr="00220038" w:rsidDel="001A3773">
        <w:rPr>
          <w:rFonts w:ascii="Times" w:hAnsi="Times" w:cs="Times"/>
          <w:color w:val="000000"/>
          <w:szCs w:val="22"/>
          <w:lang w:val="en-US"/>
        </w:rPr>
        <w:t>Stubager</w:t>
      </w:r>
      <w:proofErr w:type="spellEnd"/>
      <w:r w:rsidRPr="00220038" w:rsidDel="001A3773">
        <w:rPr>
          <w:rFonts w:ascii="Times" w:hAnsi="Times" w:cs="Times"/>
          <w:color w:val="000000"/>
          <w:szCs w:val="22"/>
          <w:lang w:val="en-US"/>
        </w:rPr>
        <w:t xml:space="preserve"> and </w:t>
      </w:r>
      <w:proofErr w:type="spellStart"/>
      <w:r w:rsidRPr="00220038" w:rsidDel="001A3773">
        <w:rPr>
          <w:rFonts w:ascii="Times" w:hAnsi="Times" w:cs="Times"/>
          <w:color w:val="000000"/>
          <w:szCs w:val="22"/>
          <w:lang w:val="en-US"/>
        </w:rPr>
        <w:t>Sloothus</w:t>
      </w:r>
      <w:proofErr w:type="spellEnd"/>
      <w:r w:rsidRPr="00220038" w:rsidDel="001A3773">
        <w:rPr>
          <w:rFonts w:ascii="Times" w:hAnsi="Times" w:cs="Times"/>
          <w:color w:val="000000"/>
          <w:szCs w:val="22"/>
          <w:lang w:val="en-US"/>
        </w:rPr>
        <w:t xml:space="preserve">, 2012; </w:t>
      </w:r>
      <w:proofErr w:type="spellStart"/>
      <w:r w:rsidRPr="00220038" w:rsidDel="001A3773">
        <w:rPr>
          <w:rFonts w:ascii="Times" w:hAnsi="Times" w:cs="Times"/>
          <w:color w:val="000000"/>
          <w:szCs w:val="22"/>
          <w:lang w:val="en-US"/>
        </w:rPr>
        <w:t>Walgrave</w:t>
      </w:r>
      <w:proofErr w:type="spellEnd"/>
      <w:r w:rsidRPr="00220038" w:rsidDel="001A3773">
        <w:rPr>
          <w:rFonts w:ascii="Times" w:hAnsi="Times" w:cs="Times"/>
          <w:color w:val="000000"/>
          <w:szCs w:val="22"/>
          <w:lang w:val="en-US"/>
        </w:rPr>
        <w:t xml:space="preserve"> et al., 2009, 2014). </w:t>
      </w:r>
      <w:r w:rsidR="009E7720" w:rsidRPr="00220038">
        <w:rPr>
          <w:rFonts w:ascii="Times" w:hAnsi="Times" w:cs="Times"/>
          <w:color w:val="000000"/>
          <w:szCs w:val="22"/>
          <w:lang w:val="en-US"/>
        </w:rPr>
        <w:t>M</w:t>
      </w:r>
      <w:r w:rsidR="00255F0C" w:rsidRPr="00220038">
        <w:rPr>
          <w:rFonts w:ascii="Times" w:hAnsi="Times" w:cs="Times"/>
          <w:color w:val="000000"/>
          <w:szCs w:val="22"/>
          <w:lang w:val="en-US"/>
        </w:rPr>
        <w:t xml:space="preserve">otivated reasoning </w:t>
      </w:r>
      <w:r w:rsidR="00F64C38" w:rsidRPr="00220038">
        <w:rPr>
          <w:rFonts w:ascii="Times" w:hAnsi="Times" w:cs="Times"/>
          <w:color w:val="000000"/>
          <w:szCs w:val="22"/>
          <w:lang w:val="en-US"/>
        </w:rPr>
        <w:t>is relevant</w:t>
      </w:r>
      <w:r w:rsidR="009E7720" w:rsidRPr="00220038">
        <w:rPr>
          <w:rFonts w:ascii="Times" w:hAnsi="Times" w:cs="Times"/>
          <w:color w:val="000000"/>
          <w:szCs w:val="22"/>
          <w:lang w:val="en-US"/>
        </w:rPr>
        <w:t xml:space="preserve"> here too</w:t>
      </w:r>
      <w:r w:rsidR="00255F0C" w:rsidRPr="00220038">
        <w:rPr>
          <w:rFonts w:ascii="Times" w:hAnsi="Times" w:cs="Times"/>
          <w:color w:val="000000"/>
          <w:szCs w:val="22"/>
          <w:lang w:val="en-US"/>
        </w:rPr>
        <w:t xml:space="preserve">. </w:t>
      </w:r>
      <w:r w:rsidR="00CD0BC3" w:rsidRPr="00220038">
        <w:rPr>
          <w:rFonts w:ascii="Times" w:hAnsi="Times" w:cs="Times"/>
          <w:color w:val="000000"/>
          <w:szCs w:val="22"/>
          <w:lang w:val="en-US"/>
        </w:rPr>
        <w:t>Therefore</w:t>
      </w:r>
      <w:r w:rsidR="00255F0C" w:rsidRPr="00220038">
        <w:rPr>
          <w:rFonts w:ascii="Times" w:hAnsi="Times" w:cs="Times"/>
          <w:color w:val="000000"/>
          <w:szCs w:val="22"/>
          <w:lang w:val="en-US"/>
        </w:rPr>
        <w:t xml:space="preserve">, parties are supposed to increase issue ownership perceptions only among individuals that are favorably inclined towards that party (see also </w:t>
      </w:r>
      <w:proofErr w:type="spellStart"/>
      <w:r w:rsidR="00255F0C" w:rsidRPr="00220038">
        <w:rPr>
          <w:rFonts w:ascii="Times" w:hAnsi="Times" w:cs="Times"/>
          <w:color w:val="000000"/>
          <w:szCs w:val="22"/>
          <w:lang w:val="en-US"/>
        </w:rPr>
        <w:t>Walgrave</w:t>
      </w:r>
      <w:proofErr w:type="spellEnd"/>
      <w:r w:rsidR="00255F0C" w:rsidRPr="00220038">
        <w:rPr>
          <w:rFonts w:ascii="Times" w:hAnsi="Times" w:cs="Times"/>
          <w:color w:val="000000"/>
          <w:szCs w:val="22"/>
          <w:lang w:val="en-US"/>
        </w:rPr>
        <w:t xml:space="preserve"> et al. 2014).</w:t>
      </w:r>
    </w:p>
    <w:p w14:paraId="783A6A40" w14:textId="44323F14" w:rsidR="00E96F8C" w:rsidRPr="00220038" w:rsidRDefault="00255F0C" w:rsidP="009F74E5">
      <w:pPr>
        <w:rPr>
          <w:rFonts w:ascii="Times" w:hAnsi="Times" w:cs="Times"/>
          <w:color w:val="000000"/>
          <w:szCs w:val="22"/>
          <w:lang w:val="en-US"/>
        </w:rPr>
      </w:pPr>
      <w:r w:rsidRPr="00220038">
        <w:rPr>
          <w:rFonts w:ascii="Times" w:hAnsi="Times" w:cs="Times"/>
          <w:color w:val="000000"/>
          <w:szCs w:val="22"/>
          <w:lang w:val="en-US"/>
        </w:rPr>
        <w:t xml:space="preserve"> </w:t>
      </w:r>
      <w:r w:rsidR="00E96F8C" w:rsidRPr="00220038">
        <w:rPr>
          <w:rFonts w:ascii="Times" w:hAnsi="Times" w:cs="Times"/>
          <w:b/>
          <w:color w:val="000000"/>
          <w:szCs w:val="22"/>
          <w:lang w:val="en-US"/>
        </w:rPr>
        <w:t>H3</w:t>
      </w:r>
      <w:r w:rsidR="009436C4" w:rsidRPr="00220038">
        <w:rPr>
          <w:rFonts w:ascii="Times" w:hAnsi="Times" w:cs="Times"/>
          <w:b/>
          <w:color w:val="000000"/>
          <w:szCs w:val="22"/>
          <w:lang w:val="en-US"/>
        </w:rPr>
        <w:t>a</w:t>
      </w:r>
      <w:r w:rsidR="00E96F8C" w:rsidRPr="00220038">
        <w:rPr>
          <w:rFonts w:ascii="Times" w:hAnsi="Times" w:cs="Times"/>
          <w:b/>
          <w:color w:val="000000"/>
          <w:szCs w:val="22"/>
          <w:lang w:val="en-US"/>
        </w:rPr>
        <w:t xml:space="preserve">: </w:t>
      </w:r>
      <w:r w:rsidR="00E96F8C" w:rsidRPr="00220038">
        <w:rPr>
          <w:rFonts w:ascii="Times" w:hAnsi="Times" w:cs="Times"/>
          <w:color w:val="000000"/>
          <w:szCs w:val="22"/>
          <w:lang w:val="en-US"/>
        </w:rPr>
        <w:t xml:space="preserve"> The higher the exposure to the issue-specific campaign of an </w:t>
      </w:r>
      <w:r w:rsidR="004F4691" w:rsidRPr="00220038">
        <w:rPr>
          <w:rFonts w:ascii="Times" w:hAnsi="Times" w:cs="Times"/>
          <w:color w:val="000000"/>
          <w:szCs w:val="22"/>
          <w:lang w:val="en-US"/>
        </w:rPr>
        <w:t>advertising party, the higher th</w:t>
      </w:r>
      <w:r w:rsidR="00E96F8C" w:rsidRPr="00220038">
        <w:rPr>
          <w:rFonts w:ascii="Times" w:hAnsi="Times" w:cs="Times"/>
          <w:color w:val="000000"/>
          <w:szCs w:val="22"/>
          <w:lang w:val="en-US"/>
        </w:rPr>
        <w:t xml:space="preserve">e chances that a citizen </w:t>
      </w:r>
      <w:r w:rsidR="009436C4" w:rsidRPr="00220038">
        <w:rPr>
          <w:rFonts w:ascii="Times" w:hAnsi="Times" w:cs="Times"/>
          <w:color w:val="000000"/>
          <w:szCs w:val="22"/>
          <w:lang w:val="en-US"/>
        </w:rPr>
        <w:t xml:space="preserve">favoring that party </w:t>
      </w:r>
      <w:r w:rsidR="00F407D6" w:rsidRPr="00220038">
        <w:rPr>
          <w:rFonts w:ascii="Times" w:hAnsi="Times" w:cs="Times"/>
          <w:color w:val="000000"/>
          <w:szCs w:val="22"/>
          <w:lang w:val="en-US"/>
        </w:rPr>
        <w:t xml:space="preserve">perceives </w:t>
      </w:r>
      <w:r w:rsidR="000B47C0" w:rsidRPr="00220038">
        <w:rPr>
          <w:rFonts w:ascii="Times" w:hAnsi="Times" w:cs="Times"/>
          <w:color w:val="000000"/>
          <w:szCs w:val="22"/>
          <w:lang w:val="en-US"/>
        </w:rPr>
        <w:t>it</w:t>
      </w:r>
      <w:r w:rsidR="00F407D6" w:rsidRPr="00220038">
        <w:rPr>
          <w:rFonts w:ascii="Times" w:hAnsi="Times" w:cs="Times"/>
          <w:color w:val="000000"/>
          <w:szCs w:val="22"/>
          <w:lang w:val="en-US"/>
        </w:rPr>
        <w:t xml:space="preserve"> to be most competent to solve this issue</w:t>
      </w:r>
      <w:r w:rsidR="00E96F8C" w:rsidRPr="00220038">
        <w:rPr>
          <w:rFonts w:ascii="Times" w:hAnsi="Times" w:cs="Times"/>
          <w:color w:val="000000"/>
          <w:szCs w:val="22"/>
          <w:lang w:val="en-US"/>
        </w:rPr>
        <w:t xml:space="preserve">. </w:t>
      </w:r>
    </w:p>
    <w:p w14:paraId="740B1A46" w14:textId="52F5B2E0" w:rsidR="00183032" w:rsidRPr="00220038" w:rsidRDefault="005B4667" w:rsidP="009F74E5">
      <w:pPr>
        <w:rPr>
          <w:rFonts w:ascii="Times" w:hAnsi="Times" w:cs="Times"/>
          <w:color w:val="000000"/>
          <w:szCs w:val="22"/>
          <w:lang w:val="en-US"/>
        </w:rPr>
      </w:pPr>
      <w:r w:rsidRPr="00220038">
        <w:rPr>
          <w:rFonts w:ascii="Times" w:hAnsi="Times" w:cs="Times"/>
          <w:color w:val="000000"/>
          <w:szCs w:val="22"/>
          <w:lang w:val="en-US"/>
        </w:rPr>
        <w:t>Assuming that</w:t>
      </w:r>
      <w:r w:rsidR="00B501AB" w:rsidRPr="00220038">
        <w:rPr>
          <w:rFonts w:ascii="Times" w:hAnsi="Times" w:cs="Times"/>
          <w:color w:val="000000"/>
          <w:szCs w:val="22"/>
          <w:lang w:val="en-US"/>
        </w:rPr>
        <w:t xml:space="preserve"> i</w:t>
      </w:r>
      <w:r w:rsidR="009436C4" w:rsidRPr="00220038">
        <w:rPr>
          <w:rFonts w:ascii="Times" w:hAnsi="Times" w:cs="Times"/>
          <w:color w:val="000000"/>
          <w:szCs w:val="22"/>
          <w:lang w:val="en-US"/>
        </w:rPr>
        <w:t>ndividuals who initially do not plan to vote</w:t>
      </w:r>
      <w:r w:rsidR="009342C9" w:rsidRPr="00220038">
        <w:rPr>
          <w:rFonts w:ascii="Times" w:hAnsi="Times" w:cs="Times"/>
          <w:color w:val="000000"/>
          <w:szCs w:val="22"/>
          <w:lang w:val="en-US"/>
        </w:rPr>
        <w:t xml:space="preserve"> possess weaker party preferences</w:t>
      </w:r>
      <w:r w:rsidR="008448A4" w:rsidRPr="00220038">
        <w:rPr>
          <w:rFonts w:ascii="Times" w:hAnsi="Times" w:cs="Times"/>
          <w:color w:val="000000"/>
          <w:szCs w:val="22"/>
          <w:lang w:val="en-US"/>
        </w:rPr>
        <w:t xml:space="preserve"> </w:t>
      </w:r>
      <w:r w:rsidR="009342C9" w:rsidRPr="00220038">
        <w:rPr>
          <w:rFonts w:ascii="Times" w:hAnsi="Times" w:cs="Times"/>
          <w:color w:val="000000"/>
          <w:szCs w:val="22"/>
          <w:lang w:val="en-US"/>
        </w:rPr>
        <w:t xml:space="preserve">compared to their peers </w:t>
      </w:r>
      <w:r w:rsidR="00B501AB" w:rsidRPr="00220038">
        <w:rPr>
          <w:rFonts w:ascii="Times" w:hAnsi="Times" w:cs="Times"/>
          <w:color w:val="000000"/>
          <w:szCs w:val="22"/>
          <w:lang w:val="en-US"/>
        </w:rPr>
        <w:t xml:space="preserve">who </w:t>
      </w:r>
      <w:r w:rsidR="009342C9" w:rsidRPr="00220038">
        <w:rPr>
          <w:rFonts w:ascii="Times" w:hAnsi="Times" w:cs="Times"/>
          <w:color w:val="000000"/>
          <w:szCs w:val="22"/>
          <w:lang w:val="en-US"/>
        </w:rPr>
        <w:t xml:space="preserve">already held vote intentions at the beginning of the campaign, we hypothesize similar effects for people </w:t>
      </w:r>
      <w:r w:rsidR="000C53C4" w:rsidRPr="00220038">
        <w:rPr>
          <w:rFonts w:ascii="Times" w:hAnsi="Times" w:cs="Times"/>
          <w:color w:val="000000"/>
          <w:szCs w:val="22"/>
          <w:lang w:val="en-US"/>
        </w:rPr>
        <w:t>who do not intend to vote</w:t>
      </w:r>
      <w:r w:rsidR="009342C9" w:rsidRPr="00220038">
        <w:rPr>
          <w:rFonts w:ascii="Times" w:hAnsi="Times" w:cs="Times"/>
          <w:color w:val="000000"/>
          <w:szCs w:val="22"/>
          <w:lang w:val="en-US"/>
        </w:rPr>
        <w:t xml:space="preserve">. Again, </w:t>
      </w:r>
      <w:r w:rsidR="00A95B4E" w:rsidRPr="00220038">
        <w:rPr>
          <w:rFonts w:ascii="Times" w:hAnsi="Times" w:cs="Times"/>
          <w:color w:val="000000"/>
          <w:szCs w:val="22"/>
          <w:lang w:val="en-US"/>
        </w:rPr>
        <w:t xml:space="preserve">we argue that people </w:t>
      </w:r>
      <w:r w:rsidR="000C53C4" w:rsidRPr="00220038">
        <w:rPr>
          <w:rFonts w:ascii="Times" w:hAnsi="Times" w:cs="Times"/>
          <w:color w:val="000000"/>
          <w:szCs w:val="22"/>
          <w:lang w:val="en-US"/>
        </w:rPr>
        <w:t xml:space="preserve">who </w:t>
      </w:r>
      <w:r w:rsidR="00A95B4E" w:rsidRPr="00220038">
        <w:rPr>
          <w:rFonts w:ascii="Times" w:hAnsi="Times" w:cs="Times"/>
          <w:color w:val="000000"/>
          <w:szCs w:val="22"/>
          <w:lang w:val="en-US"/>
        </w:rPr>
        <w:t xml:space="preserve">hold firm vote intentions </w:t>
      </w:r>
      <w:r w:rsidR="00524790" w:rsidRPr="00220038">
        <w:rPr>
          <w:rFonts w:ascii="Times" w:hAnsi="Times" w:cs="Times"/>
          <w:color w:val="000000"/>
          <w:szCs w:val="22"/>
          <w:lang w:val="en-US"/>
        </w:rPr>
        <w:t xml:space="preserve">are more selective in how they process incoming information, giving </w:t>
      </w:r>
      <w:r w:rsidR="002577E3" w:rsidRPr="00220038">
        <w:rPr>
          <w:rFonts w:ascii="Times" w:hAnsi="Times" w:cs="Times"/>
          <w:color w:val="000000"/>
          <w:szCs w:val="22"/>
          <w:lang w:val="en-US"/>
        </w:rPr>
        <w:t xml:space="preserve">greater </w:t>
      </w:r>
      <w:r w:rsidR="00524790" w:rsidRPr="00220038">
        <w:rPr>
          <w:rFonts w:ascii="Times" w:hAnsi="Times" w:cs="Times"/>
          <w:color w:val="000000"/>
          <w:szCs w:val="22"/>
          <w:lang w:val="en-US"/>
        </w:rPr>
        <w:t>weight to information that is in line with their predispositions (</w:t>
      </w:r>
      <w:proofErr w:type="spellStart"/>
      <w:r w:rsidR="00524790" w:rsidRPr="00220038">
        <w:rPr>
          <w:rFonts w:ascii="Times" w:hAnsi="Times" w:cs="Times"/>
          <w:color w:val="000000"/>
          <w:szCs w:val="22"/>
          <w:lang w:val="en-US"/>
        </w:rPr>
        <w:t>Zaller</w:t>
      </w:r>
      <w:proofErr w:type="spellEnd"/>
      <w:r w:rsidR="00524790" w:rsidRPr="00220038">
        <w:rPr>
          <w:rFonts w:ascii="Times" w:hAnsi="Times" w:cs="Times"/>
          <w:color w:val="000000"/>
          <w:szCs w:val="22"/>
          <w:lang w:val="en-US"/>
        </w:rPr>
        <w:t xml:space="preserve"> 1992).</w:t>
      </w:r>
      <w:r w:rsidR="00183032" w:rsidRPr="00220038">
        <w:rPr>
          <w:rFonts w:ascii="Times" w:hAnsi="Times" w:cs="Times"/>
          <w:color w:val="000000"/>
          <w:szCs w:val="22"/>
          <w:lang w:val="en-US"/>
        </w:rPr>
        <w:t xml:space="preserve"> Thus, people without firm vote intention may be less biased when it comes to the selection and processing of </w:t>
      </w:r>
      <w:r w:rsidR="008448A4" w:rsidRPr="00220038">
        <w:rPr>
          <w:rFonts w:ascii="Times" w:hAnsi="Times" w:cs="Times"/>
          <w:color w:val="000000"/>
          <w:szCs w:val="22"/>
          <w:lang w:val="en-US"/>
        </w:rPr>
        <w:t xml:space="preserve">new </w:t>
      </w:r>
      <w:r w:rsidR="00183032" w:rsidRPr="00220038">
        <w:rPr>
          <w:rFonts w:ascii="Times" w:hAnsi="Times" w:cs="Times"/>
          <w:color w:val="000000"/>
          <w:szCs w:val="22"/>
          <w:lang w:val="en-US"/>
        </w:rPr>
        <w:t>information. Therefore, we hypothesize that</w:t>
      </w:r>
      <w:r w:rsidR="008448A4" w:rsidRPr="00220038">
        <w:rPr>
          <w:rFonts w:ascii="Times" w:hAnsi="Times" w:cs="Times"/>
          <w:color w:val="000000"/>
          <w:szCs w:val="22"/>
          <w:lang w:val="en-US"/>
        </w:rPr>
        <w:t>:</w:t>
      </w:r>
    </w:p>
    <w:p w14:paraId="68FBE78A" w14:textId="2A8BF52E" w:rsidR="009436C4" w:rsidRPr="00220038" w:rsidRDefault="00183032" w:rsidP="009F74E5">
      <w:pPr>
        <w:rPr>
          <w:rFonts w:ascii="Times" w:hAnsi="Times" w:cs="Times"/>
          <w:color w:val="000000"/>
          <w:szCs w:val="22"/>
          <w:lang w:val="en-US"/>
        </w:rPr>
      </w:pPr>
      <w:r w:rsidRPr="00220038">
        <w:rPr>
          <w:rFonts w:ascii="Times" w:hAnsi="Times" w:cs="Times"/>
          <w:b/>
          <w:color w:val="000000"/>
          <w:szCs w:val="22"/>
          <w:lang w:val="en-US"/>
        </w:rPr>
        <w:t xml:space="preserve">H3b: </w:t>
      </w:r>
      <w:r w:rsidRPr="00220038">
        <w:rPr>
          <w:rFonts w:ascii="Times" w:hAnsi="Times" w:cs="Times"/>
          <w:color w:val="000000"/>
          <w:szCs w:val="22"/>
          <w:lang w:val="en-US"/>
        </w:rPr>
        <w:t xml:space="preserve"> The higher the exposure to the issue-specific campaign of an advertising party, the higher the chances that a citizen </w:t>
      </w:r>
      <w:r w:rsidR="00DA00AC" w:rsidRPr="00220038">
        <w:rPr>
          <w:rFonts w:ascii="Times" w:hAnsi="Times" w:cs="Times"/>
          <w:color w:val="000000"/>
          <w:szCs w:val="22"/>
          <w:lang w:val="en-US"/>
        </w:rPr>
        <w:t>without vote intentions</w:t>
      </w:r>
      <w:r w:rsidRPr="00220038">
        <w:rPr>
          <w:rFonts w:ascii="Times" w:hAnsi="Times" w:cs="Times"/>
          <w:color w:val="000000"/>
          <w:szCs w:val="22"/>
          <w:lang w:val="en-US"/>
        </w:rPr>
        <w:t xml:space="preserve"> </w:t>
      </w:r>
      <w:r w:rsidR="00F407D6" w:rsidRPr="00220038">
        <w:rPr>
          <w:rFonts w:ascii="Times" w:hAnsi="Times" w:cs="Times"/>
          <w:color w:val="000000"/>
          <w:szCs w:val="22"/>
          <w:lang w:val="en-US"/>
        </w:rPr>
        <w:t xml:space="preserve">perceives that party to be </w:t>
      </w:r>
      <w:r w:rsidR="00DD0F8D" w:rsidRPr="00220038">
        <w:rPr>
          <w:rFonts w:ascii="Times" w:hAnsi="Times" w:cs="Times"/>
          <w:color w:val="000000"/>
          <w:szCs w:val="22"/>
          <w:lang w:val="en-US"/>
        </w:rPr>
        <w:t xml:space="preserve">the </w:t>
      </w:r>
      <w:r w:rsidR="00F407D6" w:rsidRPr="00220038">
        <w:rPr>
          <w:rFonts w:ascii="Times" w:hAnsi="Times" w:cs="Times"/>
          <w:color w:val="000000"/>
          <w:szCs w:val="22"/>
          <w:lang w:val="en-US"/>
        </w:rPr>
        <w:t>most competent to solve th</w:t>
      </w:r>
      <w:r w:rsidR="00D4213D" w:rsidRPr="00220038">
        <w:rPr>
          <w:rFonts w:ascii="Times" w:hAnsi="Times" w:cs="Times"/>
          <w:color w:val="000000"/>
          <w:szCs w:val="22"/>
          <w:lang w:val="en-US"/>
        </w:rPr>
        <w:t>e</w:t>
      </w:r>
      <w:r w:rsidR="00F407D6" w:rsidRPr="00220038">
        <w:rPr>
          <w:rFonts w:ascii="Times" w:hAnsi="Times" w:cs="Times"/>
          <w:color w:val="000000"/>
          <w:szCs w:val="22"/>
          <w:lang w:val="en-US"/>
        </w:rPr>
        <w:t xml:space="preserve"> issue.</w:t>
      </w:r>
    </w:p>
    <w:p w14:paraId="22EE7991" w14:textId="77777777" w:rsidR="009F74E5" w:rsidRPr="00220038" w:rsidRDefault="009F74E5" w:rsidP="009F74E5">
      <w:pPr>
        <w:pStyle w:val="Titre1"/>
        <w:rPr>
          <w:lang w:val="en-US"/>
        </w:rPr>
      </w:pPr>
      <w:r w:rsidRPr="00220038">
        <w:rPr>
          <w:lang w:val="en-US"/>
        </w:rPr>
        <w:t>Methods</w:t>
      </w:r>
    </w:p>
    <w:p w14:paraId="31BA80C0" w14:textId="77777777" w:rsidR="009F74E5" w:rsidRPr="00220038" w:rsidRDefault="009F74E5" w:rsidP="009F74E5">
      <w:pPr>
        <w:pStyle w:val="Titre2"/>
        <w:rPr>
          <w:lang w:val="en-US"/>
        </w:rPr>
      </w:pPr>
      <w:r w:rsidRPr="00220038">
        <w:rPr>
          <w:lang w:val="en-US"/>
        </w:rPr>
        <w:t xml:space="preserve">Data </w:t>
      </w:r>
    </w:p>
    <w:p w14:paraId="5AEA0DC1" w14:textId="05584C19" w:rsidR="009F74E5" w:rsidRPr="00220038" w:rsidRDefault="009F74E5" w:rsidP="009F74E5">
      <w:pPr>
        <w:rPr>
          <w:lang w:val="en-US"/>
        </w:rPr>
      </w:pPr>
      <w:r w:rsidRPr="00220038">
        <w:rPr>
          <w:color w:val="000000" w:themeColor="text1"/>
          <w:lang w:val="en-US"/>
        </w:rPr>
        <w:t xml:space="preserve">Our empirical approach takes advantage of two datasets. </w:t>
      </w:r>
      <w:r w:rsidR="00CB33D4" w:rsidRPr="00220038">
        <w:rPr>
          <w:color w:val="000000" w:themeColor="text1"/>
          <w:lang w:val="en-US"/>
        </w:rPr>
        <w:t>Our first dataset is</w:t>
      </w:r>
      <w:r w:rsidRPr="00220038">
        <w:rPr>
          <w:color w:val="000000" w:themeColor="text1"/>
          <w:lang w:val="en-US"/>
        </w:rPr>
        <w:t xml:space="preserve"> a Selects panel/rolling cross-section (RCS) survey conducted </w:t>
      </w:r>
      <w:r w:rsidR="00EC3144" w:rsidRPr="00220038">
        <w:rPr>
          <w:color w:val="000000" w:themeColor="text1"/>
          <w:lang w:val="en-US"/>
        </w:rPr>
        <w:t>with</w:t>
      </w:r>
      <w:r w:rsidRPr="00220038">
        <w:rPr>
          <w:color w:val="000000" w:themeColor="text1"/>
          <w:lang w:val="en-US"/>
        </w:rPr>
        <w:t xml:space="preserve">in the </w:t>
      </w:r>
      <w:r w:rsidR="00EC3144" w:rsidRPr="00220038">
        <w:rPr>
          <w:color w:val="000000" w:themeColor="text1"/>
          <w:lang w:val="en-US"/>
        </w:rPr>
        <w:t xml:space="preserve">context </w:t>
      </w:r>
      <w:r w:rsidRPr="00220038">
        <w:rPr>
          <w:color w:val="000000" w:themeColor="text1"/>
          <w:lang w:val="en-US"/>
        </w:rPr>
        <w:t xml:space="preserve">of </w:t>
      </w:r>
      <w:r w:rsidR="00EC3144" w:rsidRPr="00220038">
        <w:rPr>
          <w:color w:val="000000" w:themeColor="text1"/>
          <w:lang w:val="en-US"/>
        </w:rPr>
        <w:t>Switzerland’s</w:t>
      </w:r>
      <w:r w:rsidRPr="00220038">
        <w:rPr>
          <w:color w:val="000000" w:themeColor="text1"/>
          <w:lang w:val="en-US"/>
        </w:rPr>
        <w:t xml:space="preserve"> 2015 parliamentary elections. </w:t>
      </w:r>
      <w:r w:rsidR="00EC3144" w:rsidRPr="00220038">
        <w:rPr>
          <w:color w:val="000000" w:themeColor="text1"/>
          <w:lang w:val="en-US"/>
        </w:rPr>
        <w:t>In the Selects survey</w:t>
      </w:r>
      <w:r w:rsidRPr="00220038">
        <w:rPr>
          <w:color w:val="000000" w:themeColor="text1"/>
          <w:lang w:val="en-US"/>
        </w:rPr>
        <w:t>, 11</w:t>
      </w:r>
      <w:r w:rsidR="00887044">
        <w:rPr>
          <w:color w:val="000000" w:themeColor="text1"/>
          <w:lang w:val="en-US"/>
        </w:rPr>
        <w:t>'</w:t>
      </w:r>
      <w:r w:rsidRPr="00220038">
        <w:rPr>
          <w:color w:val="000000" w:themeColor="text1"/>
          <w:lang w:val="en-US"/>
        </w:rPr>
        <w:t xml:space="preserve">073 respondents took part in the first </w:t>
      </w:r>
      <w:r w:rsidR="0084006C" w:rsidRPr="00220038">
        <w:rPr>
          <w:color w:val="000000" w:themeColor="text1"/>
          <w:lang w:val="en-US"/>
        </w:rPr>
        <w:t xml:space="preserve">wave </w:t>
      </w:r>
      <w:r w:rsidR="00EC3144" w:rsidRPr="00220038">
        <w:rPr>
          <w:color w:val="000000" w:themeColor="text1"/>
          <w:lang w:val="en-US"/>
        </w:rPr>
        <w:t>of the survey</w:t>
      </w:r>
      <w:r w:rsidRPr="00220038">
        <w:rPr>
          <w:color w:val="000000" w:themeColor="text1"/>
          <w:lang w:val="en-US"/>
        </w:rPr>
        <w:t>. 7</w:t>
      </w:r>
      <w:r w:rsidR="00887044">
        <w:rPr>
          <w:color w:val="000000" w:themeColor="text1"/>
          <w:lang w:val="en-US"/>
        </w:rPr>
        <w:t>'</w:t>
      </w:r>
      <w:r w:rsidRPr="00220038">
        <w:rPr>
          <w:color w:val="000000" w:themeColor="text1"/>
          <w:lang w:val="en-US"/>
        </w:rPr>
        <w:t xml:space="preserve">399 respondents </w:t>
      </w:r>
      <w:r w:rsidR="00EC3144" w:rsidRPr="00220038">
        <w:rPr>
          <w:color w:val="000000" w:themeColor="text1"/>
          <w:lang w:val="en-US"/>
        </w:rPr>
        <w:t xml:space="preserve">also </w:t>
      </w:r>
      <w:r w:rsidRPr="00220038">
        <w:rPr>
          <w:color w:val="000000" w:themeColor="text1"/>
          <w:lang w:val="en-US"/>
        </w:rPr>
        <w:t xml:space="preserve">participated in the second </w:t>
      </w:r>
      <w:r w:rsidR="0084006C" w:rsidRPr="00220038">
        <w:rPr>
          <w:color w:val="000000" w:themeColor="text1"/>
          <w:lang w:val="en-US"/>
        </w:rPr>
        <w:t>wave</w:t>
      </w:r>
      <w:r w:rsidRPr="00220038">
        <w:rPr>
          <w:color w:val="000000" w:themeColor="text1"/>
          <w:lang w:val="en-US"/>
        </w:rPr>
        <w:t xml:space="preserve">. Since we are interested in monitoring campaign effects, we restrict our dataset to the respondents who engaged in both </w:t>
      </w:r>
      <w:r w:rsidR="0084006C" w:rsidRPr="00220038">
        <w:rPr>
          <w:color w:val="000000" w:themeColor="text1"/>
          <w:lang w:val="en-US"/>
        </w:rPr>
        <w:t xml:space="preserve">waves </w:t>
      </w:r>
      <w:r w:rsidRPr="00220038">
        <w:rPr>
          <w:color w:val="000000" w:themeColor="text1"/>
          <w:lang w:val="en-US"/>
        </w:rPr>
        <w:t>(N=7’399). We consider the first</w:t>
      </w:r>
      <w:r w:rsidR="00D86AA7" w:rsidRPr="00220038">
        <w:rPr>
          <w:color w:val="000000" w:themeColor="text1"/>
          <w:lang w:val="en-US"/>
        </w:rPr>
        <w:t xml:space="preserve"> wave </w:t>
      </w:r>
      <w:r w:rsidRPr="00220038">
        <w:rPr>
          <w:color w:val="000000" w:themeColor="text1"/>
          <w:lang w:val="en-US"/>
        </w:rPr>
        <w:t xml:space="preserve">to be </w:t>
      </w:r>
      <w:r w:rsidR="00003A4A" w:rsidRPr="00220038">
        <w:rPr>
          <w:color w:val="000000" w:themeColor="text1"/>
          <w:lang w:val="en-US"/>
        </w:rPr>
        <w:t>a survey of the</w:t>
      </w:r>
      <w:r w:rsidRPr="00220038">
        <w:rPr>
          <w:color w:val="000000" w:themeColor="text1"/>
          <w:lang w:val="en-US"/>
        </w:rPr>
        <w:t xml:space="preserve"> pre-campaign</w:t>
      </w:r>
      <w:r w:rsidR="00003A4A" w:rsidRPr="00220038">
        <w:rPr>
          <w:color w:val="000000" w:themeColor="text1"/>
          <w:lang w:val="en-US"/>
        </w:rPr>
        <w:t>,</w:t>
      </w:r>
      <w:r w:rsidRPr="00220038">
        <w:rPr>
          <w:color w:val="000000" w:themeColor="text1"/>
          <w:lang w:val="en-US"/>
        </w:rPr>
        <w:t xml:space="preserve"> as it last</w:t>
      </w:r>
      <w:r w:rsidR="00EC3144" w:rsidRPr="00220038">
        <w:rPr>
          <w:color w:val="000000" w:themeColor="text1"/>
          <w:lang w:val="en-US"/>
        </w:rPr>
        <w:t>ed</w:t>
      </w:r>
      <w:r w:rsidRPr="00220038">
        <w:rPr>
          <w:color w:val="000000" w:themeColor="text1"/>
          <w:lang w:val="en-US"/>
        </w:rPr>
        <w:t xml:space="preserve"> from mid</w:t>
      </w:r>
      <w:r w:rsidR="00EC3144" w:rsidRPr="00220038">
        <w:rPr>
          <w:color w:val="000000" w:themeColor="text1"/>
          <w:lang w:val="en-US"/>
        </w:rPr>
        <w:t>-</w:t>
      </w:r>
      <w:r w:rsidRPr="00220038">
        <w:rPr>
          <w:color w:val="000000" w:themeColor="text1"/>
          <w:lang w:val="en-US"/>
        </w:rPr>
        <w:t>June to the end of July</w:t>
      </w:r>
      <w:r w:rsidR="00003A4A" w:rsidRPr="00220038">
        <w:rPr>
          <w:color w:val="000000" w:themeColor="text1"/>
          <w:lang w:val="en-US"/>
        </w:rPr>
        <w:t>;</w:t>
      </w:r>
      <w:r w:rsidRPr="00220038">
        <w:rPr>
          <w:color w:val="000000" w:themeColor="text1"/>
          <w:lang w:val="en-US"/>
        </w:rPr>
        <w:t xml:space="preserve"> the last interview of this</w:t>
      </w:r>
      <w:r w:rsidR="00D86AA7" w:rsidRPr="00220038">
        <w:rPr>
          <w:color w:val="000000" w:themeColor="text1"/>
          <w:lang w:val="en-US"/>
        </w:rPr>
        <w:t xml:space="preserve"> wave </w:t>
      </w:r>
      <w:r w:rsidRPr="00220038">
        <w:rPr>
          <w:color w:val="000000" w:themeColor="text1"/>
          <w:lang w:val="en-US"/>
        </w:rPr>
        <w:t>was</w:t>
      </w:r>
      <w:r w:rsidR="00003A4A" w:rsidRPr="00220038">
        <w:rPr>
          <w:color w:val="000000" w:themeColor="text1"/>
          <w:lang w:val="en-US"/>
        </w:rPr>
        <w:t xml:space="preserve"> thus</w:t>
      </w:r>
      <w:r w:rsidRPr="00220038">
        <w:rPr>
          <w:color w:val="000000" w:themeColor="text1"/>
          <w:lang w:val="en-US"/>
        </w:rPr>
        <w:t xml:space="preserve"> conducted more than two and a half months before the election</w:t>
      </w:r>
      <w:r w:rsidR="00003A4A" w:rsidRPr="00220038">
        <w:rPr>
          <w:color w:val="000000" w:themeColor="text1"/>
          <w:lang w:val="en-US"/>
        </w:rPr>
        <w:t>s</w:t>
      </w:r>
      <w:r w:rsidRPr="00220038">
        <w:rPr>
          <w:color w:val="000000" w:themeColor="text1"/>
          <w:lang w:val="en-US"/>
        </w:rPr>
        <w:t>. The second</w:t>
      </w:r>
      <w:r w:rsidR="00D86AA7" w:rsidRPr="00220038">
        <w:rPr>
          <w:color w:val="000000" w:themeColor="text1"/>
          <w:lang w:val="en-US"/>
        </w:rPr>
        <w:t xml:space="preserve"> wave </w:t>
      </w:r>
      <w:r w:rsidRPr="00220038">
        <w:rPr>
          <w:color w:val="000000" w:themeColor="text1"/>
          <w:lang w:val="en-US"/>
        </w:rPr>
        <w:t xml:space="preserve">represents </w:t>
      </w:r>
      <w:r w:rsidR="000F2EE7" w:rsidRPr="00220038">
        <w:rPr>
          <w:color w:val="000000" w:themeColor="text1"/>
          <w:lang w:val="en-US"/>
        </w:rPr>
        <w:t>the</w:t>
      </w:r>
      <w:r w:rsidRPr="00220038">
        <w:rPr>
          <w:color w:val="000000" w:themeColor="text1"/>
          <w:lang w:val="en-US"/>
        </w:rPr>
        <w:t xml:space="preserve"> campaign</w:t>
      </w:r>
      <w:r w:rsidR="000F2EE7" w:rsidRPr="00220038">
        <w:rPr>
          <w:color w:val="000000" w:themeColor="text1"/>
          <w:lang w:val="en-US"/>
        </w:rPr>
        <w:t xml:space="preserve"> itself</w:t>
      </w:r>
      <w:r w:rsidRPr="00220038">
        <w:rPr>
          <w:color w:val="000000" w:themeColor="text1"/>
          <w:lang w:val="en-US"/>
        </w:rPr>
        <w:t xml:space="preserve">. </w:t>
      </w:r>
      <w:r w:rsidR="000F2EE7" w:rsidRPr="00220038">
        <w:rPr>
          <w:color w:val="000000" w:themeColor="text1"/>
          <w:lang w:val="en-US"/>
        </w:rPr>
        <w:t>This</w:t>
      </w:r>
      <w:r w:rsidR="00D86AA7" w:rsidRPr="00220038">
        <w:rPr>
          <w:color w:val="000000" w:themeColor="text1"/>
          <w:lang w:val="en-US"/>
        </w:rPr>
        <w:t xml:space="preserve"> wave </w:t>
      </w:r>
      <w:r w:rsidR="000F2EE7" w:rsidRPr="00220038">
        <w:rPr>
          <w:color w:val="000000" w:themeColor="text1"/>
          <w:lang w:val="en-US"/>
        </w:rPr>
        <w:t>took place</w:t>
      </w:r>
      <w:r w:rsidRPr="00220038">
        <w:rPr>
          <w:color w:val="000000" w:themeColor="text1"/>
          <w:lang w:val="en-US"/>
        </w:rPr>
        <w:t xml:space="preserve"> from 17</w:t>
      </w:r>
      <w:r w:rsidR="00EC3144" w:rsidRPr="00220038">
        <w:rPr>
          <w:color w:val="000000" w:themeColor="text1"/>
          <w:lang w:val="en-US"/>
        </w:rPr>
        <w:t xml:space="preserve"> </w:t>
      </w:r>
      <w:r w:rsidRPr="00220038">
        <w:rPr>
          <w:color w:val="000000" w:themeColor="text1"/>
          <w:lang w:val="en-US"/>
        </w:rPr>
        <w:t xml:space="preserve">August </w:t>
      </w:r>
      <w:r w:rsidR="00EC3144" w:rsidRPr="00220038">
        <w:rPr>
          <w:color w:val="000000" w:themeColor="text1"/>
          <w:lang w:val="en-US"/>
        </w:rPr>
        <w:t>to</w:t>
      </w:r>
      <w:r w:rsidRPr="00220038">
        <w:rPr>
          <w:color w:val="000000" w:themeColor="text1"/>
          <w:lang w:val="en-US"/>
        </w:rPr>
        <w:t xml:space="preserve"> 18</w:t>
      </w:r>
      <w:r w:rsidR="00EC3144" w:rsidRPr="00220038">
        <w:rPr>
          <w:color w:val="000000" w:themeColor="text1"/>
          <w:lang w:val="en-US"/>
        </w:rPr>
        <w:t xml:space="preserve"> </w:t>
      </w:r>
      <w:r w:rsidRPr="00220038">
        <w:rPr>
          <w:color w:val="000000" w:themeColor="text1"/>
          <w:lang w:val="en-US"/>
        </w:rPr>
        <w:t>October</w:t>
      </w:r>
      <w:r w:rsidRPr="00220038">
        <w:rPr>
          <w:lang w:val="en-US"/>
        </w:rPr>
        <w:t xml:space="preserve">, </w:t>
      </w:r>
      <w:r w:rsidR="00EC3144" w:rsidRPr="00220038">
        <w:rPr>
          <w:lang w:val="en-US"/>
        </w:rPr>
        <w:t>which was the</w:t>
      </w:r>
      <w:r w:rsidRPr="00220038">
        <w:rPr>
          <w:lang w:val="en-US"/>
        </w:rPr>
        <w:t xml:space="preserve"> ballot day. From the Selects database, we draw our </w:t>
      </w:r>
      <w:r w:rsidR="009E173F" w:rsidRPr="00220038">
        <w:rPr>
          <w:lang w:val="en-US"/>
        </w:rPr>
        <w:t xml:space="preserve">outcome </w:t>
      </w:r>
      <w:r w:rsidRPr="00220038">
        <w:rPr>
          <w:lang w:val="en-US"/>
        </w:rPr>
        <w:t>variable of vote intention at</w:t>
      </w:r>
      <w:r w:rsidR="00D86AA7" w:rsidRPr="00220038">
        <w:rPr>
          <w:lang w:val="en-US"/>
        </w:rPr>
        <w:t xml:space="preserve"> wave </w:t>
      </w:r>
      <w:r w:rsidRPr="00220038">
        <w:rPr>
          <w:lang w:val="en-US"/>
        </w:rPr>
        <w:t>2</w:t>
      </w:r>
      <w:r w:rsidR="00EC3144" w:rsidRPr="00220038">
        <w:rPr>
          <w:lang w:val="en-US"/>
        </w:rPr>
        <w:t>,</w:t>
      </w:r>
      <w:r w:rsidRPr="00220038">
        <w:rPr>
          <w:lang w:val="en-US"/>
        </w:rPr>
        <w:t xml:space="preserve"> as well as our control variables as indicated by the respondents at</w:t>
      </w:r>
      <w:r w:rsidR="00D86AA7" w:rsidRPr="00220038">
        <w:rPr>
          <w:lang w:val="en-US"/>
        </w:rPr>
        <w:t xml:space="preserve"> wave </w:t>
      </w:r>
      <w:r w:rsidRPr="00220038">
        <w:rPr>
          <w:lang w:val="en-US"/>
        </w:rPr>
        <w:t xml:space="preserve">1 (see below). </w:t>
      </w:r>
    </w:p>
    <w:p w14:paraId="0C9E0930" w14:textId="7FAB2D5C" w:rsidR="00CB33D4" w:rsidRPr="00220038" w:rsidRDefault="009F74E5" w:rsidP="009F74E5">
      <w:pPr>
        <w:rPr>
          <w:lang w:val="en-US"/>
        </w:rPr>
      </w:pPr>
      <w:r w:rsidRPr="00220038">
        <w:rPr>
          <w:lang w:val="en-US"/>
        </w:rPr>
        <w:lastRenderedPageBreak/>
        <w:t xml:space="preserve">The RCS design </w:t>
      </w:r>
      <w:r w:rsidR="008D3B0C" w:rsidRPr="00220038">
        <w:rPr>
          <w:lang w:val="en-US"/>
        </w:rPr>
        <w:t>has</w:t>
      </w:r>
      <w:r w:rsidRPr="00220038">
        <w:rPr>
          <w:lang w:val="en-US"/>
        </w:rPr>
        <w:t xml:space="preserve"> an advantage to other survey designs in that the random selection of respondents at any given day during the campaign facilitates drawing causal links between specific campaign events and a change in opinion (Brady and Johnston 2006: 164). </w:t>
      </w:r>
      <w:r w:rsidR="008D3B0C" w:rsidRPr="00220038">
        <w:rPr>
          <w:lang w:val="en-US"/>
        </w:rPr>
        <w:t>This</w:t>
      </w:r>
      <w:r w:rsidRPr="00220038">
        <w:rPr>
          <w:lang w:val="en-US"/>
        </w:rPr>
        <w:t xml:space="preserve"> allows</w:t>
      </w:r>
      <w:r w:rsidR="008D3B0C" w:rsidRPr="00220038">
        <w:rPr>
          <w:lang w:val="en-US"/>
        </w:rPr>
        <w:t xml:space="preserve"> us</w:t>
      </w:r>
      <w:r w:rsidRPr="00220038">
        <w:rPr>
          <w:lang w:val="en-US"/>
        </w:rPr>
        <w:t xml:space="preserve"> to calculate individual level variables of campaign exposure at varying times during the campaign (1</w:t>
      </w:r>
      <w:r w:rsidR="008D3B0C" w:rsidRPr="00220038">
        <w:rPr>
          <w:lang w:val="en-US"/>
        </w:rPr>
        <w:t xml:space="preserve"> </w:t>
      </w:r>
      <w:r w:rsidRPr="00220038">
        <w:rPr>
          <w:lang w:val="en-US"/>
        </w:rPr>
        <w:t xml:space="preserve">August </w:t>
      </w:r>
      <w:r w:rsidR="000B196A" w:rsidRPr="00220038">
        <w:rPr>
          <w:lang w:val="en-US"/>
        </w:rPr>
        <w:t>to</w:t>
      </w:r>
      <w:r w:rsidRPr="00220038">
        <w:rPr>
          <w:lang w:val="en-US"/>
        </w:rPr>
        <w:t xml:space="preserve"> 18</w:t>
      </w:r>
      <w:r w:rsidR="00FB7FF4" w:rsidRPr="00220038">
        <w:rPr>
          <w:lang w:val="en-US"/>
        </w:rPr>
        <w:t xml:space="preserve"> </w:t>
      </w:r>
      <w:r w:rsidRPr="00220038">
        <w:rPr>
          <w:lang w:val="en-US"/>
        </w:rPr>
        <w:t xml:space="preserve">October). </w:t>
      </w:r>
    </w:p>
    <w:p w14:paraId="601E944E" w14:textId="75CDE8C2" w:rsidR="00343071" w:rsidRPr="00220038" w:rsidRDefault="00CB33D4" w:rsidP="009F74E5">
      <w:pPr>
        <w:rPr>
          <w:lang w:val="en-US"/>
        </w:rPr>
      </w:pPr>
      <w:r w:rsidRPr="00220038">
        <w:rPr>
          <w:color w:val="000000" w:themeColor="text1"/>
          <w:lang w:val="en-US"/>
        </w:rPr>
        <w:t xml:space="preserve">Our second extensive dataset is on political advertisements developed by Année Politique Suisse (APS 2016). </w:t>
      </w:r>
      <w:r w:rsidR="009F74E5" w:rsidRPr="00220038">
        <w:rPr>
          <w:lang w:val="en-US"/>
        </w:rPr>
        <w:t>To obtain a precise counting of political advertisement</w:t>
      </w:r>
      <w:r w:rsidR="002D31CC" w:rsidRPr="00220038">
        <w:rPr>
          <w:lang w:val="en-US"/>
        </w:rPr>
        <w:t>s</w:t>
      </w:r>
      <w:r w:rsidR="009F74E5" w:rsidRPr="00220038">
        <w:rPr>
          <w:lang w:val="en-US"/>
        </w:rPr>
        <w:t xml:space="preserve"> in all 26 cantons, APS uses trained coders to manually track advertising data in 50 supraregional and regional newspapers. The dataset consists of a collection of more than 5</w:t>
      </w:r>
      <w:r w:rsidR="00887044">
        <w:rPr>
          <w:lang w:val="en-US"/>
        </w:rPr>
        <w:t>'</w:t>
      </w:r>
      <w:r w:rsidR="009F74E5" w:rsidRPr="00220038">
        <w:rPr>
          <w:lang w:val="en-US"/>
        </w:rPr>
        <w:t>000 political advertisement</w:t>
      </w:r>
      <w:r w:rsidR="00431014" w:rsidRPr="00220038">
        <w:rPr>
          <w:lang w:val="en-US"/>
        </w:rPr>
        <w:t>s</w:t>
      </w:r>
      <w:r w:rsidR="009F74E5" w:rsidRPr="00220038">
        <w:rPr>
          <w:lang w:val="en-US"/>
        </w:rPr>
        <w:t xml:space="preserve"> placed in print newspapers </w:t>
      </w:r>
      <w:r w:rsidR="002C7C2E" w:rsidRPr="00220038">
        <w:rPr>
          <w:lang w:val="en-US"/>
        </w:rPr>
        <w:t>ahead of</w:t>
      </w:r>
      <w:r w:rsidR="009F74E5" w:rsidRPr="00220038">
        <w:rPr>
          <w:lang w:val="en-US"/>
        </w:rPr>
        <w:t xml:space="preserve"> the 2015 parliamentary elections. In order to proxy campaign exposure in newspapers, we </w:t>
      </w:r>
      <w:r w:rsidR="00431014" w:rsidRPr="00220038">
        <w:rPr>
          <w:lang w:val="en-US"/>
        </w:rPr>
        <w:t xml:space="preserve">take advantage of </w:t>
      </w:r>
      <w:r w:rsidR="009F74E5" w:rsidRPr="00220038">
        <w:rPr>
          <w:lang w:val="en-US"/>
        </w:rPr>
        <w:t>a question introduced in the second</w:t>
      </w:r>
      <w:r w:rsidR="00D86AA7" w:rsidRPr="00220038">
        <w:rPr>
          <w:lang w:val="en-US"/>
        </w:rPr>
        <w:t xml:space="preserve"> wave </w:t>
      </w:r>
      <w:r w:rsidR="009F74E5" w:rsidRPr="00220038">
        <w:rPr>
          <w:lang w:val="en-US"/>
        </w:rPr>
        <w:t>of the Selects survey</w:t>
      </w:r>
      <w:r w:rsidR="00431014" w:rsidRPr="00220038">
        <w:rPr>
          <w:lang w:val="en-US"/>
        </w:rPr>
        <w:t xml:space="preserve">, which </w:t>
      </w:r>
      <w:r w:rsidR="009F74E5" w:rsidRPr="00220038">
        <w:rPr>
          <w:lang w:val="en-US"/>
        </w:rPr>
        <w:t xml:space="preserve">asks which print newspaper (fee-based or free) respondents have </w:t>
      </w:r>
      <w:r w:rsidR="00771A92" w:rsidRPr="00220038">
        <w:rPr>
          <w:lang w:val="en-US"/>
        </w:rPr>
        <w:t xml:space="preserve">consulted </w:t>
      </w:r>
      <w:r w:rsidR="009F74E5" w:rsidRPr="00220038">
        <w:rPr>
          <w:lang w:val="en-US"/>
        </w:rPr>
        <w:t xml:space="preserve">the most within the last days of the interview, if any. From this we infer that a respondent belongs to the general readership of the mentioned source and that </w:t>
      </w:r>
      <w:r w:rsidR="00431014" w:rsidRPr="00220038">
        <w:rPr>
          <w:lang w:val="en-US"/>
        </w:rPr>
        <w:t>they</w:t>
      </w:r>
      <w:r w:rsidR="009F74E5" w:rsidRPr="00220038">
        <w:rPr>
          <w:lang w:val="en-US"/>
        </w:rPr>
        <w:t xml:space="preserve"> consume this journal on a regular basis. Together with the date of the second interview, this allows us to calculate a respondent’s potential campaign exposure before the second interview took place</w:t>
      </w:r>
      <w:r w:rsidR="00DD0F8D" w:rsidRPr="00220038">
        <w:rPr>
          <w:lang w:val="en-US"/>
        </w:rPr>
        <w:t>.</w:t>
      </w:r>
      <w:r w:rsidR="009F74E5" w:rsidRPr="00220038">
        <w:rPr>
          <w:rStyle w:val="Appelnotedebasdep"/>
          <w:lang w:val="en-US"/>
        </w:rPr>
        <w:footnoteReference w:id="2"/>
      </w:r>
      <w:r w:rsidR="00A85AB3" w:rsidRPr="00220038">
        <w:rPr>
          <w:lang w:val="en-US"/>
        </w:rPr>
        <w:t xml:space="preserve"> </w:t>
      </w:r>
    </w:p>
    <w:p w14:paraId="102C6375" w14:textId="677E5E5C" w:rsidR="009F74E5" w:rsidRPr="00220038" w:rsidRDefault="008610A8" w:rsidP="009F74E5">
      <w:pPr>
        <w:rPr>
          <w:lang w:val="en-US"/>
        </w:rPr>
      </w:pPr>
      <w:r w:rsidRPr="00220038">
        <w:rPr>
          <w:lang w:val="en-US"/>
        </w:rPr>
        <w:t xml:space="preserve">By linking survey data with media content data, </w:t>
      </w:r>
      <w:r w:rsidR="000F79D1" w:rsidRPr="00220038">
        <w:rPr>
          <w:lang w:val="en-US"/>
        </w:rPr>
        <w:t xml:space="preserve">this paper </w:t>
      </w:r>
      <w:r w:rsidR="00343071" w:rsidRPr="00220038">
        <w:rPr>
          <w:lang w:val="en-US"/>
        </w:rPr>
        <w:t xml:space="preserve">follows the logic of linkage </w:t>
      </w:r>
      <w:r w:rsidRPr="00220038">
        <w:rPr>
          <w:lang w:val="en-US"/>
        </w:rPr>
        <w:t xml:space="preserve">studies </w:t>
      </w:r>
      <w:r w:rsidR="00343071" w:rsidRPr="00220038">
        <w:rPr>
          <w:lang w:val="en-US"/>
        </w:rPr>
        <w:t xml:space="preserve">(see </w:t>
      </w:r>
      <w:r w:rsidR="00E9758A" w:rsidRPr="00220038">
        <w:rPr>
          <w:lang w:val="en-US"/>
        </w:rPr>
        <w:t xml:space="preserve">De </w:t>
      </w:r>
      <w:proofErr w:type="spellStart"/>
      <w:r w:rsidR="00E9758A" w:rsidRPr="00220038">
        <w:rPr>
          <w:lang w:val="en-US"/>
        </w:rPr>
        <w:t>Vreese</w:t>
      </w:r>
      <w:proofErr w:type="spellEnd"/>
      <w:r w:rsidR="00E9758A" w:rsidRPr="00220038">
        <w:rPr>
          <w:lang w:val="en-US"/>
        </w:rPr>
        <w:t xml:space="preserve"> and </w:t>
      </w:r>
      <w:proofErr w:type="spellStart"/>
      <w:r w:rsidR="00E9758A" w:rsidRPr="00220038">
        <w:rPr>
          <w:lang w:val="en-US"/>
        </w:rPr>
        <w:t>Semetko</w:t>
      </w:r>
      <w:proofErr w:type="spellEnd"/>
      <w:r w:rsidR="00E9758A" w:rsidRPr="00220038">
        <w:rPr>
          <w:lang w:val="en-US"/>
        </w:rPr>
        <w:t xml:space="preserve"> 2004</w:t>
      </w:r>
      <w:r w:rsidR="00E9758A">
        <w:rPr>
          <w:lang w:val="en-US"/>
        </w:rPr>
        <w:t xml:space="preserve">; </w:t>
      </w:r>
      <w:r w:rsidR="00343071" w:rsidRPr="00220038">
        <w:rPr>
          <w:lang w:val="en-US"/>
        </w:rPr>
        <w:t xml:space="preserve">Miller et al. 1979). </w:t>
      </w:r>
      <w:r w:rsidR="00AD6768" w:rsidRPr="00220038">
        <w:rPr>
          <w:lang w:val="en-US"/>
        </w:rPr>
        <w:t xml:space="preserve">A precise </w:t>
      </w:r>
      <w:r w:rsidR="002E515F" w:rsidRPr="00220038">
        <w:rPr>
          <w:lang w:val="en-US"/>
        </w:rPr>
        <w:t xml:space="preserve">and reliable </w:t>
      </w:r>
      <w:r w:rsidR="00AD6768" w:rsidRPr="00220038">
        <w:rPr>
          <w:lang w:val="en-US"/>
        </w:rPr>
        <w:t>measure of media exposure is of prime importance to successfully determine the effect</w:t>
      </w:r>
      <w:r w:rsidR="000F79D1" w:rsidRPr="00220038">
        <w:rPr>
          <w:lang w:val="en-US"/>
        </w:rPr>
        <w:t>s</w:t>
      </w:r>
      <w:r w:rsidR="00AD6768" w:rsidRPr="00220038">
        <w:rPr>
          <w:lang w:val="en-US"/>
        </w:rPr>
        <w:t xml:space="preserve"> of </w:t>
      </w:r>
      <w:r w:rsidRPr="00220038">
        <w:rPr>
          <w:lang w:val="en-US"/>
        </w:rPr>
        <w:t>media content</w:t>
      </w:r>
      <w:r w:rsidR="00AD6768" w:rsidRPr="00220038">
        <w:rPr>
          <w:lang w:val="en-US"/>
        </w:rPr>
        <w:t xml:space="preserve"> using linkage analysis (</w:t>
      </w:r>
      <w:r w:rsidR="00020D4C" w:rsidRPr="00220038">
        <w:rPr>
          <w:lang w:val="en-US"/>
        </w:rPr>
        <w:t>D</w:t>
      </w:r>
      <w:r w:rsidR="00AD6768" w:rsidRPr="00220038">
        <w:rPr>
          <w:lang w:val="en-US"/>
        </w:rPr>
        <w:t xml:space="preserve">e </w:t>
      </w:r>
      <w:proofErr w:type="spellStart"/>
      <w:r w:rsidR="00AD6768" w:rsidRPr="00220038">
        <w:rPr>
          <w:lang w:val="en-US"/>
        </w:rPr>
        <w:t>Vreese</w:t>
      </w:r>
      <w:proofErr w:type="spellEnd"/>
      <w:r w:rsidR="00AD6768" w:rsidRPr="00220038">
        <w:rPr>
          <w:lang w:val="en-US"/>
        </w:rPr>
        <w:t xml:space="preserve"> et al. 2017; </w:t>
      </w:r>
      <w:proofErr w:type="spellStart"/>
      <w:r w:rsidR="00AD6768" w:rsidRPr="00220038">
        <w:rPr>
          <w:lang w:val="en-US"/>
        </w:rPr>
        <w:t>Scharkow</w:t>
      </w:r>
      <w:proofErr w:type="spellEnd"/>
      <w:r w:rsidR="00AD6768" w:rsidRPr="00220038">
        <w:rPr>
          <w:lang w:val="en-US"/>
        </w:rPr>
        <w:t xml:space="preserve"> and </w:t>
      </w:r>
      <w:proofErr w:type="spellStart"/>
      <w:r w:rsidR="00AD6768" w:rsidRPr="00220038">
        <w:rPr>
          <w:lang w:val="en-US"/>
        </w:rPr>
        <w:t>Bachl</w:t>
      </w:r>
      <w:proofErr w:type="spellEnd"/>
      <w:r w:rsidR="00AD6768" w:rsidRPr="00220038">
        <w:rPr>
          <w:lang w:val="en-US"/>
        </w:rPr>
        <w:t xml:space="preserve"> 2017).</w:t>
      </w:r>
      <w:r w:rsidR="002E515F" w:rsidRPr="00220038">
        <w:rPr>
          <w:lang w:val="en-US"/>
        </w:rPr>
        <w:t xml:space="preserve"> </w:t>
      </w:r>
      <w:r w:rsidR="00675788" w:rsidRPr="00220038">
        <w:rPr>
          <w:lang w:val="en-US"/>
        </w:rPr>
        <w:t>W</w:t>
      </w:r>
      <w:r w:rsidR="004A19B4" w:rsidRPr="00220038">
        <w:rPr>
          <w:lang w:val="en-US"/>
        </w:rPr>
        <w:t>e</w:t>
      </w:r>
      <w:r w:rsidR="00675788" w:rsidRPr="00220038">
        <w:rPr>
          <w:lang w:val="en-US"/>
        </w:rPr>
        <w:t xml:space="preserve"> therefore</w:t>
      </w:r>
      <w:r w:rsidR="004A19B4" w:rsidRPr="00220038">
        <w:rPr>
          <w:lang w:val="en-US"/>
        </w:rPr>
        <w:t xml:space="preserve"> </w:t>
      </w:r>
      <w:r w:rsidR="00675788" w:rsidRPr="00220038">
        <w:rPr>
          <w:lang w:val="en-US"/>
        </w:rPr>
        <w:t>undertook</w:t>
      </w:r>
      <w:r w:rsidR="004A19B4" w:rsidRPr="00220038">
        <w:rPr>
          <w:lang w:val="en-US"/>
        </w:rPr>
        <w:t xml:space="preserve"> several robustness checks </w:t>
      </w:r>
      <w:r w:rsidR="000F79D1" w:rsidRPr="00220038">
        <w:rPr>
          <w:lang w:val="en-US"/>
        </w:rPr>
        <w:t xml:space="preserve">to </w:t>
      </w:r>
      <w:r w:rsidR="00BC2CE7" w:rsidRPr="00220038">
        <w:rPr>
          <w:lang w:val="en-US"/>
        </w:rPr>
        <w:t>test whether and to what degree our results are sensitive to the operationalization choices of our central media content variables</w:t>
      </w:r>
      <w:r w:rsidR="003E7ED0" w:rsidRPr="00220038">
        <w:rPr>
          <w:lang w:val="en-US"/>
        </w:rPr>
        <w:t xml:space="preserve"> (see below)</w:t>
      </w:r>
      <w:r w:rsidR="004A19B4" w:rsidRPr="00220038">
        <w:rPr>
          <w:lang w:val="en-US"/>
        </w:rPr>
        <w:t xml:space="preserve">. </w:t>
      </w:r>
      <w:r w:rsidR="00BC2CE7" w:rsidRPr="00220038">
        <w:rPr>
          <w:lang w:val="en-US"/>
        </w:rPr>
        <w:t xml:space="preserve">Furthermore, survey respondents are prone to </w:t>
      </w:r>
      <w:r w:rsidR="00F64B22" w:rsidRPr="00220038">
        <w:rPr>
          <w:lang w:val="en-US"/>
        </w:rPr>
        <w:t>over-report</w:t>
      </w:r>
      <w:r w:rsidR="00BC2CE7" w:rsidRPr="00220038">
        <w:rPr>
          <w:lang w:val="en-US"/>
        </w:rPr>
        <w:t xml:space="preserve"> their media use (</w:t>
      </w:r>
      <w:proofErr w:type="spellStart"/>
      <w:r w:rsidR="00BC2CE7" w:rsidRPr="00220038">
        <w:rPr>
          <w:lang w:val="en-US"/>
        </w:rPr>
        <w:t>Scharkow</w:t>
      </w:r>
      <w:proofErr w:type="spellEnd"/>
      <w:r w:rsidR="00BC2CE7" w:rsidRPr="00220038">
        <w:rPr>
          <w:lang w:val="en-US"/>
        </w:rPr>
        <w:t xml:space="preserve"> and </w:t>
      </w:r>
      <w:proofErr w:type="spellStart"/>
      <w:r w:rsidR="00BC2CE7" w:rsidRPr="00220038">
        <w:rPr>
          <w:lang w:val="en-US"/>
        </w:rPr>
        <w:t>Bachl</w:t>
      </w:r>
      <w:proofErr w:type="spellEnd"/>
      <w:r w:rsidR="00BC2CE7" w:rsidRPr="00220038">
        <w:rPr>
          <w:lang w:val="en-US"/>
        </w:rPr>
        <w:t xml:space="preserve"> 2017). </w:t>
      </w:r>
      <w:r w:rsidR="00675788" w:rsidRPr="00220038">
        <w:rPr>
          <w:lang w:val="en-US"/>
        </w:rPr>
        <w:t>S</w:t>
      </w:r>
      <w:r w:rsidR="00BC2CE7" w:rsidRPr="00220038">
        <w:rPr>
          <w:lang w:val="en-US"/>
        </w:rPr>
        <w:t>ince the Selects 2015 database only asked about the use of individual media outlets in one specific</w:t>
      </w:r>
      <w:r w:rsidR="00D86AA7" w:rsidRPr="00220038">
        <w:rPr>
          <w:lang w:val="en-US"/>
        </w:rPr>
        <w:t xml:space="preserve"> wave </w:t>
      </w:r>
      <w:r w:rsidR="00BC2CE7" w:rsidRPr="00220038">
        <w:rPr>
          <w:lang w:val="en-US"/>
        </w:rPr>
        <w:t>(</w:t>
      </w:r>
      <w:r w:rsidR="00F64B22" w:rsidRPr="00220038">
        <w:rPr>
          <w:lang w:val="en-US"/>
        </w:rPr>
        <w:t xml:space="preserve">round </w:t>
      </w:r>
      <w:r w:rsidR="00BC2CE7" w:rsidRPr="00220038">
        <w:rPr>
          <w:lang w:val="en-US"/>
        </w:rPr>
        <w:t xml:space="preserve">2) we cannot report the reliability scores of our measure of interest. </w:t>
      </w:r>
      <w:r w:rsidR="00675788" w:rsidRPr="00220038">
        <w:rPr>
          <w:lang w:val="en-US"/>
        </w:rPr>
        <w:t>Nonetheless</w:t>
      </w:r>
      <w:r w:rsidR="00BC2CE7" w:rsidRPr="00220038">
        <w:rPr>
          <w:lang w:val="en-US"/>
        </w:rPr>
        <w:t>, considering survey items that ask about the use of a specific news outlet may lessen the problem of over</w:t>
      </w:r>
      <w:r w:rsidR="003174BA" w:rsidRPr="00220038">
        <w:rPr>
          <w:lang w:val="en-US"/>
        </w:rPr>
        <w:t>-</w:t>
      </w:r>
      <w:r w:rsidR="00BC2CE7" w:rsidRPr="00220038">
        <w:rPr>
          <w:lang w:val="en-US"/>
        </w:rPr>
        <w:t xml:space="preserve">reporting </w:t>
      </w:r>
      <w:r w:rsidR="002569AF" w:rsidRPr="00220038">
        <w:rPr>
          <w:lang w:val="en-US"/>
        </w:rPr>
        <w:t xml:space="preserve">at least </w:t>
      </w:r>
      <w:r w:rsidR="00BC2CE7" w:rsidRPr="00220038">
        <w:rPr>
          <w:lang w:val="en-US"/>
        </w:rPr>
        <w:t xml:space="preserve">to some extent (De </w:t>
      </w:r>
      <w:proofErr w:type="spellStart"/>
      <w:r w:rsidR="00BC2CE7" w:rsidRPr="00220038">
        <w:rPr>
          <w:lang w:val="en-US"/>
        </w:rPr>
        <w:t>Vreese</w:t>
      </w:r>
      <w:proofErr w:type="spellEnd"/>
      <w:r w:rsidR="00BC2CE7" w:rsidRPr="00220038">
        <w:rPr>
          <w:lang w:val="en-US"/>
        </w:rPr>
        <w:t xml:space="preserve"> et al. 2017: 225).</w:t>
      </w:r>
    </w:p>
    <w:p w14:paraId="11F0414B" w14:textId="01401DF6" w:rsidR="009F74E5" w:rsidRPr="00220038" w:rsidRDefault="001E16BF" w:rsidP="009F74E5">
      <w:pPr>
        <w:pStyle w:val="Titre2"/>
        <w:rPr>
          <w:lang w:val="en-US"/>
        </w:rPr>
      </w:pPr>
      <w:r>
        <w:rPr>
          <w:lang w:val="en-US"/>
        </w:rPr>
        <w:t>Method of A</w:t>
      </w:r>
      <w:r w:rsidR="009F74E5" w:rsidRPr="00220038">
        <w:rPr>
          <w:lang w:val="en-US"/>
        </w:rPr>
        <w:t xml:space="preserve">nalysis and </w:t>
      </w:r>
      <w:r>
        <w:rPr>
          <w:lang w:val="en-US"/>
        </w:rPr>
        <w:t>O</w:t>
      </w:r>
      <w:r w:rsidR="007852DC" w:rsidRPr="00220038">
        <w:rPr>
          <w:lang w:val="en-US"/>
        </w:rPr>
        <w:t xml:space="preserve">utcome </w:t>
      </w:r>
      <w:r>
        <w:rPr>
          <w:lang w:val="en-US"/>
        </w:rPr>
        <w:t>V</w:t>
      </w:r>
      <w:r w:rsidR="009F74E5" w:rsidRPr="00220038">
        <w:rPr>
          <w:lang w:val="en-US"/>
        </w:rPr>
        <w:t>ariable</w:t>
      </w:r>
      <w:r w:rsidR="002613AF" w:rsidRPr="00220038">
        <w:rPr>
          <w:lang w:val="en-US"/>
        </w:rPr>
        <w:t>s</w:t>
      </w:r>
    </w:p>
    <w:p w14:paraId="4905A027" w14:textId="2C768FA4" w:rsidR="009F74E5" w:rsidRPr="00220038" w:rsidRDefault="00A804DB" w:rsidP="009F74E5">
      <w:pPr>
        <w:rPr>
          <w:lang w:val="en-US"/>
        </w:rPr>
      </w:pPr>
      <w:r w:rsidRPr="00220038">
        <w:rPr>
          <w:lang w:val="en-US"/>
        </w:rPr>
        <w:t>To</w:t>
      </w:r>
      <w:r w:rsidR="009F74E5" w:rsidRPr="00220038">
        <w:rPr>
          <w:lang w:val="en-US"/>
        </w:rPr>
        <w:t xml:space="preserve"> investigate campaign effects on the vote, we ran several multinomial regression models with three outcome variables captured at the second</w:t>
      </w:r>
      <w:r w:rsidR="00D86AA7" w:rsidRPr="00220038">
        <w:rPr>
          <w:lang w:val="en-US"/>
        </w:rPr>
        <w:t xml:space="preserve"> wave </w:t>
      </w:r>
      <w:r w:rsidR="009F74E5" w:rsidRPr="00220038">
        <w:rPr>
          <w:lang w:val="en-US"/>
        </w:rPr>
        <w:t xml:space="preserve">of interviews. The three outcomes are: intention to vote for the SVP, intention to vote for the FDP </w:t>
      </w:r>
      <w:r w:rsidR="00480956" w:rsidRPr="00220038">
        <w:rPr>
          <w:lang w:val="en-US"/>
        </w:rPr>
        <w:t>and</w:t>
      </w:r>
      <w:r w:rsidR="009F74E5" w:rsidRPr="00220038">
        <w:rPr>
          <w:lang w:val="en-US"/>
        </w:rPr>
        <w:t xml:space="preserve"> intention to vote for another party (see Lutz and </w:t>
      </w:r>
      <w:proofErr w:type="spellStart"/>
      <w:r w:rsidR="009F74E5" w:rsidRPr="00220038">
        <w:rPr>
          <w:lang w:val="en-US"/>
        </w:rPr>
        <w:t>Sciarini</w:t>
      </w:r>
      <w:proofErr w:type="spellEnd"/>
      <w:r w:rsidR="009F74E5" w:rsidRPr="00220038">
        <w:rPr>
          <w:lang w:val="en-US"/>
        </w:rPr>
        <w:t xml:space="preserve"> 2016 for a similar approach).</w:t>
      </w:r>
      <w:r w:rsidR="009F74E5" w:rsidRPr="00220038">
        <w:rPr>
          <w:rStyle w:val="Appelnotedebasdep"/>
          <w:lang w:val="en-US"/>
        </w:rPr>
        <w:footnoteReference w:id="3"/>
      </w:r>
      <w:r w:rsidR="009F74E5" w:rsidRPr="00220038">
        <w:rPr>
          <w:lang w:val="en-US"/>
        </w:rPr>
        <w:t xml:space="preserve"> Given our focus on campaign effects and the operationalization of the </w:t>
      </w:r>
      <w:r w:rsidR="00FC0056" w:rsidRPr="00220038">
        <w:rPr>
          <w:lang w:val="en-US"/>
        </w:rPr>
        <w:t xml:space="preserve">outcome </w:t>
      </w:r>
      <w:r w:rsidR="009F74E5" w:rsidRPr="00220038">
        <w:rPr>
          <w:lang w:val="en-US"/>
        </w:rPr>
        <w:t>variable</w:t>
      </w:r>
      <w:r w:rsidR="00D14D8E" w:rsidRPr="00220038">
        <w:rPr>
          <w:lang w:val="en-US"/>
        </w:rPr>
        <w:t>s</w:t>
      </w:r>
      <w:r w:rsidR="009F74E5" w:rsidRPr="00220038">
        <w:rPr>
          <w:rFonts w:cs="Times New Roman"/>
          <w:lang w:val="en-US"/>
        </w:rPr>
        <w:t xml:space="preserve">, we only considered cantons where the party under scrutiny presented candidates to run for office (for the National Council, </w:t>
      </w:r>
      <w:r w:rsidR="00B32A7C" w:rsidRPr="00220038">
        <w:rPr>
          <w:rFonts w:cs="Times New Roman"/>
          <w:lang w:val="en-US"/>
        </w:rPr>
        <w:t xml:space="preserve">for </w:t>
      </w:r>
      <w:r w:rsidR="009F74E5" w:rsidRPr="00220038">
        <w:rPr>
          <w:rFonts w:cs="Times New Roman"/>
          <w:lang w:val="en-US"/>
        </w:rPr>
        <w:t xml:space="preserve">the Council of States, or </w:t>
      </w:r>
      <w:r w:rsidR="00B32A7C" w:rsidRPr="00220038">
        <w:rPr>
          <w:rFonts w:cs="Times New Roman"/>
          <w:lang w:val="en-US"/>
        </w:rPr>
        <w:t xml:space="preserve">for </w:t>
      </w:r>
      <w:r w:rsidR="009F74E5" w:rsidRPr="00220038">
        <w:rPr>
          <w:rFonts w:cs="Times New Roman"/>
          <w:lang w:val="en-US"/>
        </w:rPr>
        <w:t xml:space="preserve">both). </w:t>
      </w:r>
      <w:r w:rsidR="001936B3" w:rsidRPr="00220038">
        <w:rPr>
          <w:rFonts w:cs="Times New Roman"/>
          <w:lang w:val="en-US"/>
        </w:rPr>
        <w:t xml:space="preserve">In one canton (Appenzell </w:t>
      </w:r>
      <w:proofErr w:type="spellStart"/>
      <w:r w:rsidR="001936B3" w:rsidRPr="00220038">
        <w:rPr>
          <w:rFonts w:cs="Times New Roman"/>
          <w:lang w:val="en-US"/>
        </w:rPr>
        <w:t>Innerrhode</w:t>
      </w:r>
      <w:r w:rsidR="00E9758A">
        <w:rPr>
          <w:rFonts w:cs="Times New Roman"/>
          <w:lang w:val="en-US"/>
        </w:rPr>
        <w:t>n</w:t>
      </w:r>
      <w:proofErr w:type="spellEnd"/>
      <w:r w:rsidR="001936B3" w:rsidRPr="00220038">
        <w:rPr>
          <w:rFonts w:cs="Times New Roman"/>
          <w:lang w:val="en-US"/>
        </w:rPr>
        <w:t>), n</w:t>
      </w:r>
      <w:r w:rsidR="00BC1B08" w:rsidRPr="00220038">
        <w:rPr>
          <w:rFonts w:cs="Times New Roman"/>
          <w:lang w:val="en-US"/>
        </w:rPr>
        <w:t>either party presented a candidate</w:t>
      </w:r>
      <w:r w:rsidR="009F74E5" w:rsidRPr="00220038">
        <w:rPr>
          <w:rFonts w:cs="Times New Roman"/>
          <w:lang w:val="en-US"/>
        </w:rPr>
        <w:t xml:space="preserve">. </w:t>
      </w:r>
      <w:r w:rsidR="009F74E5" w:rsidRPr="00220038">
        <w:rPr>
          <w:lang w:val="en-US"/>
        </w:rPr>
        <w:t xml:space="preserve">For the purpose </w:t>
      </w:r>
      <w:r w:rsidR="00180D98" w:rsidRPr="00220038">
        <w:rPr>
          <w:lang w:val="en-US"/>
        </w:rPr>
        <w:t>of</w:t>
      </w:r>
      <w:r w:rsidR="009F74E5" w:rsidRPr="00220038">
        <w:rPr>
          <w:lang w:val="en-US"/>
        </w:rPr>
        <w:t xml:space="preserve"> model</w:t>
      </w:r>
      <w:r w:rsidR="00180D98" w:rsidRPr="00220038">
        <w:rPr>
          <w:lang w:val="en-US"/>
        </w:rPr>
        <w:t>ing</w:t>
      </w:r>
      <w:r w:rsidR="009F74E5" w:rsidRPr="00220038">
        <w:rPr>
          <w:lang w:val="en-US"/>
        </w:rPr>
        <w:t xml:space="preserve"> dynamics in vote </w:t>
      </w:r>
      <w:r w:rsidR="009F74E5" w:rsidRPr="00220038">
        <w:rPr>
          <w:lang w:val="en-US"/>
        </w:rPr>
        <w:lastRenderedPageBreak/>
        <w:t>intention that occurred during the electoral campaign and in order to circumvent endogeneity issues, we controlled for the vote intention at</w:t>
      </w:r>
      <w:r w:rsidR="00D86AA7" w:rsidRPr="00220038">
        <w:rPr>
          <w:lang w:val="en-US"/>
        </w:rPr>
        <w:t xml:space="preserve"> wave </w:t>
      </w:r>
      <w:r w:rsidR="009F74E5" w:rsidRPr="00220038">
        <w:rPr>
          <w:lang w:val="en-US"/>
        </w:rPr>
        <w:t xml:space="preserve">1 (for a similar approach, see </w:t>
      </w:r>
      <w:r w:rsidR="00CF3051" w:rsidRPr="00220038">
        <w:rPr>
          <w:lang w:val="en-US"/>
        </w:rPr>
        <w:t xml:space="preserve">De </w:t>
      </w:r>
      <w:proofErr w:type="spellStart"/>
      <w:r w:rsidR="00CF3051" w:rsidRPr="00220038">
        <w:rPr>
          <w:lang w:val="en-US"/>
        </w:rPr>
        <w:t>Vreese</w:t>
      </w:r>
      <w:proofErr w:type="spellEnd"/>
      <w:r w:rsidR="00CF3051" w:rsidRPr="00220038">
        <w:rPr>
          <w:lang w:val="en-US"/>
        </w:rPr>
        <w:t xml:space="preserve"> and </w:t>
      </w:r>
      <w:proofErr w:type="spellStart"/>
      <w:r w:rsidR="00CF3051" w:rsidRPr="00220038">
        <w:rPr>
          <w:lang w:val="en-US"/>
        </w:rPr>
        <w:t>Semetko</w:t>
      </w:r>
      <w:proofErr w:type="spellEnd"/>
      <w:r w:rsidR="00CF3051" w:rsidRPr="00220038">
        <w:rPr>
          <w:lang w:val="en-US"/>
        </w:rPr>
        <w:t xml:space="preserve"> 2004; </w:t>
      </w:r>
      <w:proofErr w:type="spellStart"/>
      <w:r w:rsidR="009F74E5" w:rsidRPr="00220038">
        <w:rPr>
          <w:lang w:val="en-US"/>
        </w:rPr>
        <w:t>Kriesi</w:t>
      </w:r>
      <w:proofErr w:type="spellEnd"/>
      <w:r w:rsidR="009F74E5" w:rsidRPr="00220038">
        <w:rPr>
          <w:lang w:val="en-US"/>
        </w:rPr>
        <w:t xml:space="preserve"> and </w:t>
      </w:r>
      <w:proofErr w:type="spellStart"/>
      <w:r w:rsidR="009F74E5" w:rsidRPr="00220038">
        <w:rPr>
          <w:lang w:val="en-US"/>
        </w:rPr>
        <w:t>Sciarini</w:t>
      </w:r>
      <w:proofErr w:type="spellEnd"/>
      <w:r w:rsidR="009F74E5" w:rsidRPr="00220038">
        <w:rPr>
          <w:lang w:val="en-US"/>
        </w:rPr>
        <w:t xml:space="preserve"> 2004; Lutz and </w:t>
      </w:r>
      <w:proofErr w:type="spellStart"/>
      <w:r w:rsidR="009F74E5" w:rsidRPr="00220038">
        <w:rPr>
          <w:lang w:val="en-US"/>
        </w:rPr>
        <w:t>Sciarini</w:t>
      </w:r>
      <w:proofErr w:type="spellEnd"/>
      <w:r w:rsidR="009F74E5" w:rsidRPr="00220038">
        <w:rPr>
          <w:lang w:val="en-US"/>
        </w:rPr>
        <w:t xml:space="preserve"> 2016</w:t>
      </w:r>
      <w:r w:rsidR="00E9758A">
        <w:rPr>
          <w:lang w:val="en-US"/>
        </w:rPr>
        <w:t xml:space="preserve">; </w:t>
      </w:r>
      <w:r w:rsidR="00E9758A" w:rsidRPr="00220038">
        <w:rPr>
          <w:lang w:val="en-US"/>
        </w:rPr>
        <w:t>Sanders 2012</w:t>
      </w:r>
      <w:r w:rsidR="009F74E5" w:rsidRPr="00220038">
        <w:rPr>
          <w:lang w:val="en-US"/>
        </w:rPr>
        <w:t>). Our variable vote intention distinguishes between four categories: (0) no intention to vote, i.e. respondents indicate at</w:t>
      </w:r>
      <w:r w:rsidR="00D86AA7" w:rsidRPr="00220038">
        <w:rPr>
          <w:lang w:val="en-US"/>
        </w:rPr>
        <w:t xml:space="preserve"> wave </w:t>
      </w:r>
      <w:r w:rsidR="009F74E5" w:rsidRPr="00220038">
        <w:rPr>
          <w:lang w:val="en-US"/>
        </w:rPr>
        <w:t xml:space="preserve">1 that they are certainly or </w:t>
      </w:r>
      <w:r w:rsidR="005006F8" w:rsidRPr="00220038">
        <w:rPr>
          <w:lang w:val="en-US"/>
        </w:rPr>
        <w:t xml:space="preserve">probably </w:t>
      </w:r>
      <w:r w:rsidR="009F74E5" w:rsidRPr="00220038">
        <w:rPr>
          <w:lang w:val="en-US"/>
        </w:rPr>
        <w:t xml:space="preserve">not </w:t>
      </w:r>
      <w:r w:rsidR="005006F8" w:rsidRPr="00220038">
        <w:rPr>
          <w:lang w:val="en-US"/>
        </w:rPr>
        <w:t xml:space="preserve">going </w:t>
      </w:r>
      <w:r w:rsidR="009F74E5" w:rsidRPr="00220038">
        <w:rPr>
          <w:lang w:val="en-US"/>
        </w:rPr>
        <w:t>to participate, (1) intention to vote for the FDP, (2) intention to vote for the SVP, and (3) intention to vote for another party. In order to test our hypothesis, we calculated models with two- (H1</w:t>
      </w:r>
      <w:r w:rsidR="007A1DEF" w:rsidRPr="00220038">
        <w:rPr>
          <w:lang w:val="en-US"/>
        </w:rPr>
        <w:t>, H3</w:t>
      </w:r>
      <w:r w:rsidR="009F74E5" w:rsidRPr="00220038">
        <w:rPr>
          <w:lang w:val="en-US"/>
        </w:rPr>
        <w:t xml:space="preserve">) </w:t>
      </w:r>
      <w:r w:rsidR="007C4C78" w:rsidRPr="00220038">
        <w:rPr>
          <w:lang w:val="en-US"/>
        </w:rPr>
        <w:t>and</w:t>
      </w:r>
      <w:r w:rsidR="009F74E5" w:rsidRPr="00220038">
        <w:rPr>
          <w:lang w:val="en-US"/>
        </w:rPr>
        <w:t xml:space="preserve"> three</w:t>
      </w:r>
      <w:r w:rsidR="007C4C78" w:rsidRPr="00220038">
        <w:rPr>
          <w:lang w:val="en-US"/>
        </w:rPr>
        <w:t>-</w:t>
      </w:r>
      <w:r w:rsidR="009F74E5" w:rsidRPr="00220038">
        <w:rPr>
          <w:lang w:val="en-US"/>
        </w:rPr>
        <w:t xml:space="preserve">way-interaction terms (H2). </w:t>
      </w:r>
    </w:p>
    <w:p w14:paraId="77DDE410" w14:textId="545C4DA5" w:rsidR="002613AF" w:rsidRPr="00220038" w:rsidRDefault="00133908" w:rsidP="009F74E5">
      <w:pPr>
        <w:rPr>
          <w:rFonts w:cs="Times New Roman"/>
          <w:lang w:val="en-US"/>
        </w:rPr>
      </w:pPr>
      <w:r w:rsidRPr="00220038">
        <w:rPr>
          <w:lang w:val="en-US"/>
        </w:rPr>
        <w:t>T</w:t>
      </w:r>
      <w:r w:rsidR="002613AF" w:rsidRPr="00220038">
        <w:rPr>
          <w:lang w:val="en-US"/>
        </w:rPr>
        <w:t xml:space="preserve">o estimate the influence of campaigns on dynamics of issue ownership perceptions, we calculated five logistic regressions for the attribution of competence issue ownership on the issues that </w:t>
      </w:r>
      <w:r w:rsidR="00740BC6" w:rsidRPr="00220038">
        <w:rPr>
          <w:lang w:val="en-US"/>
        </w:rPr>
        <w:t>were</w:t>
      </w:r>
      <w:r w:rsidR="002613AF" w:rsidRPr="00220038">
        <w:rPr>
          <w:lang w:val="en-US"/>
        </w:rPr>
        <w:t xml:space="preserve"> advertised the most by the two parties under scrutiny (see below).</w:t>
      </w:r>
      <w:r w:rsidR="002613AF" w:rsidRPr="00220038">
        <w:rPr>
          <w:rStyle w:val="Appelnotedebasdep"/>
          <w:lang w:val="en-US"/>
        </w:rPr>
        <w:footnoteReference w:id="4"/>
      </w:r>
      <w:r w:rsidR="002613AF" w:rsidRPr="00220038">
        <w:rPr>
          <w:lang w:val="en-US"/>
        </w:rPr>
        <w:t xml:space="preserve"> Our </w:t>
      </w:r>
      <w:r w:rsidR="009E173F" w:rsidRPr="00220038">
        <w:rPr>
          <w:lang w:val="en-US"/>
        </w:rPr>
        <w:t xml:space="preserve">outcome </w:t>
      </w:r>
      <w:r w:rsidR="002613AF" w:rsidRPr="00220038">
        <w:rPr>
          <w:lang w:val="en-US"/>
        </w:rPr>
        <w:t xml:space="preserve">variable takes the value of 1 when a respondent indicated that </w:t>
      </w:r>
      <w:r w:rsidR="00740BC6" w:rsidRPr="00220038">
        <w:rPr>
          <w:lang w:val="en-US"/>
        </w:rPr>
        <w:t xml:space="preserve">they </w:t>
      </w:r>
      <w:r w:rsidR="00D318E3" w:rsidRPr="00220038">
        <w:rPr>
          <w:lang w:val="en-US"/>
        </w:rPr>
        <w:t xml:space="preserve">view the given actor to be the most competent party to handle the respective policy issue, and 0 if </w:t>
      </w:r>
      <w:r w:rsidR="00740BC6" w:rsidRPr="00220038">
        <w:rPr>
          <w:lang w:val="en-US"/>
        </w:rPr>
        <w:t>not</w:t>
      </w:r>
      <w:r w:rsidR="00D318E3" w:rsidRPr="00220038">
        <w:rPr>
          <w:lang w:val="en-US"/>
        </w:rPr>
        <w:t>. In order to estimate change in issue ownership perceptions, we controlled for a respondent’s perceptions of competence issue ownership at</w:t>
      </w:r>
      <w:r w:rsidR="00D86AA7" w:rsidRPr="00220038">
        <w:rPr>
          <w:lang w:val="en-US"/>
        </w:rPr>
        <w:t xml:space="preserve"> wave </w:t>
      </w:r>
      <w:r w:rsidR="00D318E3" w:rsidRPr="00220038">
        <w:rPr>
          <w:lang w:val="en-US"/>
        </w:rPr>
        <w:t xml:space="preserve">1. </w:t>
      </w:r>
      <w:r w:rsidR="007923F4" w:rsidRPr="00220038">
        <w:rPr>
          <w:lang w:val="en-US"/>
        </w:rPr>
        <w:t xml:space="preserve">Table </w:t>
      </w:r>
      <w:r w:rsidR="001C1649" w:rsidRPr="00220038">
        <w:rPr>
          <w:lang w:val="en-US"/>
        </w:rPr>
        <w:t>A3</w:t>
      </w:r>
      <w:r w:rsidR="007923F4" w:rsidRPr="00220038">
        <w:rPr>
          <w:lang w:val="en-US"/>
        </w:rPr>
        <w:t xml:space="preserve"> and </w:t>
      </w:r>
      <w:r w:rsidR="001C1649" w:rsidRPr="00220038">
        <w:rPr>
          <w:lang w:val="en-US"/>
        </w:rPr>
        <w:t>A4.1-A4.6</w:t>
      </w:r>
      <w:r w:rsidR="007923F4" w:rsidRPr="00220038">
        <w:rPr>
          <w:lang w:val="en-US"/>
        </w:rPr>
        <w:t xml:space="preserve"> in the</w:t>
      </w:r>
      <w:r w:rsidR="001D20B9">
        <w:rPr>
          <w:lang w:val="en-US"/>
        </w:rPr>
        <w:t xml:space="preserve"> online</w:t>
      </w:r>
      <w:r w:rsidR="007923F4" w:rsidRPr="00220038">
        <w:rPr>
          <w:lang w:val="en-US"/>
        </w:rPr>
        <w:t xml:space="preserve"> Appendix </w:t>
      </w:r>
      <w:r w:rsidR="00BE1C9C" w:rsidRPr="00220038">
        <w:rPr>
          <w:lang w:val="en-US"/>
        </w:rPr>
        <w:t>display recorded dynamics in vote intentions and issue ownership perceptions between the first and second</w:t>
      </w:r>
      <w:r w:rsidR="00D86AA7" w:rsidRPr="00220038">
        <w:rPr>
          <w:lang w:val="en-US"/>
        </w:rPr>
        <w:t xml:space="preserve"> wave </w:t>
      </w:r>
      <w:r w:rsidR="00BE1C9C" w:rsidRPr="00220038">
        <w:rPr>
          <w:lang w:val="en-US"/>
        </w:rPr>
        <w:t>of the interview.</w:t>
      </w:r>
    </w:p>
    <w:p w14:paraId="1683293C" w14:textId="7F5719D6" w:rsidR="009F74E5" w:rsidRPr="00220038" w:rsidRDefault="001E16BF" w:rsidP="009F74E5">
      <w:pPr>
        <w:pStyle w:val="Titre2"/>
        <w:rPr>
          <w:lang w:val="en-US"/>
        </w:rPr>
      </w:pPr>
      <w:r>
        <w:rPr>
          <w:lang w:val="en-US"/>
        </w:rPr>
        <w:t>Variables of I</w:t>
      </w:r>
      <w:r w:rsidR="009F74E5" w:rsidRPr="00220038">
        <w:rPr>
          <w:lang w:val="en-US"/>
        </w:rPr>
        <w:t>nterest</w:t>
      </w:r>
    </w:p>
    <w:p w14:paraId="44144660" w14:textId="362C6367" w:rsidR="00044A96" w:rsidRPr="00220038" w:rsidRDefault="000256CC" w:rsidP="009F74E5">
      <w:pPr>
        <w:rPr>
          <w:rFonts w:cs="Times New Roman"/>
          <w:lang w:val="en-US"/>
        </w:rPr>
      </w:pPr>
      <w:r w:rsidRPr="00220038">
        <w:rPr>
          <w:rFonts w:cs="Times New Roman"/>
          <w:lang w:val="en-US"/>
        </w:rPr>
        <w:t>We</w:t>
      </w:r>
      <w:r w:rsidR="009F74E5" w:rsidRPr="00220038">
        <w:rPr>
          <w:rFonts w:cs="Times New Roman"/>
          <w:lang w:val="en-US"/>
        </w:rPr>
        <w:t xml:space="preserve"> </w:t>
      </w:r>
      <w:r w:rsidRPr="00220038">
        <w:rPr>
          <w:rFonts w:cs="Times New Roman"/>
          <w:lang w:val="en-US"/>
        </w:rPr>
        <w:t>intended</w:t>
      </w:r>
      <w:r w:rsidR="009F74E5" w:rsidRPr="00220038">
        <w:rPr>
          <w:rFonts w:cs="Times New Roman"/>
          <w:lang w:val="en-US"/>
        </w:rPr>
        <w:t xml:space="preserve"> to capture campaign exposure at the individual level. For each individual that consumed a particular printed newspaper, potenti</w:t>
      </w:r>
      <w:r w:rsidRPr="00220038">
        <w:rPr>
          <w:rFonts w:cs="Times New Roman"/>
          <w:lang w:val="en-US"/>
        </w:rPr>
        <w:t>al</w:t>
      </w:r>
      <w:r w:rsidR="009F74E5" w:rsidRPr="00220038">
        <w:rPr>
          <w:rFonts w:cs="Times New Roman"/>
          <w:lang w:val="en-US"/>
        </w:rPr>
        <w:t xml:space="preserve"> campaign exposure is expressed as the amount of </w:t>
      </w:r>
      <w:r w:rsidR="00044A96" w:rsidRPr="00220038">
        <w:rPr>
          <w:rFonts w:cs="Times New Roman"/>
          <w:lang w:val="en-US"/>
        </w:rPr>
        <w:t xml:space="preserve">FDP and SVP </w:t>
      </w:r>
      <w:r w:rsidR="009F74E5" w:rsidRPr="00220038">
        <w:rPr>
          <w:rFonts w:cs="Times New Roman"/>
          <w:lang w:val="en-US"/>
        </w:rPr>
        <w:t>campaign ads in the respective newspaper up to the day of the second interview. For example, a value of 30 for SVP advertisements signifies that a respondent ha</w:t>
      </w:r>
      <w:r w:rsidR="00914973" w:rsidRPr="00220038">
        <w:rPr>
          <w:rFonts w:cs="Times New Roman"/>
          <w:lang w:val="en-US"/>
        </w:rPr>
        <w:t>d</w:t>
      </w:r>
      <w:r w:rsidR="009F74E5" w:rsidRPr="00220038">
        <w:rPr>
          <w:rFonts w:cs="Times New Roman"/>
          <w:lang w:val="en-US"/>
        </w:rPr>
        <w:t xml:space="preserve"> </w:t>
      </w:r>
      <w:r w:rsidR="0072207F" w:rsidRPr="00220038">
        <w:rPr>
          <w:rFonts w:cs="Times New Roman"/>
          <w:lang w:val="en-US"/>
        </w:rPr>
        <w:t xml:space="preserve">read </w:t>
      </w:r>
      <w:r w:rsidR="009F74E5" w:rsidRPr="00220038">
        <w:rPr>
          <w:rFonts w:cs="Times New Roman"/>
          <w:lang w:val="en-US"/>
        </w:rPr>
        <w:t xml:space="preserve">a newspaper where 30 ads of this party </w:t>
      </w:r>
      <w:r w:rsidR="00CF2DFE" w:rsidRPr="00220038">
        <w:rPr>
          <w:rFonts w:cs="Times New Roman"/>
          <w:lang w:val="en-US"/>
        </w:rPr>
        <w:t>were</w:t>
      </w:r>
      <w:r w:rsidR="009F74E5" w:rsidRPr="00220038">
        <w:rPr>
          <w:rFonts w:cs="Times New Roman"/>
          <w:lang w:val="en-US"/>
        </w:rPr>
        <w:t xml:space="preserve"> published from 1</w:t>
      </w:r>
      <w:r w:rsidR="00CF2DFE" w:rsidRPr="00220038">
        <w:rPr>
          <w:rFonts w:cs="Times New Roman"/>
          <w:lang w:val="en-US"/>
        </w:rPr>
        <w:t xml:space="preserve"> </w:t>
      </w:r>
      <w:r w:rsidR="009F74E5" w:rsidRPr="00220038">
        <w:rPr>
          <w:rFonts w:cs="Times New Roman"/>
          <w:lang w:val="en-US"/>
        </w:rPr>
        <w:t xml:space="preserve">August (end of </w:t>
      </w:r>
      <w:r w:rsidR="0084006C" w:rsidRPr="00220038">
        <w:rPr>
          <w:rFonts w:cs="Times New Roman"/>
          <w:lang w:val="en-US"/>
        </w:rPr>
        <w:t xml:space="preserve">wave </w:t>
      </w:r>
      <w:r w:rsidR="009F74E5" w:rsidRPr="00220038">
        <w:rPr>
          <w:rFonts w:cs="Times New Roman"/>
          <w:lang w:val="en-US"/>
        </w:rPr>
        <w:t>1) up to the day of the respondent’s second interview. However, since our variable of interest is strongly skewed to the right</w:t>
      </w:r>
      <w:r w:rsidR="00CF2DFE" w:rsidRPr="00220038">
        <w:rPr>
          <w:rFonts w:cs="Times New Roman"/>
          <w:lang w:val="en-US"/>
        </w:rPr>
        <w:t>,</w:t>
      </w:r>
      <w:r w:rsidR="009F74E5" w:rsidRPr="00220038">
        <w:rPr>
          <w:rFonts w:cs="Times New Roman"/>
          <w:lang w:val="en-US"/>
        </w:rPr>
        <w:t xml:space="preserve"> and given that the marginal return of campaign advertisements may diminish with increasingly high values, we transformed our variable using the square root function.</w:t>
      </w:r>
      <w:r w:rsidR="009F74E5" w:rsidRPr="00220038">
        <w:rPr>
          <w:rStyle w:val="Appelnotedebasdep"/>
          <w:rFonts w:cs="Times New Roman"/>
          <w:lang w:val="en-US"/>
        </w:rPr>
        <w:footnoteReference w:id="5"/>
      </w:r>
      <w:r w:rsidR="009F74E5" w:rsidRPr="00220038">
        <w:rPr>
          <w:rFonts w:cs="Times New Roman"/>
          <w:lang w:val="en-US"/>
        </w:rPr>
        <w:t xml:space="preserve"> </w:t>
      </w:r>
      <w:r w:rsidR="00CF2DFE" w:rsidRPr="00220038">
        <w:rPr>
          <w:rFonts w:cs="Times New Roman"/>
          <w:lang w:val="en-US"/>
        </w:rPr>
        <w:t>Besides</w:t>
      </w:r>
      <w:r w:rsidR="009F74E5" w:rsidRPr="00220038">
        <w:rPr>
          <w:rFonts w:cs="Times New Roman"/>
          <w:lang w:val="en-US"/>
        </w:rPr>
        <w:t xml:space="preserve"> the overall amount of advertisements, we also inserted variables that capture the </w:t>
      </w:r>
      <w:r w:rsidR="00914973" w:rsidRPr="00220038">
        <w:rPr>
          <w:rFonts w:cs="Times New Roman"/>
          <w:lang w:val="en-US"/>
        </w:rPr>
        <w:t xml:space="preserve">number </w:t>
      </w:r>
      <w:r w:rsidR="009F74E5" w:rsidRPr="00220038">
        <w:rPr>
          <w:rFonts w:cs="Times New Roman"/>
          <w:lang w:val="en-US"/>
        </w:rPr>
        <w:t>of issue-specific campaign ads that a voter ha</w:t>
      </w:r>
      <w:r w:rsidR="00914973" w:rsidRPr="00220038">
        <w:rPr>
          <w:rFonts w:cs="Times New Roman"/>
          <w:lang w:val="en-US"/>
        </w:rPr>
        <w:t>d</w:t>
      </w:r>
      <w:r w:rsidR="009F74E5" w:rsidRPr="00220038">
        <w:rPr>
          <w:rFonts w:cs="Times New Roman"/>
          <w:lang w:val="en-US"/>
        </w:rPr>
        <w:t xml:space="preserve"> been exposed to </w:t>
      </w:r>
      <w:r w:rsidRPr="00220038">
        <w:rPr>
          <w:rFonts w:cs="Times New Roman"/>
          <w:lang w:val="en-US"/>
        </w:rPr>
        <w:t xml:space="preserve">by </w:t>
      </w:r>
      <w:r w:rsidR="009F74E5" w:rsidRPr="00220038">
        <w:rPr>
          <w:rFonts w:cs="Times New Roman"/>
          <w:lang w:val="en-US"/>
        </w:rPr>
        <w:t>the day of the second interview.</w:t>
      </w:r>
      <w:r w:rsidR="0050203F" w:rsidRPr="00220038">
        <w:rPr>
          <w:rFonts w:cs="Times New Roman"/>
          <w:lang w:val="en-US"/>
        </w:rPr>
        <w:t xml:space="preserve"> </w:t>
      </w:r>
      <w:r w:rsidR="009F74E5" w:rsidRPr="00220038">
        <w:rPr>
          <w:rFonts w:cs="Times New Roman"/>
          <w:lang w:val="en-US"/>
        </w:rPr>
        <w:t>Again, we transformed these values using the square root function.</w:t>
      </w:r>
      <w:r w:rsidR="003E7ED0" w:rsidRPr="00220038">
        <w:rPr>
          <w:rFonts w:cs="Times New Roman"/>
          <w:lang w:val="en-US"/>
        </w:rPr>
        <w:t xml:space="preserve"> </w:t>
      </w:r>
      <w:r w:rsidR="00BB0C89" w:rsidRPr="00220038">
        <w:rPr>
          <w:rFonts w:cs="Times New Roman"/>
          <w:lang w:val="en-US"/>
        </w:rPr>
        <w:t>T</w:t>
      </w:r>
      <w:r w:rsidR="003E7ED0" w:rsidRPr="00220038">
        <w:rPr>
          <w:rFonts w:cs="Times New Roman"/>
          <w:lang w:val="en-US"/>
        </w:rPr>
        <w:t>o test for the robustness of the finding, we also employed alternative variable specifications.</w:t>
      </w:r>
      <w:r w:rsidR="003E7ED0" w:rsidRPr="00220038">
        <w:rPr>
          <w:rStyle w:val="Appelnotedebasdep"/>
          <w:rFonts w:cs="Times New Roman"/>
          <w:lang w:val="en-US"/>
        </w:rPr>
        <w:footnoteReference w:id="6"/>
      </w:r>
      <w:r w:rsidR="003E7ED0" w:rsidRPr="00220038">
        <w:rPr>
          <w:rFonts w:cs="Times New Roman"/>
          <w:lang w:val="en-US"/>
        </w:rPr>
        <w:t xml:space="preserve"> Although most of these tests confirmed our findings, not all results proved to be fully robust. We report these cases in the result section.</w:t>
      </w:r>
      <w:r w:rsidR="009F74E5" w:rsidRPr="00220038">
        <w:rPr>
          <w:rFonts w:cs="Times New Roman"/>
          <w:lang w:val="en-US"/>
        </w:rPr>
        <w:t xml:space="preserve"> </w:t>
      </w:r>
    </w:p>
    <w:p w14:paraId="58DCBA26" w14:textId="7D6794DE" w:rsidR="0050203F" w:rsidRPr="00220038" w:rsidRDefault="004A19B4" w:rsidP="009F74E5">
      <w:pPr>
        <w:rPr>
          <w:rFonts w:cs="Times New Roman"/>
          <w:lang w:val="en-US"/>
        </w:rPr>
      </w:pPr>
      <w:proofErr w:type="spellStart"/>
      <w:r w:rsidRPr="00220038">
        <w:rPr>
          <w:rFonts w:cs="Times New Roman"/>
          <w:lang w:val="en-US"/>
        </w:rPr>
        <w:lastRenderedPageBreak/>
        <w:t>Scharkow</w:t>
      </w:r>
      <w:proofErr w:type="spellEnd"/>
      <w:r w:rsidRPr="00220038">
        <w:rPr>
          <w:rFonts w:cs="Times New Roman"/>
          <w:lang w:val="en-US"/>
        </w:rPr>
        <w:t xml:space="preserve"> and </w:t>
      </w:r>
      <w:proofErr w:type="spellStart"/>
      <w:r w:rsidRPr="00220038">
        <w:rPr>
          <w:rFonts w:cs="Times New Roman"/>
          <w:lang w:val="en-US"/>
        </w:rPr>
        <w:t>Bachl</w:t>
      </w:r>
      <w:proofErr w:type="spellEnd"/>
      <w:r w:rsidRPr="00220038">
        <w:rPr>
          <w:rFonts w:cs="Times New Roman"/>
          <w:lang w:val="en-US"/>
        </w:rPr>
        <w:t xml:space="preserve"> (2017</w:t>
      </w:r>
      <w:r w:rsidR="007A1DEF" w:rsidRPr="00220038">
        <w:rPr>
          <w:rFonts w:cs="Times New Roman"/>
          <w:lang w:val="en-US"/>
        </w:rPr>
        <w:t>: 334</w:t>
      </w:r>
      <w:r w:rsidRPr="00220038">
        <w:rPr>
          <w:rFonts w:cs="Times New Roman"/>
          <w:lang w:val="en-US"/>
        </w:rPr>
        <w:t xml:space="preserve">) convincingly demonstrate that </w:t>
      </w:r>
      <w:r w:rsidR="004404EA" w:rsidRPr="00220038">
        <w:rPr>
          <w:rFonts w:cs="Times New Roman"/>
          <w:lang w:val="en-US"/>
        </w:rPr>
        <w:t xml:space="preserve">measurement error in the media content analysis </w:t>
      </w:r>
      <w:r w:rsidRPr="00220038">
        <w:rPr>
          <w:rFonts w:cs="Times New Roman"/>
          <w:lang w:val="en-US"/>
        </w:rPr>
        <w:t xml:space="preserve">may lead to a substantial underestimation of media effects. According to the authors, the problem is aggravated when the observed phenomenon is rare. </w:t>
      </w:r>
      <w:r w:rsidR="008A63C0" w:rsidRPr="00220038">
        <w:rPr>
          <w:rFonts w:cs="Times New Roman"/>
          <w:lang w:val="en-US"/>
        </w:rPr>
        <w:t>Results</w:t>
      </w:r>
      <w:r w:rsidR="0086529D" w:rsidRPr="00220038">
        <w:rPr>
          <w:rFonts w:cs="Times New Roman"/>
          <w:lang w:val="en-US"/>
        </w:rPr>
        <w:t xml:space="preserve"> </w:t>
      </w:r>
      <w:r w:rsidR="001323AD" w:rsidRPr="00220038">
        <w:rPr>
          <w:rFonts w:cs="Times New Roman"/>
          <w:lang w:val="en-US"/>
        </w:rPr>
        <w:t xml:space="preserve">of our intercoder reliability test </w:t>
      </w:r>
      <w:r w:rsidR="008A63C0" w:rsidRPr="00220038">
        <w:rPr>
          <w:rFonts w:cs="Times New Roman"/>
          <w:lang w:val="en-US"/>
        </w:rPr>
        <w:t>reveal excellent coding agreement for the two rarer items (</w:t>
      </w:r>
      <w:r w:rsidR="00670474" w:rsidRPr="00220038">
        <w:rPr>
          <w:rFonts w:cs="Times New Roman"/>
          <w:lang w:val="en-US"/>
        </w:rPr>
        <w:t xml:space="preserve">migration and </w:t>
      </w:r>
      <w:r w:rsidR="00700C55" w:rsidRPr="00220038">
        <w:rPr>
          <w:rFonts w:cs="Times New Roman"/>
          <w:lang w:val="en-US"/>
        </w:rPr>
        <w:t>relations to the EU</w:t>
      </w:r>
      <w:r w:rsidR="008A63C0" w:rsidRPr="00220038">
        <w:rPr>
          <w:rFonts w:cs="Times New Roman"/>
          <w:lang w:val="en-US"/>
        </w:rPr>
        <w:t xml:space="preserve">) and </w:t>
      </w:r>
      <w:r w:rsidR="00F32D1E" w:rsidRPr="00220038">
        <w:rPr>
          <w:rFonts w:cs="Times New Roman"/>
          <w:lang w:val="en-US"/>
        </w:rPr>
        <w:t>substantial agreement for the most prominent topic of the campaign</w:t>
      </w:r>
      <w:r w:rsidR="00771A92" w:rsidRPr="00220038">
        <w:rPr>
          <w:rFonts w:cs="Times New Roman"/>
          <w:lang w:val="en-US"/>
        </w:rPr>
        <w:t xml:space="preserve"> in terms of advertisement place in printed newspaper</w:t>
      </w:r>
      <w:r w:rsidR="00F32D1E" w:rsidRPr="00220038">
        <w:rPr>
          <w:rFonts w:cs="Times New Roman"/>
          <w:lang w:val="en-US"/>
        </w:rPr>
        <w:t>, the economy</w:t>
      </w:r>
      <w:r w:rsidR="00636F74" w:rsidRPr="00220038">
        <w:rPr>
          <w:rFonts w:cs="Times New Roman"/>
          <w:lang w:val="en-US"/>
        </w:rPr>
        <w:t xml:space="preserve"> (see below)</w:t>
      </w:r>
      <w:r w:rsidR="00F32D1E" w:rsidRPr="00220038">
        <w:rPr>
          <w:rFonts w:cs="Times New Roman"/>
          <w:lang w:val="en-US"/>
        </w:rPr>
        <w:t>.</w:t>
      </w:r>
      <w:r w:rsidR="00F32D1E" w:rsidRPr="00220038">
        <w:rPr>
          <w:rStyle w:val="Appelnotedebasdep"/>
          <w:rFonts w:cs="Times New Roman"/>
          <w:lang w:val="en-US"/>
        </w:rPr>
        <w:footnoteReference w:id="7"/>
      </w:r>
      <w:r w:rsidR="003C08D4" w:rsidRPr="00220038">
        <w:rPr>
          <w:rFonts w:cs="Times New Roman"/>
          <w:lang w:val="en-US"/>
        </w:rPr>
        <w:t xml:space="preserve"> </w:t>
      </w:r>
    </w:p>
    <w:p w14:paraId="26DE2583" w14:textId="5F3AFFC2" w:rsidR="009F74E5" w:rsidRPr="00220038" w:rsidRDefault="009F74E5" w:rsidP="009F74E5">
      <w:pPr>
        <w:rPr>
          <w:rFonts w:cs="Times New Roman"/>
          <w:lang w:val="en-US"/>
        </w:rPr>
      </w:pPr>
      <w:r w:rsidRPr="00220038">
        <w:rPr>
          <w:rFonts w:cs="Times New Roman"/>
          <w:lang w:val="en-US"/>
        </w:rPr>
        <w:t>Table 1 displays the campaign activity of the seven major part</w:t>
      </w:r>
      <w:r w:rsidR="00E11D71" w:rsidRPr="00220038">
        <w:rPr>
          <w:rFonts w:cs="Times New Roman"/>
          <w:lang w:val="en-US"/>
        </w:rPr>
        <w:t>ies</w:t>
      </w:r>
      <w:r w:rsidRPr="00220038">
        <w:rPr>
          <w:rFonts w:cs="Times New Roman"/>
          <w:lang w:val="en-US"/>
        </w:rPr>
        <w:t xml:space="preserve"> for the three issues that were central to the campaign of the SVP and the FDP</w:t>
      </w:r>
      <w:r w:rsidR="0050203F" w:rsidRPr="00220038">
        <w:rPr>
          <w:rFonts w:cs="Times New Roman"/>
          <w:lang w:val="en-US"/>
        </w:rPr>
        <w:t xml:space="preserve"> and that are analy</w:t>
      </w:r>
      <w:r w:rsidR="00E11D71" w:rsidRPr="00220038">
        <w:rPr>
          <w:rFonts w:cs="Times New Roman"/>
          <w:lang w:val="en-US"/>
        </w:rPr>
        <w:t>z</w:t>
      </w:r>
      <w:r w:rsidR="0050203F" w:rsidRPr="00220038">
        <w:rPr>
          <w:rFonts w:cs="Times New Roman"/>
          <w:lang w:val="en-US"/>
        </w:rPr>
        <w:t>ed in the framework of this study</w:t>
      </w:r>
      <w:r w:rsidRPr="00220038">
        <w:rPr>
          <w:rFonts w:cs="Times New Roman"/>
          <w:lang w:val="en-US"/>
        </w:rPr>
        <w:t xml:space="preserve">. The table </w:t>
      </w:r>
      <w:r w:rsidRPr="00220038">
        <w:rPr>
          <w:lang w:val="en-US"/>
        </w:rPr>
        <w:t>confirms that the SVP and the FDP took a leading role in terms of overall number of advertisements published in printed newspapers, followed by the Christian Democrats (CVP) and the SP. Compared to the bigger parties</w:t>
      </w:r>
      <w:r w:rsidR="005C778E" w:rsidRPr="00220038">
        <w:rPr>
          <w:lang w:val="en-US"/>
        </w:rPr>
        <w:t>,</w:t>
      </w:r>
      <w:r w:rsidRPr="00220038">
        <w:rPr>
          <w:lang w:val="en-US"/>
        </w:rPr>
        <w:t xml:space="preserve"> </w:t>
      </w:r>
      <w:r w:rsidR="005C778E" w:rsidRPr="00220038">
        <w:rPr>
          <w:lang w:val="en-US"/>
        </w:rPr>
        <w:t>the sma</w:t>
      </w:r>
      <w:r w:rsidR="00A50AA0" w:rsidRPr="00220038">
        <w:rPr>
          <w:lang w:val="en-US"/>
        </w:rPr>
        <w:t>ller parties of the Greens</w:t>
      </w:r>
      <w:r w:rsidR="005C778E" w:rsidRPr="00220038">
        <w:rPr>
          <w:lang w:val="en-US"/>
        </w:rPr>
        <w:t>, the Green Liberals (GLP) and the Bourgeois Democratic Party (</w:t>
      </w:r>
      <w:proofErr w:type="spellStart"/>
      <w:r w:rsidR="005C778E" w:rsidRPr="00220038">
        <w:rPr>
          <w:lang w:val="en-US"/>
        </w:rPr>
        <w:t>BDP</w:t>
      </w:r>
      <w:proofErr w:type="spellEnd"/>
      <w:r w:rsidR="005C778E" w:rsidRPr="00220038">
        <w:rPr>
          <w:lang w:val="en-US"/>
        </w:rPr>
        <w:t xml:space="preserve">) were </w:t>
      </w:r>
      <w:r w:rsidRPr="00220038">
        <w:rPr>
          <w:lang w:val="en-US"/>
        </w:rPr>
        <w:t xml:space="preserve">only marginally present in terms of ads. Turning to issue-specific ads, the topics of economy </w:t>
      </w:r>
      <w:r w:rsidR="004063C3" w:rsidRPr="00220038">
        <w:rPr>
          <w:lang w:val="en-US"/>
        </w:rPr>
        <w:t>was the most</w:t>
      </w:r>
      <w:r w:rsidRPr="00220038">
        <w:rPr>
          <w:lang w:val="en-US"/>
        </w:rPr>
        <w:t xml:space="preserve"> frequently mentioned campaign issue, </w:t>
      </w:r>
      <w:r w:rsidR="004063C3" w:rsidRPr="00220038">
        <w:rPr>
          <w:lang w:val="en-US"/>
        </w:rPr>
        <w:t>followed by migration and</w:t>
      </w:r>
      <w:r w:rsidRPr="00220038">
        <w:rPr>
          <w:lang w:val="en-US"/>
        </w:rPr>
        <w:t xml:space="preserve"> </w:t>
      </w:r>
      <w:r w:rsidR="00700C55" w:rsidRPr="00220038">
        <w:rPr>
          <w:lang w:val="en-US"/>
        </w:rPr>
        <w:t>relations to the EU</w:t>
      </w:r>
      <w:r w:rsidRPr="00220038">
        <w:rPr>
          <w:lang w:val="en-US"/>
        </w:rPr>
        <w:t>. Other issues</w:t>
      </w:r>
      <w:r w:rsidR="00A56817" w:rsidRPr="00220038">
        <w:rPr>
          <w:lang w:val="en-US"/>
        </w:rPr>
        <w:t xml:space="preserve">, such as </w:t>
      </w:r>
      <w:r w:rsidRPr="00220038">
        <w:rPr>
          <w:lang w:val="en-US"/>
        </w:rPr>
        <w:t xml:space="preserve">social security and </w:t>
      </w:r>
      <w:r w:rsidR="00A56817" w:rsidRPr="00220038">
        <w:rPr>
          <w:lang w:val="en-US"/>
        </w:rPr>
        <w:t xml:space="preserve">the </w:t>
      </w:r>
      <w:r w:rsidRPr="00220038">
        <w:rPr>
          <w:lang w:val="en-US"/>
        </w:rPr>
        <w:t>environment</w:t>
      </w:r>
      <w:r w:rsidR="00A56817" w:rsidRPr="00220038">
        <w:rPr>
          <w:lang w:val="en-US"/>
        </w:rPr>
        <w:t>,</w:t>
      </w:r>
      <w:r w:rsidRPr="00220038">
        <w:rPr>
          <w:lang w:val="en-US"/>
        </w:rPr>
        <w:t xml:space="preserve"> were far less </w:t>
      </w:r>
      <w:r w:rsidR="00A50AA0" w:rsidRPr="00220038">
        <w:rPr>
          <w:lang w:val="en-US"/>
        </w:rPr>
        <w:t xml:space="preserve">prominent </w:t>
      </w:r>
      <w:r w:rsidRPr="00220038">
        <w:rPr>
          <w:lang w:val="en-US"/>
        </w:rPr>
        <w:t>in newspaper ads (</w:t>
      </w:r>
      <w:proofErr w:type="spellStart"/>
      <w:r w:rsidRPr="00220038">
        <w:rPr>
          <w:lang w:val="en-US"/>
        </w:rPr>
        <w:t>Bühlmann</w:t>
      </w:r>
      <w:proofErr w:type="spellEnd"/>
      <w:r w:rsidRPr="00220038">
        <w:rPr>
          <w:lang w:val="en-US"/>
        </w:rPr>
        <w:t xml:space="preserve"> et al. 2016). While the issues of social security and </w:t>
      </w:r>
      <w:r w:rsidR="00A3243C" w:rsidRPr="00220038">
        <w:rPr>
          <w:lang w:val="en-US"/>
        </w:rPr>
        <w:t xml:space="preserve">the </w:t>
      </w:r>
      <w:r w:rsidRPr="00220038">
        <w:rPr>
          <w:lang w:val="en-US"/>
        </w:rPr>
        <w:t xml:space="preserve">environment were mostly promoted by the </w:t>
      </w:r>
      <w:r w:rsidR="00A50AA0" w:rsidRPr="00220038">
        <w:rPr>
          <w:lang w:val="en-US"/>
        </w:rPr>
        <w:t>SP</w:t>
      </w:r>
      <w:r w:rsidRPr="00220038">
        <w:rPr>
          <w:lang w:val="en-US"/>
        </w:rPr>
        <w:t xml:space="preserve"> and the Greens respectively (ibid.), the topic of </w:t>
      </w:r>
      <w:r w:rsidR="00700C55" w:rsidRPr="00220038">
        <w:rPr>
          <w:lang w:val="en-US"/>
        </w:rPr>
        <w:t xml:space="preserve">relations to the EU </w:t>
      </w:r>
      <w:r w:rsidRPr="00220038">
        <w:rPr>
          <w:lang w:val="en-US"/>
        </w:rPr>
        <w:t xml:space="preserve">was </w:t>
      </w:r>
      <w:r w:rsidR="002E612E" w:rsidRPr="00220038">
        <w:rPr>
          <w:lang w:val="en-US"/>
        </w:rPr>
        <w:t>mainly</w:t>
      </w:r>
      <w:r w:rsidRPr="00220038">
        <w:rPr>
          <w:lang w:val="en-US"/>
        </w:rPr>
        <w:t xml:space="preserve"> </w:t>
      </w:r>
      <w:r w:rsidR="002E612E" w:rsidRPr="00220038">
        <w:rPr>
          <w:lang w:val="en-US"/>
        </w:rPr>
        <w:t xml:space="preserve">used </w:t>
      </w:r>
      <w:r w:rsidRPr="00220038">
        <w:rPr>
          <w:lang w:val="en-US"/>
        </w:rPr>
        <w:t>by the SVP and</w:t>
      </w:r>
      <w:r w:rsidR="00A3243C" w:rsidRPr="00220038">
        <w:rPr>
          <w:lang w:val="en-US"/>
        </w:rPr>
        <w:t>,</w:t>
      </w:r>
      <w:r w:rsidRPr="00220038">
        <w:rPr>
          <w:lang w:val="en-US"/>
        </w:rPr>
        <w:t xml:space="preserve"> to </w:t>
      </w:r>
      <w:r w:rsidR="002E612E" w:rsidRPr="00220038">
        <w:rPr>
          <w:lang w:val="en-US"/>
        </w:rPr>
        <w:t xml:space="preserve">a lesser </w:t>
      </w:r>
      <w:r w:rsidRPr="00220038">
        <w:rPr>
          <w:lang w:val="en-US"/>
        </w:rPr>
        <w:t>extent</w:t>
      </w:r>
      <w:r w:rsidR="00A3243C" w:rsidRPr="00220038">
        <w:rPr>
          <w:lang w:val="en-US"/>
        </w:rPr>
        <w:t>,</w:t>
      </w:r>
      <w:r w:rsidRPr="00220038">
        <w:rPr>
          <w:lang w:val="en-US"/>
        </w:rPr>
        <w:t xml:space="preserve"> by the FDP.</w:t>
      </w:r>
      <w:r w:rsidRPr="00220038">
        <w:rPr>
          <w:rStyle w:val="Appelnotedebasdep"/>
          <w:lang w:val="en-US"/>
        </w:rPr>
        <w:footnoteReference w:id="8"/>
      </w:r>
    </w:p>
    <w:p w14:paraId="3351E709" w14:textId="579CED5A" w:rsidR="009F74E5" w:rsidRPr="00220038" w:rsidRDefault="001E16BF" w:rsidP="009F74E5">
      <w:pPr>
        <w:widowControl w:val="0"/>
        <w:autoSpaceDE w:val="0"/>
        <w:autoSpaceDN w:val="0"/>
        <w:adjustRightInd w:val="0"/>
        <w:spacing w:after="120" w:line="240" w:lineRule="auto"/>
        <w:rPr>
          <w:rFonts w:cs="Times New Roman"/>
          <w:b/>
          <w:szCs w:val="22"/>
          <w:lang w:val="en-US"/>
        </w:rPr>
      </w:pPr>
      <w:r>
        <w:rPr>
          <w:rFonts w:cs="Times New Roman"/>
          <w:b/>
          <w:szCs w:val="22"/>
          <w:lang w:val="en-US"/>
        </w:rPr>
        <w:t>Table 1: Issue-Specific Advertisements Published by the Seven Major P</w:t>
      </w:r>
      <w:r w:rsidR="009F74E5" w:rsidRPr="00220038">
        <w:rPr>
          <w:rFonts w:cs="Times New Roman"/>
          <w:b/>
          <w:szCs w:val="22"/>
          <w:lang w:val="en-US"/>
        </w:rPr>
        <w:t>arties</w:t>
      </w:r>
    </w:p>
    <w:tbl>
      <w:tblPr>
        <w:tblStyle w:val="Grilledutableau"/>
        <w:tblW w:w="9464" w:type="dxa"/>
        <w:tblLayout w:type="fixed"/>
        <w:tblLook w:val="04A0" w:firstRow="1" w:lastRow="0" w:firstColumn="1" w:lastColumn="0" w:noHBand="0" w:noVBand="1"/>
      </w:tblPr>
      <w:tblGrid>
        <w:gridCol w:w="993"/>
        <w:gridCol w:w="981"/>
        <w:gridCol w:w="1248"/>
        <w:gridCol w:w="1248"/>
        <w:gridCol w:w="1249"/>
        <w:gridCol w:w="1248"/>
        <w:gridCol w:w="1248"/>
        <w:gridCol w:w="1249"/>
      </w:tblGrid>
      <w:tr w:rsidR="009F74E5" w:rsidRPr="00220038" w14:paraId="1E3F53BD" w14:textId="77777777" w:rsidTr="006840C5">
        <w:tc>
          <w:tcPr>
            <w:tcW w:w="993" w:type="dxa"/>
            <w:tcBorders>
              <w:left w:val="nil"/>
              <w:bottom w:val="single" w:sz="4" w:space="0" w:color="auto"/>
            </w:tcBorders>
            <w:vAlign w:val="center"/>
          </w:tcPr>
          <w:p w14:paraId="681912F1" w14:textId="77777777" w:rsidR="009F74E5" w:rsidRPr="00220038" w:rsidRDefault="009F74E5" w:rsidP="006840C5">
            <w:pPr>
              <w:widowControl w:val="0"/>
              <w:autoSpaceDE w:val="0"/>
              <w:autoSpaceDN w:val="0"/>
              <w:adjustRightInd w:val="0"/>
              <w:spacing w:after="0" w:line="240" w:lineRule="auto"/>
              <w:jc w:val="center"/>
              <w:rPr>
                <w:rFonts w:cs="Times New Roman"/>
                <w:i/>
                <w:lang w:val="en-US"/>
              </w:rPr>
            </w:pPr>
          </w:p>
        </w:tc>
        <w:tc>
          <w:tcPr>
            <w:tcW w:w="2229" w:type="dxa"/>
            <w:gridSpan w:val="2"/>
            <w:tcBorders>
              <w:bottom w:val="single" w:sz="4" w:space="0" w:color="auto"/>
            </w:tcBorders>
            <w:vAlign w:val="center"/>
          </w:tcPr>
          <w:p w14:paraId="24F89D1E" w14:textId="77777777" w:rsidR="009F74E5" w:rsidRPr="00220038" w:rsidRDefault="009F74E5" w:rsidP="006840C5">
            <w:pPr>
              <w:widowControl w:val="0"/>
              <w:autoSpaceDE w:val="0"/>
              <w:autoSpaceDN w:val="0"/>
              <w:adjustRightInd w:val="0"/>
              <w:spacing w:after="0" w:line="240" w:lineRule="auto"/>
              <w:jc w:val="center"/>
              <w:rPr>
                <w:rFonts w:cs="Times New Roman"/>
                <w:i/>
                <w:lang w:val="en-US"/>
              </w:rPr>
            </w:pPr>
            <w:r w:rsidRPr="00220038">
              <w:rPr>
                <w:rFonts w:cs="Times New Roman"/>
                <w:i/>
                <w:lang w:val="en-US"/>
              </w:rPr>
              <w:t>Migration &amp; Asylum</w:t>
            </w:r>
          </w:p>
        </w:tc>
        <w:tc>
          <w:tcPr>
            <w:tcW w:w="2497" w:type="dxa"/>
            <w:gridSpan w:val="2"/>
            <w:tcBorders>
              <w:bottom w:val="single" w:sz="4" w:space="0" w:color="auto"/>
            </w:tcBorders>
            <w:vAlign w:val="center"/>
          </w:tcPr>
          <w:p w14:paraId="70B03B26" w14:textId="70FA1D8F" w:rsidR="009F74E5" w:rsidRPr="00220038" w:rsidRDefault="00700C55" w:rsidP="006840C5">
            <w:pPr>
              <w:widowControl w:val="0"/>
              <w:autoSpaceDE w:val="0"/>
              <w:autoSpaceDN w:val="0"/>
              <w:adjustRightInd w:val="0"/>
              <w:spacing w:after="0" w:line="240" w:lineRule="auto"/>
              <w:jc w:val="center"/>
              <w:rPr>
                <w:rFonts w:cs="Times New Roman"/>
                <w:i/>
                <w:lang w:val="en-US"/>
              </w:rPr>
            </w:pPr>
            <w:r w:rsidRPr="00220038">
              <w:rPr>
                <w:rFonts w:cs="Times New Roman"/>
                <w:i/>
                <w:lang w:val="en-US"/>
              </w:rPr>
              <w:t>Relations to the EU</w:t>
            </w:r>
          </w:p>
        </w:tc>
        <w:tc>
          <w:tcPr>
            <w:tcW w:w="2496" w:type="dxa"/>
            <w:gridSpan w:val="2"/>
            <w:tcBorders>
              <w:bottom w:val="single" w:sz="4" w:space="0" w:color="auto"/>
            </w:tcBorders>
            <w:vAlign w:val="center"/>
          </w:tcPr>
          <w:p w14:paraId="33DA03F0" w14:textId="77777777" w:rsidR="009F74E5" w:rsidRPr="00220038" w:rsidRDefault="009F74E5" w:rsidP="006840C5">
            <w:pPr>
              <w:widowControl w:val="0"/>
              <w:autoSpaceDE w:val="0"/>
              <w:autoSpaceDN w:val="0"/>
              <w:adjustRightInd w:val="0"/>
              <w:spacing w:after="0" w:line="240" w:lineRule="auto"/>
              <w:jc w:val="center"/>
              <w:rPr>
                <w:rFonts w:cs="Times New Roman"/>
                <w:i/>
                <w:lang w:val="en-US"/>
              </w:rPr>
            </w:pPr>
            <w:r w:rsidRPr="00220038">
              <w:rPr>
                <w:rFonts w:cs="Times New Roman"/>
                <w:i/>
                <w:lang w:val="en-US"/>
              </w:rPr>
              <w:t>Economy</w:t>
            </w:r>
          </w:p>
        </w:tc>
        <w:tc>
          <w:tcPr>
            <w:tcW w:w="1249" w:type="dxa"/>
            <w:tcBorders>
              <w:bottom w:val="single" w:sz="4" w:space="0" w:color="auto"/>
              <w:right w:val="nil"/>
            </w:tcBorders>
            <w:vAlign w:val="center"/>
          </w:tcPr>
          <w:p w14:paraId="4DD5CDA7" w14:textId="77777777" w:rsidR="009F74E5" w:rsidRPr="00220038" w:rsidRDefault="009F74E5" w:rsidP="006840C5">
            <w:pPr>
              <w:widowControl w:val="0"/>
              <w:autoSpaceDE w:val="0"/>
              <w:autoSpaceDN w:val="0"/>
              <w:adjustRightInd w:val="0"/>
              <w:spacing w:after="0" w:line="240" w:lineRule="auto"/>
              <w:jc w:val="center"/>
              <w:rPr>
                <w:rFonts w:cs="Times New Roman"/>
                <w:i/>
                <w:lang w:val="en-US"/>
              </w:rPr>
            </w:pPr>
            <w:r w:rsidRPr="00220038">
              <w:rPr>
                <w:rFonts w:cs="Times New Roman"/>
                <w:i/>
                <w:lang w:val="en-US"/>
              </w:rPr>
              <w:t>Total</w:t>
            </w:r>
          </w:p>
        </w:tc>
      </w:tr>
      <w:tr w:rsidR="009F74E5" w:rsidRPr="00220038" w14:paraId="1E2B7A4D" w14:textId="77777777" w:rsidTr="006840C5">
        <w:trPr>
          <w:trHeight w:hRule="exact" w:val="369"/>
        </w:trPr>
        <w:tc>
          <w:tcPr>
            <w:tcW w:w="993" w:type="dxa"/>
            <w:tcBorders>
              <w:left w:val="nil"/>
              <w:bottom w:val="nil"/>
            </w:tcBorders>
            <w:vAlign w:val="center"/>
          </w:tcPr>
          <w:p w14:paraId="7E7C4BDA" w14:textId="77777777" w:rsidR="009F74E5" w:rsidRPr="00220038" w:rsidRDefault="009F74E5" w:rsidP="006840C5">
            <w:pPr>
              <w:widowControl w:val="0"/>
              <w:autoSpaceDE w:val="0"/>
              <w:autoSpaceDN w:val="0"/>
              <w:adjustRightInd w:val="0"/>
              <w:spacing w:after="0" w:line="240" w:lineRule="auto"/>
              <w:jc w:val="left"/>
              <w:rPr>
                <w:rFonts w:cs="Times New Roman"/>
                <w:lang w:val="en-US"/>
              </w:rPr>
            </w:pPr>
            <w:r w:rsidRPr="00220038">
              <w:rPr>
                <w:rFonts w:cs="Times New Roman"/>
                <w:lang w:val="en-US"/>
              </w:rPr>
              <w:t>SVP</w:t>
            </w:r>
          </w:p>
        </w:tc>
        <w:tc>
          <w:tcPr>
            <w:tcW w:w="981" w:type="dxa"/>
            <w:tcBorders>
              <w:bottom w:val="nil"/>
              <w:right w:val="nil"/>
            </w:tcBorders>
            <w:vAlign w:val="bottom"/>
          </w:tcPr>
          <w:p w14:paraId="0176F45E" w14:textId="77777777" w:rsidR="009F74E5" w:rsidRPr="00220038" w:rsidRDefault="009F74E5" w:rsidP="006840C5">
            <w:pPr>
              <w:jc w:val="right"/>
              <w:rPr>
                <w:rFonts w:cs="Times New Roman"/>
                <w:color w:val="000000"/>
                <w:lang w:val="en-US"/>
              </w:rPr>
            </w:pPr>
            <w:r w:rsidRPr="00220038">
              <w:rPr>
                <w:rFonts w:cs="Times New Roman"/>
                <w:color w:val="000000"/>
                <w:lang w:val="en-US"/>
              </w:rPr>
              <w:t>482</w:t>
            </w:r>
          </w:p>
        </w:tc>
        <w:tc>
          <w:tcPr>
            <w:tcW w:w="1248" w:type="dxa"/>
            <w:tcBorders>
              <w:left w:val="nil"/>
              <w:bottom w:val="nil"/>
            </w:tcBorders>
          </w:tcPr>
          <w:p w14:paraId="4B896B87" w14:textId="77777777" w:rsidR="009F74E5" w:rsidRPr="00220038" w:rsidRDefault="009F74E5" w:rsidP="006840C5">
            <w:pPr>
              <w:jc w:val="left"/>
              <w:rPr>
                <w:rFonts w:cs="Times New Roman"/>
                <w:color w:val="000000"/>
                <w:lang w:val="en-US"/>
              </w:rPr>
            </w:pPr>
            <w:r w:rsidRPr="00220038">
              <w:rPr>
                <w:rFonts w:cs="Times New Roman"/>
                <w:color w:val="000000"/>
                <w:lang w:val="en-US"/>
              </w:rPr>
              <w:t>(29.1%)</w:t>
            </w:r>
          </w:p>
        </w:tc>
        <w:tc>
          <w:tcPr>
            <w:tcW w:w="1248" w:type="dxa"/>
            <w:tcBorders>
              <w:bottom w:val="nil"/>
              <w:right w:val="nil"/>
            </w:tcBorders>
          </w:tcPr>
          <w:p w14:paraId="71EEE86B" w14:textId="77777777" w:rsidR="009F74E5" w:rsidRPr="00220038" w:rsidRDefault="009F74E5" w:rsidP="006840C5">
            <w:pPr>
              <w:jc w:val="right"/>
              <w:rPr>
                <w:rFonts w:cs="Times New Roman"/>
                <w:color w:val="000000"/>
                <w:lang w:val="en-US"/>
              </w:rPr>
            </w:pPr>
            <w:r w:rsidRPr="00220038">
              <w:rPr>
                <w:rFonts w:cs="Times New Roman"/>
                <w:color w:val="000000"/>
                <w:lang w:val="en-US"/>
              </w:rPr>
              <w:t>323</w:t>
            </w:r>
          </w:p>
        </w:tc>
        <w:tc>
          <w:tcPr>
            <w:tcW w:w="1249" w:type="dxa"/>
            <w:tcBorders>
              <w:left w:val="nil"/>
              <w:bottom w:val="nil"/>
            </w:tcBorders>
          </w:tcPr>
          <w:p w14:paraId="75573605" w14:textId="77777777" w:rsidR="009F74E5" w:rsidRPr="00220038" w:rsidRDefault="009F74E5" w:rsidP="006840C5">
            <w:pPr>
              <w:jc w:val="left"/>
              <w:rPr>
                <w:rFonts w:cs="Times New Roman"/>
                <w:color w:val="000000"/>
                <w:lang w:val="en-US"/>
              </w:rPr>
            </w:pPr>
            <w:r w:rsidRPr="00220038">
              <w:rPr>
                <w:rFonts w:cs="Times New Roman"/>
                <w:color w:val="000000"/>
                <w:lang w:val="en-US"/>
              </w:rPr>
              <w:t>(19.5%)</w:t>
            </w:r>
          </w:p>
        </w:tc>
        <w:tc>
          <w:tcPr>
            <w:tcW w:w="1248" w:type="dxa"/>
            <w:tcBorders>
              <w:bottom w:val="nil"/>
              <w:right w:val="nil"/>
            </w:tcBorders>
          </w:tcPr>
          <w:p w14:paraId="2DC0666A" w14:textId="77777777" w:rsidR="009F74E5" w:rsidRPr="00220038" w:rsidRDefault="009F74E5" w:rsidP="006840C5">
            <w:pPr>
              <w:jc w:val="right"/>
              <w:rPr>
                <w:rFonts w:cs="Times New Roman"/>
                <w:color w:val="000000"/>
                <w:lang w:val="en-US"/>
              </w:rPr>
            </w:pPr>
            <w:r w:rsidRPr="00220038">
              <w:rPr>
                <w:rFonts w:cs="Times New Roman"/>
                <w:color w:val="000000"/>
                <w:lang w:val="en-US"/>
              </w:rPr>
              <w:t>230</w:t>
            </w:r>
          </w:p>
        </w:tc>
        <w:tc>
          <w:tcPr>
            <w:tcW w:w="1248" w:type="dxa"/>
            <w:tcBorders>
              <w:left w:val="nil"/>
              <w:bottom w:val="nil"/>
            </w:tcBorders>
          </w:tcPr>
          <w:p w14:paraId="4925A914" w14:textId="77777777" w:rsidR="009F74E5" w:rsidRPr="00220038" w:rsidRDefault="009F74E5" w:rsidP="006840C5">
            <w:pPr>
              <w:jc w:val="left"/>
              <w:rPr>
                <w:rFonts w:cs="Times New Roman"/>
                <w:color w:val="000000"/>
                <w:lang w:val="en-US"/>
              </w:rPr>
            </w:pPr>
            <w:r w:rsidRPr="00220038">
              <w:rPr>
                <w:rFonts w:cs="Times New Roman"/>
                <w:color w:val="000000"/>
                <w:lang w:val="en-US"/>
              </w:rPr>
              <w:t>(13.9%)</w:t>
            </w:r>
          </w:p>
        </w:tc>
        <w:tc>
          <w:tcPr>
            <w:tcW w:w="1249" w:type="dxa"/>
            <w:tcBorders>
              <w:bottom w:val="nil"/>
              <w:right w:val="nil"/>
            </w:tcBorders>
          </w:tcPr>
          <w:p w14:paraId="44D4436D" w14:textId="77777777" w:rsidR="009F74E5" w:rsidRPr="00220038" w:rsidRDefault="009F74E5" w:rsidP="006840C5">
            <w:pPr>
              <w:widowControl w:val="0"/>
              <w:autoSpaceDE w:val="0"/>
              <w:autoSpaceDN w:val="0"/>
              <w:adjustRightInd w:val="0"/>
              <w:spacing w:after="0" w:line="240" w:lineRule="auto"/>
              <w:rPr>
                <w:rFonts w:cs="Times New Roman"/>
                <w:lang w:val="en-US"/>
              </w:rPr>
            </w:pPr>
            <w:r w:rsidRPr="00220038">
              <w:rPr>
                <w:rFonts w:cs="Times New Roman"/>
                <w:lang w:val="en-US"/>
              </w:rPr>
              <w:t>1658</w:t>
            </w:r>
          </w:p>
        </w:tc>
      </w:tr>
      <w:tr w:rsidR="009F74E5" w:rsidRPr="00220038" w14:paraId="1AEA1459" w14:textId="77777777" w:rsidTr="006840C5">
        <w:trPr>
          <w:trHeight w:hRule="exact" w:val="369"/>
        </w:trPr>
        <w:tc>
          <w:tcPr>
            <w:tcW w:w="993" w:type="dxa"/>
            <w:tcBorders>
              <w:top w:val="nil"/>
              <w:left w:val="nil"/>
              <w:bottom w:val="nil"/>
            </w:tcBorders>
            <w:vAlign w:val="center"/>
          </w:tcPr>
          <w:p w14:paraId="04FF9D50" w14:textId="77777777" w:rsidR="009F74E5" w:rsidRPr="00220038" w:rsidRDefault="009F74E5" w:rsidP="006840C5">
            <w:pPr>
              <w:widowControl w:val="0"/>
              <w:autoSpaceDE w:val="0"/>
              <w:autoSpaceDN w:val="0"/>
              <w:adjustRightInd w:val="0"/>
              <w:spacing w:after="0" w:line="240" w:lineRule="auto"/>
              <w:jc w:val="left"/>
              <w:rPr>
                <w:rFonts w:cs="Times New Roman"/>
                <w:lang w:val="en-US"/>
              </w:rPr>
            </w:pPr>
            <w:r w:rsidRPr="00220038">
              <w:rPr>
                <w:rFonts w:cs="Times New Roman"/>
                <w:lang w:val="en-US"/>
              </w:rPr>
              <w:t>FDP</w:t>
            </w:r>
          </w:p>
        </w:tc>
        <w:tc>
          <w:tcPr>
            <w:tcW w:w="981" w:type="dxa"/>
            <w:tcBorders>
              <w:top w:val="nil"/>
              <w:bottom w:val="nil"/>
              <w:right w:val="nil"/>
            </w:tcBorders>
            <w:vAlign w:val="bottom"/>
          </w:tcPr>
          <w:p w14:paraId="5D42C886" w14:textId="77777777" w:rsidR="009F74E5" w:rsidRPr="00220038" w:rsidRDefault="009F74E5" w:rsidP="006840C5">
            <w:pPr>
              <w:jc w:val="right"/>
              <w:rPr>
                <w:rFonts w:cs="Times New Roman"/>
                <w:color w:val="000000"/>
                <w:lang w:val="en-US"/>
              </w:rPr>
            </w:pPr>
            <w:r w:rsidRPr="00220038">
              <w:rPr>
                <w:rFonts w:cs="Times New Roman"/>
                <w:color w:val="000000"/>
                <w:lang w:val="en-US"/>
              </w:rPr>
              <w:t>27</w:t>
            </w:r>
          </w:p>
        </w:tc>
        <w:tc>
          <w:tcPr>
            <w:tcW w:w="1248" w:type="dxa"/>
            <w:tcBorders>
              <w:top w:val="nil"/>
              <w:left w:val="nil"/>
              <w:bottom w:val="nil"/>
            </w:tcBorders>
          </w:tcPr>
          <w:p w14:paraId="66139AF0" w14:textId="77777777" w:rsidR="009F74E5" w:rsidRPr="00220038" w:rsidRDefault="009F74E5" w:rsidP="006840C5">
            <w:pPr>
              <w:jc w:val="left"/>
              <w:rPr>
                <w:rFonts w:cs="Times New Roman"/>
                <w:color w:val="000000"/>
                <w:lang w:val="en-US"/>
              </w:rPr>
            </w:pPr>
            <w:r w:rsidRPr="00220038">
              <w:rPr>
                <w:rFonts w:cs="Times New Roman"/>
                <w:color w:val="000000"/>
                <w:lang w:val="en-US"/>
              </w:rPr>
              <w:t>(1.7%)</w:t>
            </w:r>
          </w:p>
        </w:tc>
        <w:tc>
          <w:tcPr>
            <w:tcW w:w="1248" w:type="dxa"/>
            <w:tcBorders>
              <w:top w:val="nil"/>
              <w:bottom w:val="nil"/>
              <w:right w:val="nil"/>
            </w:tcBorders>
          </w:tcPr>
          <w:p w14:paraId="192BD65C" w14:textId="77777777" w:rsidR="009F74E5" w:rsidRPr="00220038" w:rsidRDefault="009F74E5" w:rsidP="006840C5">
            <w:pPr>
              <w:jc w:val="right"/>
              <w:rPr>
                <w:rFonts w:cs="Times New Roman"/>
                <w:color w:val="000000"/>
                <w:lang w:val="en-US"/>
              </w:rPr>
            </w:pPr>
            <w:r w:rsidRPr="00220038">
              <w:rPr>
                <w:rFonts w:cs="Times New Roman"/>
                <w:color w:val="000000"/>
                <w:lang w:val="en-US"/>
              </w:rPr>
              <w:t>79</w:t>
            </w:r>
          </w:p>
        </w:tc>
        <w:tc>
          <w:tcPr>
            <w:tcW w:w="1249" w:type="dxa"/>
            <w:tcBorders>
              <w:top w:val="nil"/>
              <w:left w:val="nil"/>
              <w:bottom w:val="nil"/>
            </w:tcBorders>
          </w:tcPr>
          <w:p w14:paraId="41CB53D9" w14:textId="77777777" w:rsidR="009F74E5" w:rsidRPr="00220038" w:rsidRDefault="009F74E5" w:rsidP="006840C5">
            <w:pPr>
              <w:jc w:val="left"/>
              <w:rPr>
                <w:rFonts w:cs="Times New Roman"/>
                <w:color w:val="000000"/>
                <w:lang w:val="en-US"/>
              </w:rPr>
            </w:pPr>
            <w:r w:rsidRPr="00220038">
              <w:rPr>
                <w:rFonts w:cs="Times New Roman"/>
                <w:color w:val="000000"/>
                <w:lang w:val="en-US"/>
              </w:rPr>
              <w:t>(5.0%)</w:t>
            </w:r>
          </w:p>
        </w:tc>
        <w:tc>
          <w:tcPr>
            <w:tcW w:w="1248" w:type="dxa"/>
            <w:tcBorders>
              <w:top w:val="nil"/>
              <w:bottom w:val="nil"/>
              <w:right w:val="nil"/>
            </w:tcBorders>
          </w:tcPr>
          <w:p w14:paraId="305C902A" w14:textId="77777777" w:rsidR="009F74E5" w:rsidRPr="00220038" w:rsidRDefault="009F74E5" w:rsidP="006840C5">
            <w:pPr>
              <w:jc w:val="right"/>
              <w:rPr>
                <w:rFonts w:cs="Times New Roman"/>
                <w:color w:val="000000"/>
                <w:lang w:val="en-US"/>
              </w:rPr>
            </w:pPr>
            <w:r w:rsidRPr="00220038">
              <w:rPr>
                <w:rFonts w:cs="Times New Roman"/>
                <w:color w:val="000000"/>
                <w:lang w:val="en-US"/>
              </w:rPr>
              <w:t>400</w:t>
            </w:r>
          </w:p>
        </w:tc>
        <w:tc>
          <w:tcPr>
            <w:tcW w:w="1248" w:type="dxa"/>
            <w:tcBorders>
              <w:top w:val="nil"/>
              <w:left w:val="nil"/>
              <w:bottom w:val="nil"/>
            </w:tcBorders>
          </w:tcPr>
          <w:p w14:paraId="6A13570C" w14:textId="77777777" w:rsidR="009F74E5" w:rsidRPr="00220038" w:rsidRDefault="009F74E5" w:rsidP="006840C5">
            <w:pPr>
              <w:jc w:val="left"/>
              <w:rPr>
                <w:rFonts w:cs="Times New Roman"/>
                <w:color w:val="000000"/>
                <w:lang w:val="en-US"/>
              </w:rPr>
            </w:pPr>
            <w:r w:rsidRPr="00220038">
              <w:rPr>
                <w:rFonts w:cs="Times New Roman"/>
                <w:color w:val="000000"/>
                <w:lang w:val="en-US"/>
              </w:rPr>
              <w:t>(25.3%)</w:t>
            </w:r>
          </w:p>
        </w:tc>
        <w:tc>
          <w:tcPr>
            <w:tcW w:w="1249" w:type="dxa"/>
            <w:tcBorders>
              <w:top w:val="nil"/>
              <w:bottom w:val="nil"/>
              <w:right w:val="nil"/>
            </w:tcBorders>
          </w:tcPr>
          <w:p w14:paraId="02FF659E" w14:textId="77777777" w:rsidR="009F74E5" w:rsidRPr="00220038" w:rsidRDefault="009F74E5" w:rsidP="006840C5">
            <w:pPr>
              <w:widowControl w:val="0"/>
              <w:autoSpaceDE w:val="0"/>
              <w:autoSpaceDN w:val="0"/>
              <w:adjustRightInd w:val="0"/>
              <w:spacing w:after="0" w:line="240" w:lineRule="auto"/>
              <w:rPr>
                <w:rFonts w:cs="Times New Roman"/>
                <w:lang w:val="en-US"/>
              </w:rPr>
            </w:pPr>
            <w:r w:rsidRPr="00220038">
              <w:rPr>
                <w:rFonts w:cs="Times New Roman"/>
                <w:lang w:val="en-US"/>
              </w:rPr>
              <w:t>1580</w:t>
            </w:r>
          </w:p>
        </w:tc>
      </w:tr>
      <w:tr w:rsidR="009F74E5" w:rsidRPr="00220038" w14:paraId="6B0E3405" w14:textId="77777777" w:rsidTr="006840C5">
        <w:trPr>
          <w:trHeight w:hRule="exact" w:val="369"/>
        </w:trPr>
        <w:tc>
          <w:tcPr>
            <w:tcW w:w="993" w:type="dxa"/>
            <w:tcBorders>
              <w:top w:val="nil"/>
              <w:left w:val="nil"/>
              <w:bottom w:val="nil"/>
            </w:tcBorders>
            <w:vAlign w:val="center"/>
          </w:tcPr>
          <w:p w14:paraId="211B6BC9" w14:textId="77777777" w:rsidR="009F74E5" w:rsidRPr="00220038" w:rsidRDefault="009F74E5" w:rsidP="006840C5">
            <w:pPr>
              <w:widowControl w:val="0"/>
              <w:autoSpaceDE w:val="0"/>
              <w:autoSpaceDN w:val="0"/>
              <w:adjustRightInd w:val="0"/>
              <w:spacing w:after="0" w:line="240" w:lineRule="auto"/>
              <w:jc w:val="left"/>
              <w:rPr>
                <w:rFonts w:cs="Times New Roman"/>
                <w:lang w:val="en-US"/>
              </w:rPr>
            </w:pPr>
            <w:r w:rsidRPr="00220038">
              <w:rPr>
                <w:rFonts w:cs="Times New Roman"/>
                <w:lang w:val="en-US"/>
              </w:rPr>
              <w:t>CVP</w:t>
            </w:r>
          </w:p>
        </w:tc>
        <w:tc>
          <w:tcPr>
            <w:tcW w:w="981" w:type="dxa"/>
            <w:tcBorders>
              <w:top w:val="nil"/>
              <w:bottom w:val="nil"/>
              <w:right w:val="nil"/>
            </w:tcBorders>
            <w:vAlign w:val="bottom"/>
          </w:tcPr>
          <w:p w14:paraId="3402B325" w14:textId="77777777" w:rsidR="009F74E5" w:rsidRPr="00220038" w:rsidRDefault="009F74E5" w:rsidP="006840C5">
            <w:pPr>
              <w:jc w:val="right"/>
              <w:rPr>
                <w:rFonts w:cs="Times New Roman"/>
                <w:color w:val="000000"/>
                <w:lang w:val="en-US"/>
              </w:rPr>
            </w:pPr>
            <w:r w:rsidRPr="00220038">
              <w:rPr>
                <w:rFonts w:cs="Times New Roman"/>
                <w:color w:val="000000"/>
                <w:lang w:val="en-US"/>
              </w:rPr>
              <w:t>7</w:t>
            </w:r>
          </w:p>
        </w:tc>
        <w:tc>
          <w:tcPr>
            <w:tcW w:w="1248" w:type="dxa"/>
            <w:tcBorders>
              <w:top w:val="nil"/>
              <w:left w:val="nil"/>
              <w:bottom w:val="nil"/>
            </w:tcBorders>
          </w:tcPr>
          <w:p w14:paraId="669F63F6" w14:textId="77777777" w:rsidR="009F74E5" w:rsidRPr="00220038" w:rsidRDefault="009F74E5" w:rsidP="006840C5">
            <w:pPr>
              <w:jc w:val="left"/>
              <w:rPr>
                <w:rFonts w:cs="Times New Roman"/>
                <w:color w:val="000000"/>
                <w:lang w:val="en-US"/>
              </w:rPr>
            </w:pPr>
            <w:r w:rsidRPr="00220038">
              <w:rPr>
                <w:rFonts w:cs="Times New Roman"/>
                <w:color w:val="000000"/>
                <w:lang w:val="en-US"/>
              </w:rPr>
              <w:t>(0.8%)</w:t>
            </w:r>
          </w:p>
        </w:tc>
        <w:tc>
          <w:tcPr>
            <w:tcW w:w="1248" w:type="dxa"/>
            <w:tcBorders>
              <w:top w:val="nil"/>
              <w:bottom w:val="nil"/>
              <w:right w:val="nil"/>
            </w:tcBorders>
          </w:tcPr>
          <w:p w14:paraId="0BCAC630" w14:textId="77777777" w:rsidR="009F74E5" w:rsidRPr="00220038" w:rsidRDefault="009F74E5" w:rsidP="006840C5">
            <w:pPr>
              <w:jc w:val="right"/>
              <w:rPr>
                <w:rFonts w:cs="Times New Roman"/>
                <w:color w:val="000000"/>
                <w:lang w:val="en-US"/>
              </w:rPr>
            </w:pPr>
            <w:r w:rsidRPr="00220038">
              <w:rPr>
                <w:rFonts w:cs="Times New Roman"/>
                <w:color w:val="000000"/>
                <w:lang w:val="en-US"/>
              </w:rPr>
              <w:t>9</w:t>
            </w:r>
          </w:p>
        </w:tc>
        <w:tc>
          <w:tcPr>
            <w:tcW w:w="1249" w:type="dxa"/>
            <w:tcBorders>
              <w:top w:val="nil"/>
              <w:left w:val="nil"/>
              <w:bottom w:val="nil"/>
            </w:tcBorders>
          </w:tcPr>
          <w:p w14:paraId="7D21CF8A" w14:textId="77777777" w:rsidR="009F74E5" w:rsidRPr="00220038" w:rsidRDefault="009F74E5" w:rsidP="006840C5">
            <w:pPr>
              <w:jc w:val="left"/>
              <w:rPr>
                <w:rFonts w:cs="Times New Roman"/>
                <w:color w:val="000000"/>
                <w:lang w:val="en-US"/>
              </w:rPr>
            </w:pPr>
            <w:r w:rsidRPr="00220038">
              <w:rPr>
                <w:rFonts w:cs="Times New Roman"/>
                <w:color w:val="000000"/>
                <w:lang w:val="en-US"/>
              </w:rPr>
              <w:t>(1.0%)</w:t>
            </w:r>
          </w:p>
        </w:tc>
        <w:tc>
          <w:tcPr>
            <w:tcW w:w="1248" w:type="dxa"/>
            <w:tcBorders>
              <w:top w:val="nil"/>
              <w:bottom w:val="nil"/>
              <w:right w:val="nil"/>
            </w:tcBorders>
          </w:tcPr>
          <w:p w14:paraId="1523D281" w14:textId="77777777" w:rsidR="009F74E5" w:rsidRPr="00220038" w:rsidRDefault="009F74E5" w:rsidP="006840C5">
            <w:pPr>
              <w:jc w:val="right"/>
              <w:rPr>
                <w:rFonts w:cs="Times New Roman"/>
                <w:color w:val="000000"/>
                <w:lang w:val="en-US"/>
              </w:rPr>
            </w:pPr>
            <w:r w:rsidRPr="00220038">
              <w:rPr>
                <w:rFonts w:cs="Times New Roman"/>
                <w:color w:val="000000"/>
                <w:lang w:val="en-US"/>
              </w:rPr>
              <w:t>89</w:t>
            </w:r>
          </w:p>
        </w:tc>
        <w:tc>
          <w:tcPr>
            <w:tcW w:w="1248" w:type="dxa"/>
            <w:tcBorders>
              <w:top w:val="nil"/>
              <w:left w:val="nil"/>
              <w:bottom w:val="nil"/>
            </w:tcBorders>
          </w:tcPr>
          <w:p w14:paraId="1A4F4B99" w14:textId="77777777" w:rsidR="009F74E5" w:rsidRPr="00220038" w:rsidRDefault="009F74E5" w:rsidP="006840C5">
            <w:pPr>
              <w:jc w:val="left"/>
              <w:rPr>
                <w:rFonts w:cs="Times New Roman"/>
                <w:color w:val="000000"/>
                <w:lang w:val="en-US"/>
              </w:rPr>
            </w:pPr>
            <w:r w:rsidRPr="00220038">
              <w:rPr>
                <w:rFonts w:cs="Times New Roman"/>
                <w:color w:val="000000"/>
                <w:lang w:val="en-US"/>
              </w:rPr>
              <w:t>(10.3%)</w:t>
            </w:r>
          </w:p>
        </w:tc>
        <w:tc>
          <w:tcPr>
            <w:tcW w:w="1249" w:type="dxa"/>
            <w:tcBorders>
              <w:top w:val="nil"/>
              <w:bottom w:val="nil"/>
              <w:right w:val="nil"/>
            </w:tcBorders>
          </w:tcPr>
          <w:p w14:paraId="6F13F0EA" w14:textId="77777777" w:rsidR="009F74E5" w:rsidRPr="00220038" w:rsidRDefault="009F74E5" w:rsidP="006840C5">
            <w:pPr>
              <w:widowControl w:val="0"/>
              <w:autoSpaceDE w:val="0"/>
              <w:autoSpaceDN w:val="0"/>
              <w:adjustRightInd w:val="0"/>
              <w:spacing w:after="0" w:line="240" w:lineRule="auto"/>
              <w:rPr>
                <w:rFonts w:cs="Times New Roman"/>
                <w:lang w:val="en-US"/>
              </w:rPr>
            </w:pPr>
            <w:r w:rsidRPr="00220038">
              <w:rPr>
                <w:rFonts w:cs="Times New Roman"/>
                <w:lang w:val="en-US"/>
              </w:rPr>
              <w:t>860</w:t>
            </w:r>
          </w:p>
        </w:tc>
      </w:tr>
      <w:tr w:rsidR="009F74E5" w:rsidRPr="00220038" w14:paraId="5ABEB99E" w14:textId="77777777" w:rsidTr="006840C5">
        <w:trPr>
          <w:trHeight w:hRule="exact" w:val="369"/>
        </w:trPr>
        <w:tc>
          <w:tcPr>
            <w:tcW w:w="993" w:type="dxa"/>
            <w:tcBorders>
              <w:top w:val="nil"/>
              <w:left w:val="nil"/>
              <w:bottom w:val="nil"/>
            </w:tcBorders>
            <w:vAlign w:val="center"/>
          </w:tcPr>
          <w:p w14:paraId="1AEE9D21" w14:textId="77777777" w:rsidR="009F74E5" w:rsidRPr="00220038" w:rsidRDefault="009F74E5" w:rsidP="006840C5">
            <w:pPr>
              <w:widowControl w:val="0"/>
              <w:autoSpaceDE w:val="0"/>
              <w:autoSpaceDN w:val="0"/>
              <w:adjustRightInd w:val="0"/>
              <w:spacing w:after="0" w:line="240" w:lineRule="auto"/>
              <w:jc w:val="left"/>
              <w:rPr>
                <w:rFonts w:cs="Times New Roman"/>
                <w:lang w:val="en-US"/>
              </w:rPr>
            </w:pPr>
            <w:r w:rsidRPr="00220038">
              <w:rPr>
                <w:rFonts w:cs="Times New Roman"/>
                <w:lang w:val="en-US"/>
              </w:rPr>
              <w:t>SP</w:t>
            </w:r>
          </w:p>
        </w:tc>
        <w:tc>
          <w:tcPr>
            <w:tcW w:w="981" w:type="dxa"/>
            <w:tcBorders>
              <w:top w:val="nil"/>
              <w:bottom w:val="nil"/>
              <w:right w:val="nil"/>
            </w:tcBorders>
            <w:vAlign w:val="bottom"/>
          </w:tcPr>
          <w:p w14:paraId="4F0EB176" w14:textId="77777777" w:rsidR="009F74E5" w:rsidRPr="00220038" w:rsidRDefault="009F74E5" w:rsidP="006840C5">
            <w:pPr>
              <w:jc w:val="right"/>
              <w:rPr>
                <w:rFonts w:cs="Times New Roman"/>
                <w:color w:val="000000"/>
                <w:lang w:val="en-US"/>
              </w:rPr>
            </w:pPr>
            <w:r w:rsidRPr="00220038">
              <w:rPr>
                <w:rFonts w:cs="Times New Roman"/>
                <w:color w:val="000000"/>
                <w:lang w:val="en-US"/>
              </w:rPr>
              <w:t>11</w:t>
            </w:r>
          </w:p>
        </w:tc>
        <w:tc>
          <w:tcPr>
            <w:tcW w:w="1248" w:type="dxa"/>
            <w:tcBorders>
              <w:top w:val="nil"/>
              <w:left w:val="nil"/>
              <w:bottom w:val="nil"/>
            </w:tcBorders>
          </w:tcPr>
          <w:p w14:paraId="01BAD7BC" w14:textId="77777777" w:rsidR="009F74E5" w:rsidRPr="00220038" w:rsidRDefault="009F74E5" w:rsidP="006840C5">
            <w:pPr>
              <w:jc w:val="left"/>
              <w:rPr>
                <w:rFonts w:cs="Times New Roman"/>
                <w:color w:val="000000"/>
                <w:lang w:val="en-US"/>
              </w:rPr>
            </w:pPr>
            <w:r w:rsidRPr="00220038">
              <w:rPr>
                <w:rFonts w:cs="Times New Roman"/>
                <w:color w:val="000000"/>
                <w:lang w:val="en-US"/>
              </w:rPr>
              <w:t>(1.4%)</w:t>
            </w:r>
          </w:p>
        </w:tc>
        <w:tc>
          <w:tcPr>
            <w:tcW w:w="1248" w:type="dxa"/>
            <w:tcBorders>
              <w:top w:val="nil"/>
              <w:bottom w:val="nil"/>
              <w:right w:val="nil"/>
            </w:tcBorders>
          </w:tcPr>
          <w:p w14:paraId="77F2EEEE" w14:textId="77777777" w:rsidR="009F74E5" w:rsidRPr="00220038" w:rsidRDefault="009F74E5" w:rsidP="006840C5">
            <w:pPr>
              <w:jc w:val="right"/>
              <w:rPr>
                <w:rFonts w:cs="Times New Roman"/>
                <w:color w:val="000000"/>
                <w:lang w:val="en-US"/>
              </w:rPr>
            </w:pPr>
            <w:r w:rsidRPr="00220038">
              <w:rPr>
                <w:rFonts w:cs="Times New Roman"/>
                <w:color w:val="000000"/>
                <w:lang w:val="en-US"/>
              </w:rPr>
              <w:t>15</w:t>
            </w:r>
          </w:p>
        </w:tc>
        <w:tc>
          <w:tcPr>
            <w:tcW w:w="1249" w:type="dxa"/>
            <w:tcBorders>
              <w:top w:val="nil"/>
              <w:left w:val="nil"/>
              <w:bottom w:val="nil"/>
            </w:tcBorders>
          </w:tcPr>
          <w:p w14:paraId="3DC5240A" w14:textId="77777777" w:rsidR="009F74E5" w:rsidRPr="00220038" w:rsidRDefault="009F74E5" w:rsidP="006840C5">
            <w:pPr>
              <w:jc w:val="left"/>
              <w:rPr>
                <w:rFonts w:cs="Times New Roman"/>
                <w:color w:val="000000"/>
                <w:lang w:val="en-US"/>
              </w:rPr>
            </w:pPr>
            <w:r w:rsidRPr="00220038">
              <w:rPr>
                <w:rFonts w:cs="Times New Roman"/>
                <w:color w:val="000000"/>
                <w:lang w:val="en-US"/>
              </w:rPr>
              <w:t>(2.0%)</w:t>
            </w:r>
          </w:p>
        </w:tc>
        <w:tc>
          <w:tcPr>
            <w:tcW w:w="1248" w:type="dxa"/>
            <w:tcBorders>
              <w:top w:val="nil"/>
              <w:bottom w:val="nil"/>
              <w:right w:val="nil"/>
            </w:tcBorders>
          </w:tcPr>
          <w:p w14:paraId="4F045CB0" w14:textId="77777777" w:rsidR="009F74E5" w:rsidRPr="00220038" w:rsidRDefault="009F74E5" w:rsidP="006840C5">
            <w:pPr>
              <w:jc w:val="right"/>
              <w:rPr>
                <w:rFonts w:cs="Times New Roman"/>
                <w:color w:val="000000"/>
                <w:lang w:val="en-US"/>
              </w:rPr>
            </w:pPr>
            <w:r w:rsidRPr="00220038">
              <w:rPr>
                <w:rFonts w:cs="Times New Roman"/>
                <w:color w:val="000000"/>
                <w:lang w:val="en-US"/>
              </w:rPr>
              <w:t>24</w:t>
            </w:r>
          </w:p>
        </w:tc>
        <w:tc>
          <w:tcPr>
            <w:tcW w:w="1248" w:type="dxa"/>
            <w:tcBorders>
              <w:top w:val="nil"/>
              <w:left w:val="nil"/>
              <w:bottom w:val="nil"/>
            </w:tcBorders>
          </w:tcPr>
          <w:p w14:paraId="7564A998" w14:textId="77777777" w:rsidR="009F74E5" w:rsidRPr="00220038" w:rsidRDefault="009F74E5" w:rsidP="006840C5">
            <w:pPr>
              <w:jc w:val="left"/>
              <w:rPr>
                <w:rFonts w:cs="Times New Roman"/>
                <w:color w:val="000000"/>
                <w:lang w:val="en-US"/>
              </w:rPr>
            </w:pPr>
            <w:r w:rsidRPr="00220038">
              <w:rPr>
                <w:rFonts w:cs="Times New Roman"/>
                <w:color w:val="000000"/>
                <w:lang w:val="en-US"/>
              </w:rPr>
              <w:t>(3.1%)</w:t>
            </w:r>
          </w:p>
        </w:tc>
        <w:tc>
          <w:tcPr>
            <w:tcW w:w="1249" w:type="dxa"/>
            <w:tcBorders>
              <w:top w:val="nil"/>
              <w:bottom w:val="nil"/>
              <w:right w:val="nil"/>
            </w:tcBorders>
          </w:tcPr>
          <w:p w14:paraId="31CB2E5F" w14:textId="77777777" w:rsidR="009F74E5" w:rsidRPr="00220038" w:rsidRDefault="009F74E5" w:rsidP="006840C5">
            <w:pPr>
              <w:widowControl w:val="0"/>
              <w:autoSpaceDE w:val="0"/>
              <w:autoSpaceDN w:val="0"/>
              <w:adjustRightInd w:val="0"/>
              <w:spacing w:after="0" w:line="240" w:lineRule="auto"/>
              <w:rPr>
                <w:rFonts w:cs="Times New Roman"/>
                <w:lang w:val="en-US"/>
              </w:rPr>
            </w:pPr>
            <w:r w:rsidRPr="00220038">
              <w:rPr>
                <w:rFonts w:cs="Times New Roman"/>
                <w:lang w:val="en-US"/>
              </w:rPr>
              <w:t>764</w:t>
            </w:r>
          </w:p>
        </w:tc>
      </w:tr>
      <w:tr w:rsidR="009F74E5" w:rsidRPr="00220038" w14:paraId="682263A7" w14:textId="77777777" w:rsidTr="006840C5">
        <w:trPr>
          <w:trHeight w:hRule="exact" w:val="369"/>
        </w:trPr>
        <w:tc>
          <w:tcPr>
            <w:tcW w:w="993" w:type="dxa"/>
            <w:tcBorders>
              <w:top w:val="nil"/>
              <w:left w:val="nil"/>
              <w:bottom w:val="nil"/>
            </w:tcBorders>
            <w:vAlign w:val="center"/>
          </w:tcPr>
          <w:p w14:paraId="61E3CAB2" w14:textId="77777777" w:rsidR="009F74E5" w:rsidRPr="00220038" w:rsidRDefault="009F74E5" w:rsidP="006840C5">
            <w:pPr>
              <w:widowControl w:val="0"/>
              <w:autoSpaceDE w:val="0"/>
              <w:autoSpaceDN w:val="0"/>
              <w:adjustRightInd w:val="0"/>
              <w:spacing w:after="0" w:line="240" w:lineRule="auto"/>
              <w:jc w:val="left"/>
              <w:rPr>
                <w:rFonts w:cs="Times New Roman"/>
                <w:lang w:val="en-US"/>
              </w:rPr>
            </w:pPr>
            <w:r w:rsidRPr="00220038">
              <w:rPr>
                <w:rFonts w:cs="Times New Roman"/>
                <w:lang w:val="en-US"/>
              </w:rPr>
              <w:t>GPS</w:t>
            </w:r>
          </w:p>
        </w:tc>
        <w:tc>
          <w:tcPr>
            <w:tcW w:w="981" w:type="dxa"/>
            <w:tcBorders>
              <w:top w:val="nil"/>
              <w:bottom w:val="nil"/>
              <w:right w:val="nil"/>
            </w:tcBorders>
            <w:vAlign w:val="bottom"/>
          </w:tcPr>
          <w:p w14:paraId="7AE408DE" w14:textId="77777777" w:rsidR="009F74E5" w:rsidRPr="00220038" w:rsidRDefault="009F74E5" w:rsidP="006840C5">
            <w:pPr>
              <w:jc w:val="right"/>
              <w:rPr>
                <w:rFonts w:cs="Times New Roman"/>
                <w:color w:val="000000"/>
                <w:lang w:val="en-US"/>
              </w:rPr>
            </w:pPr>
            <w:r w:rsidRPr="00220038">
              <w:rPr>
                <w:rFonts w:cs="Times New Roman"/>
                <w:color w:val="000000"/>
                <w:lang w:val="en-US"/>
              </w:rPr>
              <w:t>22</w:t>
            </w:r>
          </w:p>
        </w:tc>
        <w:tc>
          <w:tcPr>
            <w:tcW w:w="1248" w:type="dxa"/>
            <w:tcBorders>
              <w:top w:val="nil"/>
              <w:left w:val="nil"/>
              <w:bottom w:val="nil"/>
            </w:tcBorders>
          </w:tcPr>
          <w:p w14:paraId="193536AB" w14:textId="77777777" w:rsidR="009F74E5" w:rsidRPr="00220038" w:rsidRDefault="009F74E5" w:rsidP="006840C5">
            <w:pPr>
              <w:jc w:val="left"/>
              <w:rPr>
                <w:rFonts w:cs="Times New Roman"/>
                <w:color w:val="000000"/>
                <w:lang w:val="en-US"/>
              </w:rPr>
            </w:pPr>
            <w:r w:rsidRPr="00220038">
              <w:rPr>
                <w:rFonts w:cs="Times New Roman"/>
                <w:color w:val="000000"/>
                <w:lang w:val="en-US"/>
              </w:rPr>
              <w:t>(7.8%)</w:t>
            </w:r>
          </w:p>
        </w:tc>
        <w:tc>
          <w:tcPr>
            <w:tcW w:w="1248" w:type="dxa"/>
            <w:tcBorders>
              <w:top w:val="nil"/>
              <w:bottom w:val="nil"/>
              <w:right w:val="nil"/>
            </w:tcBorders>
          </w:tcPr>
          <w:p w14:paraId="297F0814" w14:textId="77777777" w:rsidR="009F74E5" w:rsidRPr="00220038" w:rsidRDefault="009F74E5" w:rsidP="006840C5">
            <w:pPr>
              <w:jc w:val="right"/>
              <w:rPr>
                <w:rFonts w:cs="Times New Roman"/>
                <w:color w:val="000000"/>
                <w:lang w:val="en-US"/>
              </w:rPr>
            </w:pPr>
            <w:r w:rsidRPr="00220038">
              <w:rPr>
                <w:rFonts w:cs="Times New Roman"/>
                <w:color w:val="000000"/>
                <w:lang w:val="en-US"/>
              </w:rPr>
              <w:t>0</w:t>
            </w:r>
          </w:p>
        </w:tc>
        <w:tc>
          <w:tcPr>
            <w:tcW w:w="1249" w:type="dxa"/>
            <w:tcBorders>
              <w:top w:val="nil"/>
              <w:left w:val="nil"/>
              <w:bottom w:val="nil"/>
            </w:tcBorders>
          </w:tcPr>
          <w:p w14:paraId="0965A576" w14:textId="77777777" w:rsidR="009F74E5" w:rsidRPr="00220038" w:rsidRDefault="009F74E5" w:rsidP="006840C5">
            <w:pPr>
              <w:jc w:val="left"/>
              <w:rPr>
                <w:rFonts w:cs="Times New Roman"/>
                <w:color w:val="000000"/>
                <w:lang w:val="en-US"/>
              </w:rPr>
            </w:pPr>
            <w:r w:rsidRPr="00220038">
              <w:rPr>
                <w:rFonts w:cs="Times New Roman"/>
                <w:color w:val="000000"/>
                <w:lang w:val="en-US"/>
              </w:rPr>
              <w:t>(0.0%)</w:t>
            </w:r>
          </w:p>
        </w:tc>
        <w:tc>
          <w:tcPr>
            <w:tcW w:w="1248" w:type="dxa"/>
            <w:tcBorders>
              <w:top w:val="nil"/>
              <w:bottom w:val="nil"/>
              <w:right w:val="nil"/>
            </w:tcBorders>
          </w:tcPr>
          <w:p w14:paraId="1B894A34" w14:textId="77777777" w:rsidR="009F74E5" w:rsidRPr="00220038" w:rsidRDefault="009F74E5" w:rsidP="006840C5">
            <w:pPr>
              <w:jc w:val="right"/>
              <w:rPr>
                <w:rFonts w:cs="Times New Roman"/>
                <w:color w:val="000000"/>
                <w:lang w:val="en-US"/>
              </w:rPr>
            </w:pPr>
            <w:r w:rsidRPr="00220038">
              <w:rPr>
                <w:rFonts w:cs="Times New Roman"/>
                <w:color w:val="000000"/>
                <w:lang w:val="en-US"/>
              </w:rPr>
              <w:t>8</w:t>
            </w:r>
          </w:p>
        </w:tc>
        <w:tc>
          <w:tcPr>
            <w:tcW w:w="1248" w:type="dxa"/>
            <w:tcBorders>
              <w:top w:val="nil"/>
              <w:left w:val="nil"/>
              <w:bottom w:val="nil"/>
            </w:tcBorders>
          </w:tcPr>
          <w:p w14:paraId="7CF0786A" w14:textId="77777777" w:rsidR="009F74E5" w:rsidRPr="00220038" w:rsidRDefault="009F74E5" w:rsidP="006840C5">
            <w:pPr>
              <w:jc w:val="left"/>
              <w:rPr>
                <w:rFonts w:cs="Times New Roman"/>
                <w:color w:val="000000"/>
                <w:lang w:val="en-US"/>
              </w:rPr>
            </w:pPr>
            <w:r w:rsidRPr="00220038">
              <w:rPr>
                <w:rFonts w:cs="Times New Roman"/>
                <w:color w:val="000000"/>
                <w:lang w:val="en-US"/>
              </w:rPr>
              <w:t>(2.8%)</w:t>
            </w:r>
          </w:p>
        </w:tc>
        <w:tc>
          <w:tcPr>
            <w:tcW w:w="1249" w:type="dxa"/>
            <w:tcBorders>
              <w:top w:val="nil"/>
              <w:bottom w:val="nil"/>
              <w:right w:val="nil"/>
            </w:tcBorders>
          </w:tcPr>
          <w:p w14:paraId="30487E4F" w14:textId="77777777" w:rsidR="009F74E5" w:rsidRPr="00220038" w:rsidRDefault="009F74E5" w:rsidP="006840C5">
            <w:pPr>
              <w:widowControl w:val="0"/>
              <w:autoSpaceDE w:val="0"/>
              <w:autoSpaceDN w:val="0"/>
              <w:adjustRightInd w:val="0"/>
              <w:spacing w:after="0" w:line="240" w:lineRule="auto"/>
              <w:rPr>
                <w:rFonts w:cs="Times New Roman"/>
                <w:lang w:val="en-US"/>
              </w:rPr>
            </w:pPr>
            <w:r w:rsidRPr="00220038">
              <w:rPr>
                <w:rFonts w:cs="Times New Roman"/>
                <w:lang w:val="en-US"/>
              </w:rPr>
              <w:t>281</w:t>
            </w:r>
          </w:p>
        </w:tc>
      </w:tr>
      <w:tr w:rsidR="009F74E5" w:rsidRPr="00220038" w14:paraId="28D5DAB1" w14:textId="77777777" w:rsidTr="006840C5">
        <w:trPr>
          <w:trHeight w:hRule="exact" w:val="369"/>
        </w:trPr>
        <w:tc>
          <w:tcPr>
            <w:tcW w:w="993" w:type="dxa"/>
            <w:tcBorders>
              <w:top w:val="nil"/>
              <w:left w:val="nil"/>
              <w:bottom w:val="nil"/>
            </w:tcBorders>
            <w:vAlign w:val="center"/>
          </w:tcPr>
          <w:p w14:paraId="0A55FE66" w14:textId="77777777" w:rsidR="009F74E5" w:rsidRPr="00220038" w:rsidRDefault="009F74E5" w:rsidP="006840C5">
            <w:pPr>
              <w:widowControl w:val="0"/>
              <w:autoSpaceDE w:val="0"/>
              <w:autoSpaceDN w:val="0"/>
              <w:adjustRightInd w:val="0"/>
              <w:spacing w:after="0" w:line="240" w:lineRule="auto"/>
              <w:jc w:val="left"/>
              <w:rPr>
                <w:rFonts w:cs="Times New Roman"/>
                <w:lang w:val="en-US"/>
              </w:rPr>
            </w:pPr>
            <w:proofErr w:type="spellStart"/>
            <w:r w:rsidRPr="00220038">
              <w:rPr>
                <w:rFonts w:cs="Times New Roman"/>
                <w:lang w:val="en-US"/>
              </w:rPr>
              <w:t>BDP</w:t>
            </w:r>
            <w:proofErr w:type="spellEnd"/>
          </w:p>
        </w:tc>
        <w:tc>
          <w:tcPr>
            <w:tcW w:w="981" w:type="dxa"/>
            <w:tcBorders>
              <w:top w:val="nil"/>
              <w:bottom w:val="nil"/>
              <w:right w:val="nil"/>
            </w:tcBorders>
            <w:vAlign w:val="bottom"/>
          </w:tcPr>
          <w:p w14:paraId="200D44C8" w14:textId="77777777" w:rsidR="009F74E5" w:rsidRPr="00220038" w:rsidRDefault="009F74E5" w:rsidP="006840C5">
            <w:pPr>
              <w:jc w:val="right"/>
              <w:rPr>
                <w:rFonts w:cs="Times New Roman"/>
                <w:color w:val="000000"/>
                <w:lang w:val="en-US"/>
              </w:rPr>
            </w:pPr>
            <w:r w:rsidRPr="00220038">
              <w:rPr>
                <w:rFonts w:cs="Times New Roman"/>
                <w:color w:val="000000"/>
                <w:lang w:val="en-US"/>
              </w:rPr>
              <w:t>3</w:t>
            </w:r>
          </w:p>
        </w:tc>
        <w:tc>
          <w:tcPr>
            <w:tcW w:w="1248" w:type="dxa"/>
            <w:tcBorders>
              <w:top w:val="nil"/>
              <w:left w:val="nil"/>
              <w:bottom w:val="nil"/>
            </w:tcBorders>
          </w:tcPr>
          <w:p w14:paraId="38146933" w14:textId="77777777" w:rsidR="009F74E5" w:rsidRPr="00220038" w:rsidRDefault="009F74E5" w:rsidP="006840C5">
            <w:pPr>
              <w:jc w:val="left"/>
              <w:rPr>
                <w:rFonts w:cs="Times New Roman"/>
                <w:color w:val="000000"/>
                <w:lang w:val="en-US"/>
              </w:rPr>
            </w:pPr>
            <w:r w:rsidRPr="00220038">
              <w:rPr>
                <w:rFonts w:cs="Times New Roman"/>
                <w:color w:val="000000"/>
                <w:lang w:val="en-US"/>
              </w:rPr>
              <w:t>(1.3%)</w:t>
            </w:r>
          </w:p>
        </w:tc>
        <w:tc>
          <w:tcPr>
            <w:tcW w:w="1248" w:type="dxa"/>
            <w:tcBorders>
              <w:top w:val="nil"/>
              <w:bottom w:val="nil"/>
              <w:right w:val="nil"/>
            </w:tcBorders>
          </w:tcPr>
          <w:p w14:paraId="02149A61" w14:textId="77777777" w:rsidR="009F74E5" w:rsidRPr="00220038" w:rsidRDefault="009F74E5" w:rsidP="006840C5">
            <w:pPr>
              <w:jc w:val="right"/>
              <w:rPr>
                <w:rFonts w:cs="Times New Roman"/>
                <w:color w:val="000000"/>
                <w:lang w:val="en-US"/>
              </w:rPr>
            </w:pPr>
            <w:r w:rsidRPr="00220038">
              <w:rPr>
                <w:rFonts w:cs="Times New Roman"/>
                <w:color w:val="000000"/>
                <w:lang w:val="en-US"/>
              </w:rPr>
              <w:t>2</w:t>
            </w:r>
          </w:p>
        </w:tc>
        <w:tc>
          <w:tcPr>
            <w:tcW w:w="1249" w:type="dxa"/>
            <w:tcBorders>
              <w:top w:val="nil"/>
              <w:left w:val="nil"/>
              <w:bottom w:val="nil"/>
            </w:tcBorders>
          </w:tcPr>
          <w:p w14:paraId="6B732E56" w14:textId="77777777" w:rsidR="009F74E5" w:rsidRPr="00220038" w:rsidRDefault="009F74E5" w:rsidP="006840C5">
            <w:pPr>
              <w:jc w:val="left"/>
              <w:rPr>
                <w:rFonts w:cs="Times New Roman"/>
                <w:color w:val="000000"/>
                <w:lang w:val="en-US"/>
              </w:rPr>
            </w:pPr>
            <w:r w:rsidRPr="00220038">
              <w:rPr>
                <w:rFonts w:cs="Times New Roman"/>
                <w:color w:val="000000"/>
                <w:lang w:val="en-US"/>
              </w:rPr>
              <w:t>(0.9%)</w:t>
            </w:r>
          </w:p>
        </w:tc>
        <w:tc>
          <w:tcPr>
            <w:tcW w:w="1248" w:type="dxa"/>
            <w:tcBorders>
              <w:top w:val="nil"/>
              <w:bottom w:val="nil"/>
              <w:right w:val="nil"/>
            </w:tcBorders>
          </w:tcPr>
          <w:p w14:paraId="3CC594CD" w14:textId="77777777" w:rsidR="009F74E5" w:rsidRPr="00220038" w:rsidRDefault="009F74E5" w:rsidP="006840C5">
            <w:pPr>
              <w:jc w:val="right"/>
              <w:rPr>
                <w:rFonts w:cs="Times New Roman"/>
                <w:color w:val="000000"/>
                <w:lang w:val="en-US"/>
              </w:rPr>
            </w:pPr>
            <w:r w:rsidRPr="00220038">
              <w:rPr>
                <w:rFonts w:cs="Times New Roman"/>
                <w:color w:val="000000"/>
                <w:lang w:val="en-US"/>
              </w:rPr>
              <w:t>18</w:t>
            </w:r>
          </w:p>
        </w:tc>
        <w:tc>
          <w:tcPr>
            <w:tcW w:w="1248" w:type="dxa"/>
            <w:tcBorders>
              <w:top w:val="nil"/>
              <w:left w:val="nil"/>
              <w:bottom w:val="nil"/>
            </w:tcBorders>
          </w:tcPr>
          <w:p w14:paraId="02EA5B1C" w14:textId="77777777" w:rsidR="009F74E5" w:rsidRPr="00220038" w:rsidRDefault="009F74E5" w:rsidP="006840C5">
            <w:pPr>
              <w:jc w:val="left"/>
              <w:rPr>
                <w:rFonts w:cs="Times New Roman"/>
                <w:color w:val="000000"/>
                <w:lang w:val="en-US"/>
              </w:rPr>
            </w:pPr>
            <w:r w:rsidRPr="00220038">
              <w:rPr>
                <w:rFonts w:cs="Times New Roman"/>
                <w:color w:val="000000"/>
                <w:lang w:val="en-US"/>
              </w:rPr>
              <w:t>(7.9%)</w:t>
            </w:r>
          </w:p>
        </w:tc>
        <w:tc>
          <w:tcPr>
            <w:tcW w:w="1249" w:type="dxa"/>
            <w:tcBorders>
              <w:top w:val="nil"/>
              <w:bottom w:val="nil"/>
              <w:right w:val="nil"/>
            </w:tcBorders>
          </w:tcPr>
          <w:p w14:paraId="73B60474" w14:textId="77777777" w:rsidR="009F74E5" w:rsidRPr="00220038" w:rsidRDefault="009F74E5" w:rsidP="006840C5">
            <w:pPr>
              <w:widowControl w:val="0"/>
              <w:autoSpaceDE w:val="0"/>
              <w:autoSpaceDN w:val="0"/>
              <w:adjustRightInd w:val="0"/>
              <w:spacing w:after="0" w:line="240" w:lineRule="auto"/>
              <w:rPr>
                <w:rFonts w:cs="Times New Roman"/>
                <w:lang w:val="en-US"/>
              </w:rPr>
            </w:pPr>
            <w:r w:rsidRPr="00220038">
              <w:rPr>
                <w:rFonts w:cs="Times New Roman"/>
                <w:lang w:val="en-US"/>
              </w:rPr>
              <w:t>229</w:t>
            </w:r>
          </w:p>
        </w:tc>
      </w:tr>
      <w:tr w:rsidR="009F74E5" w:rsidRPr="00220038" w14:paraId="7CC82526" w14:textId="77777777" w:rsidTr="006840C5">
        <w:trPr>
          <w:trHeight w:hRule="exact" w:val="369"/>
        </w:trPr>
        <w:tc>
          <w:tcPr>
            <w:tcW w:w="993" w:type="dxa"/>
            <w:tcBorders>
              <w:top w:val="nil"/>
              <w:left w:val="nil"/>
              <w:bottom w:val="single" w:sz="4" w:space="0" w:color="auto"/>
              <w:right w:val="single" w:sz="4" w:space="0" w:color="auto"/>
            </w:tcBorders>
            <w:vAlign w:val="center"/>
          </w:tcPr>
          <w:p w14:paraId="2F338F25" w14:textId="77777777" w:rsidR="009F74E5" w:rsidRPr="00220038" w:rsidRDefault="009F74E5" w:rsidP="006840C5">
            <w:pPr>
              <w:widowControl w:val="0"/>
              <w:autoSpaceDE w:val="0"/>
              <w:autoSpaceDN w:val="0"/>
              <w:adjustRightInd w:val="0"/>
              <w:spacing w:after="0" w:line="240" w:lineRule="auto"/>
              <w:jc w:val="left"/>
              <w:rPr>
                <w:rFonts w:cs="Times New Roman"/>
                <w:lang w:val="en-US"/>
              </w:rPr>
            </w:pPr>
            <w:r w:rsidRPr="00220038">
              <w:rPr>
                <w:rFonts w:cs="Times New Roman"/>
                <w:lang w:val="en-US"/>
              </w:rPr>
              <w:t>GLP</w:t>
            </w:r>
          </w:p>
        </w:tc>
        <w:tc>
          <w:tcPr>
            <w:tcW w:w="981" w:type="dxa"/>
            <w:tcBorders>
              <w:top w:val="nil"/>
              <w:left w:val="single" w:sz="4" w:space="0" w:color="auto"/>
              <w:bottom w:val="single" w:sz="4" w:space="0" w:color="auto"/>
              <w:right w:val="nil"/>
            </w:tcBorders>
            <w:vAlign w:val="bottom"/>
          </w:tcPr>
          <w:p w14:paraId="680745EC" w14:textId="77777777" w:rsidR="009F74E5" w:rsidRPr="00220038" w:rsidRDefault="009F74E5" w:rsidP="006840C5">
            <w:pPr>
              <w:jc w:val="right"/>
              <w:rPr>
                <w:rFonts w:cs="Times New Roman"/>
                <w:color w:val="000000"/>
                <w:lang w:val="en-US"/>
              </w:rPr>
            </w:pPr>
            <w:r w:rsidRPr="00220038">
              <w:rPr>
                <w:rFonts w:cs="Times New Roman"/>
                <w:color w:val="000000"/>
                <w:lang w:val="en-US"/>
              </w:rPr>
              <w:t>0</w:t>
            </w:r>
          </w:p>
        </w:tc>
        <w:tc>
          <w:tcPr>
            <w:tcW w:w="1248" w:type="dxa"/>
            <w:tcBorders>
              <w:top w:val="nil"/>
              <w:left w:val="nil"/>
              <w:bottom w:val="single" w:sz="4" w:space="0" w:color="auto"/>
              <w:right w:val="single" w:sz="4" w:space="0" w:color="auto"/>
            </w:tcBorders>
          </w:tcPr>
          <w:p w14:paraId="7A125382" w14:textId="77777777" w:rsidR="009F74E5" w:rsidRPr="00220038" w:rsidRDefault="009F74E5" w:rsidP="006840C5">
            <w:pPr>
              <w:jc w:val="left"/>
              <w:rPr>
                <w:rFonts w:cs="Times New Roman"/>
                <w:color w:val="000000"/>
                <w:lang w:val="en-US"/>
              </w:rPr>
            </w:pPr>
            <w:r w:rsidRPr="00220038">
              <w:rPr>
                <w:rFonts w:cs="Times New Roman"/>
                <w:color w:val="000000"/>
                <w:lang w:val="en-US"/>
              </w:rPr>
              <w:t>(0.0%)</w:t>
            </w:r>
          </w:p>
        </w:tc>
        <w:tc>
          <w:tcPr>
            <w:tcW w:w="1248" w:type="dxa"/>
            <w:tcBorders>
              <w:top w:val="nil"/>
              <w:left w:val="single" w:sz="4" w:space="0" w:color="auto"/>
              <w:bottom w:val="single" w:sz="4" w:space="0" w:color="auto"/>
              <w:right w:val="nil"/>
            </w:tcBorders>
          </w:tcPr>
          <w:p w14:paraId="2C1AAE32" w14:textId="77777777" w:rsidR="009F74E5" w:rsidRPr="00220038" w:rsidRDefault="009F74E5" w:rsidP="006840C5">
            <w:pPr>
              <w:jc w:val="right"/>
              <w:rPr>
                <w:rFonts w:cs="Times New Roman"/>
                <w:color w:val="000000"/>
                <w:lang w:val="en-US"/>
              </w:rPr>
            </w:pPr>
            <w:r w:rsidRPr="00220038">
              <w:rPr>
                <w:rFonts w:cs="Times New Roman"/>
                <w:color w:val="000000"/>
                <w:lang w:val="en-US"/>
              </w:rPr>
              <w:t>0</w:t>
            </w:r>
          </w:p>
        </w:tc>
        <w:tc>
          <w:tcPr>
            <w:tcW w:w="1249" w:type="dxa"/>
            <w:tcBorders>
              <w:top w:val="nil"/>
              <w:left w:val="nil"/>
              <w:bottom w:val="single" w:sz="4" w:space="0" w:color="auto"/>
              <w:right w:val="single" w:sz="4" w:space="0" w:color="auto"/>
            </w:tcBorders>
          </w:tcPr>
          <w:p w14:paraId="16997355" w14:textId="77777777" w:rsidR="009F74E5" w:rsidRPr="00220038" w:rsidRDefault="009F74E5" w:rsidP="006840C5">
            <w:pPr>
              <w:jc w:val="left"/>
              <w:rPr>
                <w:rFonts w:cs="Times New Roman"/>
                <w:color w:val="000000"/>
                <w:lang w:val="en-US"/>
              </w:rPr>
            </w:pPr>
            <w:r w:rsidRPr="00220038">
              <w:rPr>
                <w:rFonts w:cs="Times New Roman"/>
                <w:color w:val="000000"/>
                <w:lang w:val="en-US"/>
              </w:rPr>
              <w:t>(0.0%)</w:t>
            </w:r>
          </w:p>
        </w:tc>
        <w:tc>
          <w:tcPr>
            <w:tcW w:w="1248" w:type="dxa"/>
            <w:tcBorders>
              <w:top w:val="nil"/>
              <w:left w:val="single" w:sz="4" w:space="0" w:color="auto"/>
              <w:bottom w:val="single" w:sz="4" w:space="0" w:color="auto"/>
              <w:right w:val="nil"/>
            </w:tcBorders>
          </w:tcPr>
          <w:p w14:paraId="17EA3C14" w14:textId="77777777" w:rsidR="009F74E5" w:rsidRPr="00220038" w:rsidRDefault="009F74E5" w:rsidP="006840C5">
            <w:pPr>
              <w:jc w:val="right"/>
              <w:rPr>
                <w:rFonts w:cs="Times New Roman"/>
                <w:color w:val="000000"/>
                <w:lang w:val="en-US"/>
              </w:rPr>
            </w:pPr>
            <w:r w:rsidRPr="00220038">
              <w:rPr>
                <w:rFonts w:cs="Times New Roman"/>
                <w:color w:val="000000"/>
                <w:lang w:val="en-US"/>
              </w:rPr>
              <w:t>17</w:t>
            </w:r>
          </w:p>
        </w:tc>
        <w:tc>
          <w:tcPr>
            <w:tcW w:w="1248" w:type="dxa"/>
            <w:tcBorders>
              <w:top w:val="nil"/>
              <w:left w:val="nil"/>
              <w:bottom w:val="single" w:sz="4" w:space="0" w:color="auto"/>
              <w:right w:val="single" w:sz="4" w:space="0" w:color="auto"/>
            </w:tcBorders>
          </w:tcPr>
          <w:p w14:paraId="100F8796" w14:textId="77777777" w:rsidR="009F74E5" w:rsidRPr="00220038" w:rsidRDefault="009F74E5" w:rsidP="006840C5">
            <w:pPr>
              <w:jc w:val="left"/>
              <w:rPr>
                <w:rFonts w:cs="Times New Roman"/>
                <w:color w:val="000000"/>
                <w:lang w:val="en-US"/>
              </w:rPr>
            </w:pPr>
            <w:r w:rsidRPr="00220038">
              <w:rPr>
                <w:rFonts w:cs="Times New Roman"/>
                <w:color w:val="000000"/>
                <w:lang w:val="en-US"/>
              </w:rPr>
              <w:t>(17.5%)</w:t>
            </w:r>
          </w:p>
        </w:tc>
        <w:tc>
          <w:tcPr>
            <w:tcW w:w="1249" w:type="dxa"/>
            <w:tcBorders>
              <w:top w:val="nil"/>
              <w:left w:val="single" w:sz="4" w:space="0" w:color="auto"/>
              <w:bottom w:val="single" w:sz="4" w:space="0" w:color="auto"/>
              <w:right w:val="nil"/>
            </w:tcBorders>
          </w:tcPr>
          <w:p w14:paraId="3ED1416F" w14:textId="77777777" w:rsidR="009F74E5" w:rsidRPr="00220038" w:rsidRDefault="009F74E5" w:rsidP="006840C5">
            <w:pPr>
              <w:widowControl w:val="0"/>
              <w:autoSpaceDE w:val="0"/>
              <w:autoSpaceDN w:val="0"/>
              <w:adjustRightInd w:val="0"/>
              <w:spacing w:after="0" w:line="240" w:lineRule="auto"/>
              <w:rPr>
                <w:rFonts w:cs="Times New Roman"/>
                <w:lang w:val="en-US"/>
              </w:rPr>
            </w:pPr>
            <w:r w:rsidRPr="00220038">
              <w:rPr>
                <w:rFonts w:cs="Times New Roman"/>
                <w:lang w:val="en-US"/>
              </w:rPr>
              <w:t>97</w:t>
            </w:r>
          </w:p>
        </w:tc>
      </w:tr>
      <w:tr w:rsidR="009F74E5" w:rsidRPr="00220038" w14:paraId="389673D6" w14:textId="77777777" w:rsidTr="006840C5">
        <w:trPr>
          <w:trHeight w:hRule="exact" w:val="369"/>
        </w:trPr>
        <w:tc>
          <w:tcPr>
            <w:tcW w:w="993" w:type="dxa"/>
            <w:tcBorders>
              <w:top w:val="single" w:sz="4" w:space="0" w:color="auto"/>
              <w:left w:val="nil"/>
            </w:tcBorders>
            <w:vAlign w:val="center"/>
          </w:tcPr>
          <w:p w14:paraId="25461D3D" w14:textId="77777777" w:rsidR="009F74E5" w:rsidRPr="00220038" w:rsidRDefault="009F74E5" w:rsidP="006840C5">
            <w:pPr>
              <w:widowControl w:val="0"/>
              <w:autoSpaceDE w:val="0"/>
              <w:autoSpaceDN w:val="0"/>
              <w:adjustRightInd w:val="0"/>
              <w:spacing w:after="0" w:line="240" w:lineRule="auto"/>
              <w:jc w:val="left"/>
              <w:rPr>
                <w:rFonts w:cs="Times New Roman"/>
                <w:lang w:val="en-US"/>
              </w:rPr>
            </w:pPr>
            <w:proofErr w:type="spellStart"/>
            <w:r w:rsidRPr="00220038">
              <w:rPr>
                <w:rFonts w:cs="Times New Roman"/>
                <w:lang w:val="en-US"/>
              </w:rPr>
              <w:t>Total</w:t>
            </w:r>
            <w:r w:rsidRPr="00220038">
              <w:rPr>
                <w:rFonts w:cs="Times New Roman"/>
                <w:vertAlign w:val="superscript"/>
                <w:lang w:val="en-US"/>
              </w:rPr>
              <w:t>a</w:t>
            </w:r>
            <w:proofErr w:type="spellEnd"/>
            <w:r w:rsidRPr="00220038">
              <w:rPr>
                <w:rFonts w:cs="Times New Roman"/>
                <w:vertAlign w:val="superscript"/>
                <w:lang w:val="en-US"/>
              </w:rPr>
              <w:t>)</w:t>
            </w:r>
          </w:p>
        </w:tc>
        <w:tc>
          <w:tcPr>
            <w:tcW w:w="981" w:type="dxa"/>
            <w:tcBorders>
              <w:top w:val="single" w:sz="4" w:space="0" w:color="auto"/>
              <w:right w:val="nil"/>
            </w:tcBorders>
            <w:vAlign w:val="bottom"/>
          </w:tcPr>
          <w:p w14:paraId="0DDC7F82" w14:textId="77777777" w:rsidR="009F74E5" w:rsidRPr="00220038" w:rsidRDefault="009F74E5" w:rsidP="006840C5">
            <w:pPr>
              <w:jc w:val="right"/>
              <w:rPr>
                <w:rFonts w:cs="Times New Roman"/>
                <w:color w:val="000000"/>
                <w:lang w:val="en-US"/>
              </w:rPr>
            </w:pPr>
            <w:r w:rsidRPr="00220038">
              <w:rPr>
                <w:rFonts w:cs="Times New Roman"/>
                <w:color w:val="000000"/>
                <w:lang w:val="en-US"/>
              </w:rPr>
              <w:t xml:space="preserve">552 </w:t>
            </w:r>
          </w:p>
        </w:tc>
        <w:tc>
          <w:tcPr>
            <w:tcW w:w="1248" w:type="dxa"/>
            <w:tcBorders>
              <w:top w:val="single" w:sz="4" w:space="0" w:color="auto"/>
              <w:left w:val="nil"/>
            </w:tcBorders>
          </w:tcPr>
          <w:p w14:paraId="5F14699A" w14:textId="77777777" w:rsidR="009F74E5" w:rsidRPr="00220038" w:rsidRDefault="009F74E5" w:rsidP="006840C5">
            <w:pPr>
              <w:jc w:val="left"/>
              <w:rPr>
                <w:rFonts w:cs="Times New Roman"/>
                <w:color w:val="000000"/>
                <w:lang w:val="en-US"/>
              </w:rPr>
            </w:pPr>
            <w:r w:rsidRPr="00220038">
              <w:rPr>
                <w:rFonts w:cs="Times New Roman"/>
                <w:color w:val="000000"/>
                <w:lang w:val="en-US"/>
              </w:rPr>
              <w:t>(10.1%)</w:t>
            </w:r>
          </w:p>
        </w:tc>
        <w:tc>
          <w:tcPr>
            <w:tcW w:w="1248" w:type="dxa"/>
            <w:tcBorders>
              <w:top w:val="single" w:sz="4" w:space="0" w:color="auto"/>
              <w:right w:val="nil"/>
            </w:tcBorders>
          </w:tcPr>
          <w:p w14:paraId="2D242ECF" w14:textId="77777777" w:rsidR="009F74E5" w:rsidRPr="00220038" w:rsidRDefault="009F74E5" w:rsidP="006840C5">
            <w:pPr>
              <w:jc w:val="right"/>
              <w:rPr>
                <w:rFonts w:cs="Times New Roman"/>
                <w:color w:val="000000"/>
                <w:lang w:val="en-US"/>
              </w:rPr>
            </w:pPr>
            <w:r w:rsidRPr="00220038">
              <w:rPr>
                <w:rFonts w:cs="Times New Roman"/>
                <w:color w:val="000000"/>
                <w:lang w:val="en-US"/>
              </w:rPr>
              <w:t>428</w:t>
            </w:r>
          </w:p>
        </w:tc>
        <w:tc>
          <w:tcPr>
            <w:tcW w:w="1249" w:type="dxa"/>
            <w:tcBorders>
              <w:top w:val="single" w:sz="4" w:space="0" w:color="auto"/>
              <w:left w:val="nil"/>
            </w:tcBorders>
          </w:tcPr>
          <w:p w14:paraId="60248A52" w14:textId="77777777" w:rsidR="009F74E5" w:rsidRPr="00220038" w:rsidRDefault="009F74E5" w:rsidP="006840C5">
            <w:pPr>
              <w:jc w:val="left"/>
              <w:rPr>
                <w:rFonts w:cs="Times New Roman"/>
                <w:color w:val="000000"/>
                <w:lang w:val="en-US"/>
              </w:rPr>
            </w:pPr>
            <w:r w:rsidRPr="00220038">
              <w:rPr>
                <w:rFonts w:cs="Times New Roman"/>
                <w:color w:val="000000"/>
                <w:lang w:val="en-US"/>
              </w:rPr>
              <w:t>(7.8%)</w:t>
            </w:r>
          </w:p>
        </w:tc>
        <w:tc>
          <w:tcPr>
            <w:tcW w:w="1248" w:type="dxa"/>
            <w:tcBorders>
              <w:top w:val="single" w:sz="4" w:space="0" w:color="auto"/>
              <w:right w:val="nil"/>
            </w:tcBorders>
          </w:tcPr>
          <w:p w14:paraId="74DB64CC" w14:textId="77777777" w:rsidR="009F74E5" w:rsidRPr="00220038" w:rsidRDefault="009F74E5" w:rsidP="006840C5">
            <w:pPr>
              <w:jc w:val="right"/>
              <w:rPr>
                <w:rFonts w:cs="Times New Roman"/>
                <w:color w:val="000000"/>
                <w:lang w:val="en-US"/>
              </w:rPr>
            </w:pPr>
            <w:r w:rsidRPr="00220038">
              <w:rPr>
                <w:rFonts w:cs="Times New Roman"/>
                <w:color w:val="000000"/>
                <w:lang w:val="en-US"/>
              </w:rPr>
              <w:t>786</w:t>
            </w:r>
          </w:p>
        </w:tc>
        <w:tc>
          <w:tcPr>
            <w:tcW w:w="1248" w:type="dxa"/>
            <w:tcBorders>
              <w:top w:val="single" w:sz="4" w:space="0" w:color="auto"/>
              <w:left w:val="nil"/>
            </w:tcBorders>
          </w:tcPr>
          <w:p w14:paraId="1FB6CD5D" w14:textId="77777777" w:rsidR="009F74E5" w:rsidRPr="00220038" w:rsidRDefault="009F74E5" w:rsidP="006840C5">
            <w:pPr>
              <w:jc w:val="left"/>
              <w:rPr>
                <w:rFonts w:cs="Times New Roman"/>
                <w:color w:val="000000"/>
                <w:lang w:val="en-US"/>
              </w:rPr>
            </w:pPr>
            <w:r w:rsidRPr="00220038">
              <w:rPr>
                <w:rFonts w:cs="Times New Roman"/>
                <w:color w:val="000000"/>
                <w:lang w:val="en-US"/>
              </w:rPr>
              <w:t>(14.4%)</w:t>
            </w:r>
          </w:p>
        </w:tc>
        <w:tc>
          <w:tcPr>
            <w:tcW w:w="1249" w:type="dxa"/>
            <w:tcBorders>
              <w:top w:val="single" w:sz="4" w:space="0" w:color="auto"/>
              <w:right w:val="nil"/>
            </w:tcBorders>
          </w:tcPr>
          <w:p w14:paraId="42F127F3" w14:textId="77777777" w:rsidR="009F74E5" w:rsidRPr="00220038" w:rsidRDefault="009F74E5" w:rsidP="006840C5">
            <w:pPr>
              <w:widowControl w:val="0"/>
              <w:autoSpaceDE w:val="0"/>
              <w:autoSpaceDN w:val="0"/>
              <w:adjustRightInd w:val="0"/>
              <w:spacing w:after="0" w:line="240" w:lineRule="auto"/>
              <w:rPr>
                <w:rFonts w:cs="Times New Roman"/>
                <w:lang w:val="en-US"/>
              </w:rPr>
            </w:pPr>
            <w:r w:rsidRPr="00220038">
              <w:rPr>
                <w:rFonts w:cs="Times New Roman"/>
                <w:lang w:val="en-US"/>
              </w:rPr>
              <w:t>5469</w:t>
            </w:r>
          </w:p>
        </w:tc>
      </w:tr>
    </w:tbl>
    <w:p w14:paraId="7EE6BB6B" w14:textId="7F72A54A" w:rsidR="009F74E5" w:rsidRPr="00220038" w:rsidRDefault="009F74E5" w:rsidP="009F74E5">
      <w:pPr>
        <w:widowControl w:val="0"/>
        <w:autoSpaceDE w:val="0"/>
        <w:autoSpaceDN w:val="0"/>
        <w:adjustRightInd w:val="0"/>
        <w:spacing w:after="0" w:line="240" w:lineRule="auto"/>
        <w:rPr>
          <w:rFonts w:cs="Times New Roman"/>
          <w:sz w:val="20"/>
          <w:szCs w:val="20"/>
          <w:lang w:val="en-US"/>
        </w:rPr>
      </w:pPr>
      <w:r w:rsidRPr="00220038">
        <w:rPr>
          <w:rFonts w:cs="Times New Roman"/>
          <w:i/>
          <w:sz w:val="20"/>
          <w:szCs w:val="20"/>
          <w:lang w:val="en-US"/>
        </w:rPr>
        <w:t>Notes:</w:t>
      </w:r>
      <w:r w:rsidRPr="00220038">
        <w:rPr>
          <w:rFonts w:cs="Times New Roman"/>
          <w:sz w:val="20"/>
          <w:szCs w:val="20"/>
          <w:lang w:val="en-US"/>
        </w:rPr>
        <w:t xml:space="preserve"> Entries are given in absolute number of advertisements published in printed newspapers between 1 August and 18 October 2015</w:t>
      </w:r>
      <w:r w:rsidR="00BC59BC" w:rsidRPr="00220038">
        <w:rPr>
          <w:rFonts w:cs="Times New Roman"/>
          <w:sz w:val="20"/>
          <w:szCs w:val="20"/>
          <w:lang w:val="en-US"/>
        </w:rPr>
        <w:t xml:space="preserve">, </w:t>
      </w:r>
      <w:r w:rsidRPr="00220038">
        <w:rPr>
          <w:rFonts w:cs="Times New Roman"/>
          <w:sz w:val="20"/>
          <w:szCs w:val="20"/>
          <w:lang w:val="en-US"/>
        </w:rPr>
        <w:t xml:space="preserve">as well as in percent of total ads registered for that party during the given period. Source: APS (2016). </w:t>
      </w:r>
      <w:r w:rsidRPr="00220038">
        <w:rPr>
          <w:rFonts w:cs="Times New Roman"/>
          <w:sz w:val="20"/>
          <w:szCs w:val="20"/>
          <w:vertAlign w:val="superscript"/>
          <w:lang w:val="en-US"/>
        </w:rPr>
        <w:t>a)</w:t>
      </w:r>
      <w:r w:rsidRPr="00220038">
        <w:rPr>
          <w:rFonts w:cs="Times New Roman"/>
          <w:sz w:val="20"/>
          <w:szCs w:val="20"/>
          <w:lang w:val="en-US"/>
        </w:rPr>
        <w:t xml:space="preserve"> These entries correspond to the total number of ads published by the seven major parties.</w:t>
      </w:r>
    </w:p>
    <w:p w14:paraId="74B1008A" w14:textId="77777777" w:rsidR="009F74E5" w:rsidRPr="00220038" w:rsidRDefault="009F74E5" w:rsidP="009F74E5">
      <w:pPr>
        <w:widowControl w:val="0"/>
        <w:autoSpaceDE w:val="0"/>
        <w:autoSpaceDN w:val="0"/>
        <w:adjustRightInd w:val="0"/>
        <w:spacing w:after="0" w:line="240" w:lineRule="auto"/>
        <w:rPr>
          <w:rFonts w:cs="Times New Roman"/>
          <w:sz w:val="20"/>
          <w:szCs w:val="20"/>
          <w:lang w:val="en-US"/>
        </w:rPr>
      </w:pPr>
    </w:p>
    <w:p w14:paraId="456E93F6" w14:textId="37578799" w:rsidR="009F74E5" w:rsidRPr="00220038" w:rsidRDefault="009F74E5" w:rsidP="009F74E5">
      <w:pPr>
        <w:rPr>
          <w:lang w:val="en-US"/>
        </w:rPr>
      </w:pPr>
      <w:r w:rsidRPr="00220038">
        <w:rPr>
          <w:lang w:val="en-US"/>
        </w:rPr>
        <w:t xml:space="preserve">There are several conclusions that we can draw from observing the campaign in </w:t>
      </w:r>
      <w:r w:rsidR="00DE2CC4" w:rsidRPr="00220038">
        <w:rPr>
          <w:lang w:val="en-US"/>
        </w:rPr>
        <w:t xml:space="preserve">the </w:t>
      </w:r>
      <w:r w:rsidRPr="00220038">
        <w:rPr>
          <w:lang w:val="en-US"/>
        </w:rPr>
        <w:t xml:space="preserve">print media. First, the distribution of advertisements between parties </w:t>
      </w:r>
      <w:r w:rsidR="00DE2CC4" w:rsidRPr="00220038">
        <w:rPr>
          <w:lang w:val="en-US"/>
        </w:rPr>
        <w:t xml:space="preserve">portrays the </w:t>
      </w:r>
      <w:r w:rsidRPr="00220038">
        <w:rPr>
          <w:lang w:val="en-US"/>
        </w:rPr>
        <w:t>large</w:t>
      </w:r>
      <w:r w:rsidR="00DE2CC4" w:rsidRPr="00220038">
        <w:rPr>
          <w:lang w:val="en-US"/>
        </w:rPr>
        <w:t xml:space="preserve"> financial</w:t>
      </w:r>
      <w:r w:rsidRPr="00220038">
        <w:rPr>
          <w:lang w:val="en-US"/>
        </w:rPr>
        <w:t xml:space="preserve"> inequalities that parties </w:t>
      </w:r>
      <w:r w:rsidRPr="00220038">
        <w:rPr>
          <w:lang w:val="en-US"/>
        </w:rPr>
        <w:lastRenderedPageBreak/>
        <w:t xml:space="preserve">have at their disposal (Hermann 2012): the FDP and the SVP placed almost </w:t>
      </w:r>
      <w:r w:rsidR="00DE2CC4" w:rsidRPr="00220038">
        <w:rPr>
          <w:lang w:val="en-US"/>
        </w:rPr>
        <w:t>twice as many</w:t>
      </w:r>
      <w:r w:rsidRPr="00220038">
        <w:rPr>
          <w:lang w:val="en-US"/>
        </w:rPr>
        <w:t xml:space="preserve"> ads in newspaper</w:t>
      </w:r>
      <w:r w:rsidR="00B54536" w:rsidRPr="00220038">
        <w:rPr>
          <w:lang w:val="en-US"/>
        </w:rPr>
        <w:t>s</w:t>
      </w:r>
      <w:r w:rsidRPr="00220038">
        <w:rPr>
          <w:lang w:val="en-US"/>
        </w:rPr>
        <w:t xml:space="preserve"> than the party with the third most intensive campaign in print media (CVP). Second, it was particularly the SVP and the FDP wh</w:t>
      </w:r>
      <w:r w:rsidR="00DE2CC4" w:rsidRPr="00220038">
        <w:rPr>
          <w:lang w:val="en-US"/>
        </w:rPr>
        <w:t>ich</w:t>
      </w:r>
      <w:r w:rsidRPr="00220038">
        <w:rPr>
          <w:lang w:val="en-US"/>
        </w:rPr>
        <w:t xml:space="preserve"> conducted an intensive large-scale issue-specific campaign. In contrast to the other parties, both parties placed a large amount of ads that focused</w:t>
      </w:r>
      <w:r w:rsidR="00DE2CC4" w:rsidRPr="00220038">
        <w:rPr>
          <w:lang w:val="en-US"/>
        </w:rPr>
        <w:t xml:space="preserve"> solely</w:t>
      </w:r>
      <w:r w:rsidRPr="00220038">
        <w:rPr>
          <w:lang w:val="en-US"/>
        </w:rPr>
        <w:t xml:space="preserve"> on issues </w:t>
      </w:r>
      <w:r w:rsidR="00B54536" w:rsidRPr="00220038">
        <w:rPr>
          <w:lang w:val="en-US"/>
        </w:rPr>
        <w:t>rather than on</w:t>
      </w:r>
      <w:r w:rsidRPr="00220038">
        <w:rPr>
          <w:lang w:val="en-US"/>
        </w:rPr>
        <w:t xml:space="preserve"> candidates (</w:t>
      </w:r>
      <w:proofErr w:type="spellStart"/>
      <w:r w:rsidR="00C02093">
        <w:rPr>
          <w:lang w:val="en-US"/>
        </w:rPr>
        <w:t>Bochsler</w:t>
      </w:r>
      <w:proofErr w:type="spellEnd"/>
      <w:r w:rsidR="00C02093">
        <w:rPr>
          <w:lang w:val="en-US"/>
        </w:rPr>
        <w:t xml:space="preserve"> et al. 2016; </w:t>
      </w:r>
      <w:proofErr w:type="spellStart"/>
      <w:r w:rsidRPr="00220038">
        <w:rPr>
          <w:lang w:val="en-US"/>
        </w:rPr>
        <w:t>Bühlmann</w:t>
      </w:r>
      <w:proofErr w:type="spellEnd"/>
      <w:r w:rsidRPr="00220038">
        <w:rPr>
          <w:lang w:val="en-US"/>
        </w:rPr>
        <w:t xml:space="preserve"> et al</w:t>
      </w:r>
      <w:r w:rsidR="00C02093">
        <w:rPr>
          <w:lang w:val="en-US"/>
        </w:rPr>
        <w:t>. 2016)</w:t>
      </w:r>
      <w:r w:rsidRPr="00220038">
        <w:rPr>
          <w:lang w:val="en-US"/>
        </w:rPr>
        <w:t xml:space="preserve"> This stands in stark contrast to the 2011 elections</w:t>
      </w:r>
      <w:r w:rsidR="00CB5B14" w:rsidRPr="00220038">
        <w:rPr>
          <w:lang w:val="en-US"/>
        </w:rPr>
        <w:t>,</w:t>
      </w:r>
      <w:r w:rsidRPr="00220038">
        <w:rPr>
          <w:lang w:val="en-US"/>
        </w:rPr>
        <w:t xml:space="preserve"> where most of the parties also promoted their core issues with issue-specific newspaper ads by advertising their popular initiatives, though </w:t>
      </w:r>
      <w:r w:rsidR="00BB288E" w:rsidRPr="00220038">
        <w:rPr>
          <w:lang w:val="en-US"/>
        </w:rPr>
        <w:t>less frequently</w:t>
      </w:r>
      <w:r w:rsidRPr="00220038">
        <w:rPr>
          <w:lang w:val="en-US"/>
        </w:rPr>
        <w:t xml:space="preserve"> (Gerber and Mueller 2016: 195). Third, it </w:t>
      </w:r>
      <w:r w:rsidR="00BB288E" w:rsidRPr="00220038">
        <w:rPr>
          <w:lang w:val="en-US"/>
        </w:rPr>
        <w:t>is discernible in</w:t>
      </w:r>
      <w:r w:rsidRPr="00220038">
        <w:rPr>
          <w:lang w:val="en-US"/>
        </w:rPr>
        <w:t xml:space="preserve"> Table 1 that the SVP was the only party that substantially promoted </w:t>
      </w:r>
      <w:r w:rsidR="007B5D39" w:rsidRPr="00220038">
        <w:rPr>
          <w:lang w:val="en-US"/>
        </w:rPr>
        <w:t xml:space="preserve">its </w:t>
      </w:r>
      <w:r w:rsidRPr="00220038">
        <w:rPr>
          <w:lang w:val="en-US"/>
        </w:rPr>
        <w:t xml:space="preserve">stance on the issue of migration and asylum. There were some candidates of other parties, particularly from the Greens and the FDP, who also </w:t>
      </w:r>
      <w:r w:rsidR="00BB288E" w:rsidRPr="00220038">
        <w:rPr>
          <w:lang w:val="en-US"/>
        </w:rPr>
        <w:t xml:space="preserve">raised </w:t>
      </w:r>
      <w:r w:rsidRPr="00220038">
        <w:rPr>
          <w:lang w:val="en-US"/>
        </w:rPr>
        <w:t xml:space="preserve">the issue in their newspaper ads, but the SVP was responsible for almost 90% of all migration </w:t>
      </w:r>
      <w:r w:rsidR="007B5D39" w:rsidRPr="00220038">
        <w:rPr>
          <w:lang w:val="en-US"/>
        </w:rPr>
        <w:t xml:space="preserve">posts </w:t>
      </w:r>
      <w:r w:rsidRPr="00220038">
        <w:rPr>
          <w:lang w:val="en-US"/>
        </w:rPr>
        <w:t xml:space="preserve">encountered in </w:t>
      </w:r>
      <w:r w:rsidR="007B5D39" w:rsidRPr="00220038">
        <w:rPr>
          <w:lang w:val="en-US"/>
        </w:rPr>
        <w:t xml:space="preserve">the </w:t>
      </w:r>
      <w:r w:rsidRPr="00220038">
        <w:rPr>
          <w:lang w:val="en-US"/>
        </w:rPr>
        <w:t>print media. This stands in contrast to the other two campaign issues of the SVP</w:t>
      </w:r>
      <w:r w:rsidR="00D01ED6" w:rsidRPr="00220038">
        <w:rPr>
          <w:lang w:val="en-US"/>
        </w:rPr>
        <w:t>,</w:t>
      </w:r>
      <w:r w:rsidRPr="00220038">
        <w:rPr>
          <w:lang w:val="en-US"/>
        </w:rPr>
        <w:t xml:space="preserve"> where </w:t>
      </w:r>
      <w:r w:rsidR="00D01ED6" w:rsidRPr="00220038">
        <w:rPr>
          <w:lang w:val="en-US"/>
        </w:rPr>
        <w:t>it</w:t>
      </w:r>
      <w:r w:rsidRPr="00220038">
        <w:rPr>
          <w:lang w:val="en-US"/>
        </w:rPr>
        <w:t xml:space="preserve"> had to compete with other parties: the EU issue was also brought up by the FDP and the issue of economy was not only intensively promoted by the FDP and the SVP</w:t>
      </w:r>
      <w:r w:rsidR="00D01ED6" w:rsidRPr="00220038">
        <w:rPr>
          <w:lang w:val="en-US"/>
        </w:rPr>
        <w:t>,</w:t>
      </w:r>
      <w:r w:rsidRPr="00220038">
        <w:rPr>
          <w:lang w:val="en-US"/>
        </w:rPr>
        <w:t xml:space="preserve"> but was also an important campaign topic of the CVP.</w:t>
      </w:r>
    </w:p>
    <w:p w14:paraId="3E2F1883" w14:textId="2097C013" w:rsidR="009F74E5" w:rsidRPr="00220038" w:rsidRDefault="00336A8A" w:rsidP="009F74E5">
      <w:pPr>
        <w:rPr>
          <w:rFonts w:cs="Times New Roman"/>
          <w:lang w:val="en-US"/>
        </w:rPr>
      </w:pPr>
      <w:r w:rsidRPr="00220038">
        <w:rPr>
          <w:rFonts w:cs="Times New Roman"/>
          <w:lang w:val="en-US"/>
        </w:rPr>
        <w:t>T</w:t>
      </w:r>
      <w:r w:rsidR="009F74E5" w:rsidRPr="00220038">
        <w:rPr>
          <w:rFonts w:cs="Times New Roman"/>
          <w:lang w:val="en-US"/>
        </w:rPr>
        <w:t xml:space="preserve">o test our hypotheses with regard to campaign effects, we calculated interaction effects between exposure to issue-specific political advertisement, a respondent’s vote intention and a </w:t>
      </w:r>
      <w:r w:rsidR="00505551" w:rsidRPr="00220038">
        <w:rPr>
          <w:rFonts w:cs="Times New Roman"/>
          <w:lang w:val="en-US"/>
        </w:rPr>
        <w:t>respondent’s</w:t>
      </w:r>
      <w:r w:rsidR="009F74E5" w:rsidRPr="00220038">
        <w:rPr>
          <w:rFonts w:cs="Times New Roman"/>
          <w:lang w:val="en-US"/>
        </w:rPr>
        <w:t xml:space="preserve"> issue preferences. Concerning the latter, we focus</w:t>
      </w:r>
      <w:r w:rsidR="00D05D36" w:rsidRPr="00220038">
        <w:rPr>
          <w:rFonts w:cs="Times New Roman"/>
          <w:lang w:val="en-US"/>
        </w:rPr>
        <w:t>ed</w:t>
      </w:r>
      <w:r w:rsidR="009F74E5" w:rsidRPr="00220038">
        <w:rPr>
          <w:rFonts w:cs="Times New Roman"/>
          <w:lang w:val="en-US"/>
        </w:rPr>
        <w:t xml:space="preserve"> on three questions </w:t>
      </w:r>
      <w:r w:rsidR="00D05D36" w:rsidRPr="00220038">
        <w:rPr>
          <w:rFonts w:cs="Times New Roman"/>
          <w:lang w:val="en-US"/>
        </w:rPr>
        <w:t xml:space="preserve">which </w:t>
      </w:r>
      <w:r w:rsidR="009F74E5" w:rsidRPr="00220038">
        <w:rPr>
          <w:rFonts w:cs="Times New Roman"/>
          <w:lang w:val="en-US"/>
        </w:rPr>
        <w:t>indicate a respondent</w:t>
      </w:r>
      <w:r w:rsidR="0071373B" w:rsidRPr="00220038">
        <w:rPr>
          <w:rFonts w:cs="Times New Roman"/>
          <w:lang w:val="en-US"/>
        </w:rPr>
        <w:t>’</w:t>
      </w:r>
      <w:r w:rsidR="009F74E5" w:rsidRPr="00220038">
        <w:rPr>
          <w:rFonts w:cs="Times New Roman"/>
          <w:lang w:val="en-US"/>
        </w:rPr>
        <w:t>s position on the three issues. With regard to immigration, a question in the Selects questionnaire asks whether immigration should be limited. Here, we create</w:t>
      </w:r>
      <w:r w:rsidR="000124B9" w:rsidRPr="00220038">
        <w:rPr>
          <w:rFonts w:cs="Times New Roman"/>
          <w:lang w:val="en-US"/>
        </w:rPr>
        <w:t>d</w:t>
      </w:r>
      <w:r w:rsidR="009F74E5" w:rsidRPr="00220038">
        <w:rPr>
          <w:rFonts w:cs="Times New Roman"/>
          <w:lang w:val="en-US"/>
        </w:rPr>
        <w:t xml:space="preserve"> a binary indicator</w:t>
      </w:r>
      <w:r w:rsidR="000124B9" w:rsidRPr="00220038">
        <w:rPr>
          <w:rFonts w:cs="Times New Roman"/>
          <w:lang w:val="en-US"/>
        </w:rPr>
        <w:t xml:space="preserve"> for</w:t>
      </w:r>
      <w:r w:rsidR="0059016E" w:rsidRPr="00220038">
        <w:rPr>
          <w:rFonts w:cs="Times New Roman"/>
          <w:lang w:val="en-US"/>
        </w:rPr>
        <w:t xml:space="preserve"> whether</w:t>
      </w:r>
      <w:r w:rsidR="009F74E5" w:rsidRPr="00220038">
        <w:rPr>
          <w:rFonts w:cs="Times New Roman"/>
          <w:lang w:val="en-US"/>
        </w:rPr>
        <w:t xml:space="preserve"> respondents </w:t>
      </w:r>
      <w:r w:rsidR="0059016E" w:rsidRPr="00220038">
        <w:rPr>
          <w:rFonts w:cs="Times New Roman"/>
          <w:lang w:val="en-US"/>
        </w:rPr>
        <w:t xml:space="preserve">somewhat </w:t>
      </w:r>
      <w:r w:rsidR="009F74E5" w:rsidRPr="00220038">
        <w:rPr>
          <w:rFonts w:cs="Times New Roman"/>
          <w:lang w:val="en-US"/>
        </w:rPr>
        <w:t>or strongly affirm this question</w:t>
      </w:r>
      <w:r w:rsidR="0059016E" w:rsidRPr="00220038">
        <w:rPr>
          <w:rFonts w:cs="Times New Roman"/>
          <w:lang w:val="en-US"/>
        </w:rPr>
        <w:t xml:space="preserve"> (1)</w:t>
      </w:r>
      <w:r w:rsidR="009F74E5" w:rsidRPr="00220038">
        <w:rPr>
          <w:rFonts w:cs="Times New Roman"/>
          <w:lang w:val="en-US"/>
        </w:rPr>
        <w:t xml:space="preserve"> </w:t>
      </w:r>
      <w:r w:rsidR="0059016E" w:rsidRPr="00220038">
        <w:rPr>
          <w:rFonts w:cs="Times New Roman"/>
          <w:lang w:val="en-US"/>
        </w:rPr>
        <w:t>or whether</w:t>
      </w:r>
      <w:r w:rsidR="009F74E5" w:rsidRPr="00220038">
        <w:rPr>
          <w:rFonts w:cs="Times New Roman"/>
          <w:lang w:val="en-US"/>
        </w:rPr>
        <w:t xml:space="preserve"> they are neutral or </w:t>
      </w:r>
      <w:r w:rsidR="0059016E" w:rsidRPr="00220038">
        <w:rPr>
          <w:rFonts w:cs="Times New Roman"/>
          <w:lang w:val="en-US"/>
        </w:rPr>
        <w:t>som</w:t>
      </w:r>
      <w:r w:rsidR="009C1D49" w:rsidRPr="00220038">
        <w:rPr>
          <w:rFonts w:cs="Times New Roman"/>
          <w:lang w:val="en-US"/>
        </w:rPr>
        <w:t>e</w:t>
      </w:r>
      <w:r w:rsidR="0059016E" w:rsidRPr="00220038">
        <w:rPr>
          <w:rFonts w:cs="Times New Roman"/>
          <w:lang w:val="en-US"/>
        </w:rPr>
        <w:t>what</w:t>
      </w:r>
      <w:r w:rsidR="009F74E5" w:rsidRPr="00220038">
        <w:rPr>
          <w:rFonts w:cs="Times New Roman"/>
          <w:lang w:val="en-US"/>
        </w:rPr>
        <w:t xml:space="preserve"> against such measures</w:t>
      </w:r>
      <w:r w:rsidR="0059016E" w:rsidRPr="00220038">
        <w:rPr>
          <w:rFonts w:cs="Times New Roman"/>
          <w:lang w:val="en-US"/>
        </w:rPr>
        <w:t xml:space="preserve"> (0)</w:t>
      </w:r>
      <w:r w:rsidR="009F74E5" w:rsidRPr="00220038">
        <w:rPr>
          <w:rFonts w:cs="Times New Roman"/>
          <w:lang w:val="en-US"/>
        </w:rPr>
        <w:t>. Turning to the EU issue, we create</w:t>
      </w:r>
      <w:r w:rsidR="000124B9" w:rsidRPr="00220038">
        <w:rPr>
          <w:rFonts w:cs="Times New Roman"/>
          <w:lang w:val="en-US"/>
        </w:rPr>
        <w:t>d</w:t>
      </w:r>
      <w:r w:rsidR="009F74E5" w:rsidRPr="00220038">
        <w:rPr>
          <w:rFonts w:cs="Times New Roman"/>
          <w:lang w:val="en-US"/>
        </w:rPr>
        <w:t xml:space="preserve"> a binary variable </w:t>
      </w:r>
      <w:r w:rsidR="000124B9" w:rsidRPr="00220038">
        <w:rPr>
          <w:rFonts w:cs="Times New Roman"/>
          <w:lang w:val="en-US"/>
        </w:rPr>
        <w:t>for</w:t>
      </w:r>
      <w:r w:rsidR="0059016E" w:rsidRPr="00220038">
        <w:rPr>
          <w:rFonts w:cs="Times New Roman"/>
          <w:lang w:val="en-US"/>
        </w:rPr>
        <w:t xml:space="preserve"> whether</w:t>
      </w:r>
      <w:r w:rsidR="009F74E5" w:rsidRPr="00220038">
        <w:rPr>
          <w:rFonts w:cs="Times New Roman"/>
          <w:lang w:val="en-US"/>
        </w:rPr>
        <w:t xml:space="preserve"> individuals are strongly opposed </w:t>
      </w:r>
      <w:r w:rsidR="003333E3" w:rsidRPr="00220038">
        <w:rPr>
          <w:rFonts w:cs="Times New Roman"/>
          <w:lang w:val="en-US"/>
        </w:rPr>
        <w:t>(</w:t>
      </w:r>
      <w:r w:rsidR="0059016E" w:rsidRPr="00220038">
        <w:rPr>
          <w:rFonts w:cs="Times New Roman"/>
          <w:lang w:val="en-US"/>
        </w:rPr>
        <w:t xml:space="preserve">1) </w:t>
      </w:r>
      <w:r w:rsidR="003333E3" w:rsidRPr="00220038">
        <w:rPr>
          <w:rFonts w:cs="Times New Roman"/>
          <w:lang w:val="en-US"/>
        </w:rPr>
        <w:t>to Switzerland becoming a member of the EU</w:t>
      </w:r>
      <w:r w:rsidR="004063C3" w:rsidRPr="00220038">
        <w:rPr>
          <w:rFonts w:cs="Times New Roman"/>
          <w:lang w:val="en-US"/>
        </w:rPr>
        <w:t xml:space="preserve"> or whether they were </w:t>
      </w:r>
      <w:r w:rsidR="007C6AFA" w:rsidRPr="00220038">
        <w:rPr>
          <w:rFonts w:cs="Times New Roman"/>
          <w:lang w:val="en-US"/>
        </w:rPr>
        <w:t xml:space="preserve">somewhat </w:t>
      </w:r>
      <w:r w:rsidR="004063C3" w:rsidRPr="00220038">
        <w:rPr>
          <w:rFonts w:cs="Times New Roman"/>
          <w:lang w:val="en-US"/>
        </w:rPr>
        <w:t>opposed, neutral or in favor of EU membership (0)</w:t>
      </w:r>
      <w:r w:rsidR="009F74E5" w:rsidRPr="00220038">
        <w:rPr>
          <w:rFonts w:cs="Times New Roman"/>
          <w:lang w:val="en-US"/>
        </w:rPr>
        <w:t>.</w:t>
      </w:r>
      <w:r w:rsidR="009F74E5" w:rsidRPr="00220038">
        <w:rPr>
          <w:rStyle w:val="Appelnotedebasdep"/>
          <w:rFonts w:cs="Times New Roman"/>
          <w:lang w:val="en-US"/>
        </w:rPr>
        <w:footnoteReference w:id="9"/>
      </w:r>
      <w:r w:rsidR="009F74E5" w:rsidRPr="00220038">
        <w:rPr>
          <w:rFonts w:cs="Times New Roman"/>
          <w:lang w:val="en-US"/>
        </w:rPr>
        <w:t xml:space="preserve"> </w:t>
      </w:r>
      <w:r w:rsidR="0059016E" w:rsidRPr="00220038">
        <w:rPr>
          <w:rFonts w:cs="Times New Roman"/>
          <w:lang w:val="en-US"/>
        </w:rPr>
        <w:t>The third</w:t>
      </w:r>
      <w:r w:rsidR="009F74E5" w:rsidRPr="00220038">
        <w:rPr>
          <w:rFonts w:cs="Times New Roman"/>
          <w:lang w:val="en-US"/>
        </w:rPr>
        <w:t xml:space="preserve"> dichotomous variable capture</w:t>
      </w:r>
      <w:r w:rsidR="00950932" w:rsidRPr="00220038">
        <w:rPr>
          <w:rFonts w:cs="Times New Roman"/>
          <w:lang w:val="en-US"/>
        </w:rPr>
        <w:t>s</w:t>
      </w:r>
      <w:r w:rsidR="009F74E5" w:rsidRPr="00220038">
        <w:rPr>
          <w:rFonts w:cs="Times New Roman"/>
          <w:lang w:val="en-US"/>
        </w:rPr>
        <w:t xml:space="preserve"> preferences on the economy. Here, respondents</w:t>
      </w:r>
      <w:r w:rsidR="0059016E" w:rsidRPr="00220038">
        <w:rPr>
          <w:rFonts w:cs="Times New Roman"/>
          <w:lang w:val="en-US"/>
        </w:rPr>
        <w:t xml:space="preserve"> were scored on</w:t>
      </w:r>
      <w:r w:rsidR="009F74E5" w:rsidRPr="00220038">
        <w:rPr>
          <w:rFonts w:cs="Times New Roman"/>
          <w:lang w:val="en-US"/>
        </w:rPr>
        <w:t xml:space="preserve"> </w:t>
      </w:r>
      <w:r w:rsidR="0059016E" w:rsidRPr="00220038">
        <w:rPr>
          <w:rFonts w:cs="Times New Roman"/>
          <w:lang w:val="en-US"/>
        </w:rPr>
        <w:t>whether</w:t>
      </w:r>
      <w:r w:rsidR="009F74E5" w:rsidRPr="00220038">
        <w:rPr>
          <w:rFonts w:cs="Times New Roman"/>
          <w:lang w:val="en-US"/>
        </w:rPr>
        <w:t xml:space="preserve"> they </w:t>
      </w:r>
      <w:r w:rsidR="0059016E" w:rsidRPr="00220038">
        <w:rPr>
          <w:rFonts w:cs="Times New Roman"/>
          <w:lang w:val="en-US"/>
        </w:rPr>
        <w:t xml:space="preserve">somewhat </w:t>
      </w:r>
      <w:r w:rsidR="009F74E5" w:rsidRPr="00220038">
        <w:rPr>
          <w:rFonts w:cs="Times New Roman"/>
          <w:lang w:val="en-US"/>
        </w:rPr>
        <w:t>or strongly favor additional measures to strengthen the economy</w:t>
      </w:r>
      <w:r w:rsidR="0059016E" w:rsidRPr="00220038">
        <w:rPr>
          <w:rFonts w:cs="Times New Roman"/>
          <w:lang w:val="en-US"/>
        </w:rPr>
        <w:t xml:space="preserve"> (1)</w:t>
      </w:r>
      <w:r w:rsidR="009F74E5" w:rsidRPr="00220038">
        <w:rPr>
          <w:rFonts w:cs="Times New Roman"/>
          <w:lang w:val="en-US"/>
        </w:rPr>
        <w:t xml:space="preserve"> </w:t>
      </w:r>
      <w:r w:rsidR="0059016E" w:rsidRPr="00220038">
        <w:rPr>
          <w:rFonts w:cs="Times New Roman"/>
          <w:lang w:val="en-US"/>
        </w:rPr>
        <w:t>or</w:t>
      </w:r>
      <w:r w:rsidR="009F74E5" w:rsidRPr="00220038">
        <w:rPr>
          <w:rFonts w:cs="Times New Roman"/>
          <w:lang w:val="en-US"/>
        </w:rPr>
        <w:t xml:space="preserve"> </w:t>
      </w:r>
      <w:r w:rsidR="0059016E" w:rsidRPr="00220038">
        <w:rPr>
          <w:rFonts w:cs="Times New Roman"/>
          <w:lang w:val="en-US"/>
        </w:rPr>
        <w:t xml:space="preserve">whether they were </w:t>
      </w:r>
      <w:r w:rsidR="007C6AFA" w:rsidRPr="00220038">
        <w:rPr>
          <w:rFonts w:cs="Times New Roman"/>
          <w:lang w:val="en-US"/>
        </w:rPr>
        <w:t xml:space="preserve">neutral towards or </w:t>
      </w:r>
      <w:r w:rsidR="0059016E" w:rsidRPr="00220038">
        <w:rPr>
          <w:rFonts w:cs="Times New Roman"/>
          <w:lang w:val="en-US"/>
        </w:rPr>
        <w:t>opposed to such measures (0)</w:t>
      </w:r>
      <w:r w:rsidR="009F74E5" w:rsidRPr="00220038">
        <w:rPr>
          <w:rFonts w:cs="Times New Roman"/>
          <w:lang w:val="en-US"/>
        </w:rPr>
        <w:t xml:space="preserve">. </w:t>
      </w:r>
      <w:r w:rsidR="0059016E" w:rsidRPr="00220038">
        <w:rPr>
          <w:rFonts w:cs="Times New Roman"/>
          <w:lang w:val="en-US"/>
        </w:rPr>
        <w:t>T</w:t>
      </w:r>
      <w:r w:rsidR="009F74E5" w:rsidRPr="00220038">
        <w:rPr>
          <w:rFonts w:cs="Times New Roman"/>
          <w:lang w:val="en-US"/>
        </w:rPr>
        <w:t>o</w:t>
      </w:r>
      <w:r w:rsidR="0059016E" w:rsidRPr="00220038">
        <w:rPr>
          <w:rFonts w:cs="Times New Roman"/>
          <w:lang w:val="en-US"/>
        </w:rPr>
        <w:t xml:space="preserve"> be able to</w:t>
      </w:r>
      <w:r w:rsidR="009F74E5" w:rsidRPr="00220038">
        <w:rPr>
          <w:rFonts w:cs="Times New Roman"/>
          <w:lang w:val="en-US"/>
        </w:rPr>
        <w:t xml:space="preserve"> omit simultaneity issues, these variables were also assessed at </w:t>
      </w:r>
      <w:r w:rsidR="0084006C" w:rsidRPr="00220038">
        <w:rPr>
          <w:rFonts w:cs="Times New Roman"/>
          <w:lang w:val="en-US"/>
        </w:rPr>
        <w:t xml:space="preserve">wave </w:t>
      </w:r>
      <w:r w:rsidR="009F74E5" w:rsidRPr="00220038">
        <w:rPr>
          <w:rFonts w:cs="Times New Roman"/>
          <w:lang w:val="en-US"/>
        </w:rPr>
        <w:t xml:space="preserve">1. </w:t>
      </w:r>
    </w:p>
    <w:p w14:paraId="2FCC32C1" w14:textId="7E5242C4" w:rsidR="009F74E5" w:rsidRPr="00220038" w:rsidRDefault="001E16BF" w:rsidP="009F74E5">
      <w:pPr>
        <w:pStyle w:val="Titre2"/>
        <w:rPr>
          <w:lang w:val="en-US"/>
        </w:rPr>
      </w:pPr>
      <w:r>
        <w:rPr>
          <w:lang w:val="en-US"/>
        </w:rPr>
        <w:t>Control V</w:t>
      </w:r>
      <w:r w:rsidR="009F74E5" w:rsidRPr="00220038">
        <w:rPr>
          <w:lang w:val="en-US"/>
        </w:rPr>
        <w:t>ariables</w:t>
      </w:r>
    </w:p>
    <w:p w14:paraId="47C3F5CC" w14:textId="54CEBC59" w:rsidR="009F74E5" w:rsidRPr="00220038" w:rsidRDefault="009F74E5" w:rsidP="009F74E5">
      <w:pPr>
        <w:rPr>
          <w:lang w:val="en-US"/>
        </w:rPr>
      </w:pPr>
      <w:r w:rsidRPr="00220038">
        <w:rPr>
          <w:lang w:val="en-US"/>
        </w:rPr>
        <w:t>As controls at the individual level, we insert</w:t>
      </w:r>
      <w:r w:rsidR="004E7722" w:rsidRPr="00220038">
        <w:rPr>
          <w:lang w:val="en-US"/>
        </w:rPr>
        <w:t>ed</w:t>
      </w:r>
      <w:r w:rsidRPr="00220038">
        <w:rPr>
          <w:lang w:val="en-US"/>
        </w:rPr>
        <w:t xml:space="preserve"> the socio-demographic variables of gender, age in years, religious affiliation, education, income, the self-placement on the left-right-scale </w:t>
      </w:r>
      <w:r w:rsidR="001F2546" w:rsidRPr="00220038">
        <w:rPr>
          <w:lang w:val="en-US"/>
        </w:rPr>
        <w:t>and</w:t>
      </w:r>
      <w:r w:rsidRPr="00220038">
        <w:rPr>
          <w:lang w:val="en-US"/>
        </w:rPr>
        <w:t xml:space="preserve"> </w:t>
      </w:r>
      <w:r w:rsidR="00BE1C9C" w:rsidRPr="00220038">
        <w:rPr>
          <w:lang w:val="en-US"/>
        </w:rPr>
        <w:t xml:space="preserve">a categorical variable capturing a respondent’s </w:t>
      </w:r>
      <w:r w:rsidRPr="00220038">
        <w:rPr>
          <w:lang w:val="en-US"/>
        </w:rPr>
        <w:t>language region</w:t>
      </w:r>
      <w:r w:rsidR="004E7722" w:rsidRPr="00220038">
        <w:rPr>
          <w:lang w:val="en-US"/>
        </w:rPr>
        <w:t xml:space="preserve"> into all of our models</w:t>
      </w:r>
      <w:r w:rsidRPr="00220038">
        <w:rPr>
          <w:lang w:val="en-US"/>
        </w:rPr>
        <w:t>. We also</w:t>
      </w:r>
      <w:r w:rsidRPr="00220038">
        <w:rPr>
          <w:rFonts w:cs="Times New Roman"/>
          <w:lang w:val="en-US"/>
        </w:rPr>
        <w:t xml:space="preserve"> introduced three binary variables</w:t>
      </w:r>
      <w:r w:rsidR="001F2546" w:rsidRPr="00220038">
        <w:rPr>
          <w:rFonts w:cs="Times New Roman"/>
          <w:lang w:val="en-US"/>
        </w:rPr>
        <w:t>, coding them with the number 1</w:t>
      </w:r>
      <w:r w:rsidRPr="00220038">
        <w:rPr>
          <w:rFonts w:cs="Times New Roman"/>
          <w:lang w:val="en-US"/>
        </w:rPr>
        <w:t xml:space="preserve"> if respondents</w:t>
      </w:r>
      <w:r w:rsidR="00DC3787" w:rsidRPr="00220038">
        <w:rPr>
          <w:rFonts w:cs="Times New Roman"/>
          <w:lang w:val="en-US"/>
        </w:rPr>
        <w:t xml:space="preserve"> – </w:t>
      </w:r>
      <w:r w:rsidR="00705688" w:rsidRPr="00220038">
        <w:rPr>
          <w:rFonts w:cs="Times New Roman"/>
          <w:lang w:val="en-US"/>
        </w:rPr>
        <w:t>at</w:t>
      </w:r>
      <w:r w:rsidR="00E06471" w:rsidRPr="00220038">
        <w:rPr>
          <w:rFonts w:cs="Times New Roman"/>
          <w:lang w:val="en-US"/>
        </w:rPr>
        <w:t xml:space="preserve"> </w:t>
      </w:r>
      <w:r w:rsidR="0084006C" w:rsidRPr="00220038">
        <w:rPr>
          <w:rFonts w:cs="Times New Roman"/>
          <w:lang w:val="en-US"/>
        </w:rPr>
        <w:t xml:space="preserve">wave </w:t>
      </w:r>
      <w:r w:rsidR="00E06471" w:rsidRPr="00220038">
        <w:rPr>
          <w:rFonts w:cs="Times New Roman"/>
          <w:lang w:val="en-US"/>
        </w:rPr>
        <w:t>1</w:t>
      </w:r>
      <w:r w:rsidR="00DC3787" w:rsidRPr="00220038">
        <w:rPr>
          <w:rFonts w:cs="Times New Roman"/>
          <w:lang w:val="en-US"/>
        </w:rPr>
        <w:t xml:space="preserve"> – </w:t>
      </w:r>
      <w:r w:rsidRPr="00220038">
        <w:rPr>
          <w:rFonts w:cs="Times New Roman"/>
          <w:lang w:val="en-US"/>
        </w:rPr>
        <w:t>considered the respective issue (migration, EU</w:t>
      </w:r>
      <w:r w:rsidR="00705688" w:rsidRPr="00220038">
        <w:rPr>
          <w:rFonts w:cs="Times New Roman"/>
          <w:lang w:val="en-US"/>
        </w:rPr>
        <w:t xml:space="preserve"> </w:t>
      </w:r>
      <w:r w:rsidR="00EC7731" w:rsidRPr="00220038">
        <w:rPr>
          <w:rFonts w:cs="Times New Roman"/>
          <w:lang w:val="en-US"/>
        </w:rPr>
        <w:t>policy</w:t>
      </w:r>
      <w:r w:rsidR="00705688" w:rsidRPr="00220038">
        <w:rPr>
          <w:rFonts w:cs="Times New Roman"/>
          <w:lang w:val="en-US"/>
        </w:rPr>
        <w:t xml:space="preserve"> or the economy</w:t>
      </w:r>
      <w:r w:rsidRPr="00220038">
        <w:rPr>
          <w:rFonts w:cs="Times New Roman"/>
          <w:lang w:val="en-US"/>
        </w:rPr>
        <w:t xml:space="preserve">) to be the most important </w:t>
      </w:r>
      <w:r w:rsidR="007217C2" w:rsidRPr="00220038">
        <w:rPr>
          <w:rFonts w:cs="Times New Roman"/>
          <w:lang w:val="en-US"/>
        </w:rPr>
        <w:t>problem (MIP)</w:t>
      </w:r>
      <w:r w:rsidR="001F2546" w:rsidRPr="00220038">
        <w:rPr>
          <w:rFonts w:cs="Times New Roman"/>
          <w:lang w:val="en-US"/>
        </w:rPr>
        <w:t xml:space="preserve">, and 0 if they did </w:t>
      </w:r>
      <w:r w:rsidR="001F2546" w:rsidRPr="00220038">
        <w:rPr>
          <w:rFonts w:cs="Times New Roman"/>
          <w:lang w:val="en-US"/>
        </w:rPr>
        <w:lastRenderedPageBreak/>
        <w:t>not consider it the MIP</w:t>
      </w:r>
      <w:r w:rsidR="003F3123" w:rsidRPr="00220038">
        <w:rPr>
          <w:rFonts w:cs="Times New Roman"/>
          <w:lang w:val="en-US"/>
        </w:rPr>
        <w:t>. This allowed</w:t>
      </w:r>
      <w:r w:rsidR="001F2546" w:rsidRPr="00220038">
        <w:rPr>
          <w:rFonts w:cs="Times New Roman"/>
          <w:lang w:val="en-US"/>
        </w:rPr>
        <w:t xml:space="preserve"> us </w:t>
      </w:r>
      <w:r w:rsidRPr="00220038">
        <w:rPr>
          <w:rFonts w:cs="Times New Roman"/>
          <w:lang w:val="en-US"/>
        </w:rPr>
        <w:t>to control for issue salience</w:t>
      </w:r>
      <w:r w:rsidR="00E06471" w:rsidRPr="00220038">
        <w:rPr>
          <w:rFonts w:cs="Times New Roman"/>
          <w:lang w:val="en-US"/>
        </w:rPr>
        <w:t xml:space="preserve"> </w:t>
      </w:r>
      <w:r w:rsidR="00E06471" w:rsidRPr="00220038">
        <w:rPr>
          <w:lang w:val="en-US"/>
        </w:rPr>
        <w:t xml:space="preserve">(see also Lutz and </w:t>
      </w:r>
      <w:proofErr w:type="spellStart"/>
      <w:r w:rsidR="00E06471" w:rsidRPr="00220038">
        <w:rPr>
          <w:lang w:val="en-US"/>
        </w:rPr>
        <w:t>Sciarini</w:t>
      </w:r>
      <w:proofErr w:type="spellEnd"/>
      <w:r w:rsidR="00E06471" w:rsidRPr="00220038">
        <w:rPr>
          <w:lang w:val="en-US"/>
        </w:rPr>
        <w:t xml:space="preserve"> 2016)</w:t>
      </w:r>
      <w:r w:rsidRPr="00220038">
        <w:rPr>
          <w:rFonts w:cs="Times New Roman"/>
          <w:lang w:val="en-US"/>
        </w:rPr>
        <w:t>. See Table A2 in the</w:t>
      </w:r>
      <w:r w:rsidR="001D20B9">
        <w:rPr>
          <w:rFonts w:cs="Times New Roman"/>
          <w:lang w:val="en-US"/>
        </w:rPr>
        <w:t xml:space="preserve"> online</w:t>
      </w:r>
      <w:r w:rsidRPr="00220038">
        <w:rPr>
          <w:rFonts w:cs="Times New Roman"/>
          <w:lang w:val="en-US"/>
        </w:rPr>
        <w:t xml:space="preserve"> Appendix for more information on the coding of the variables.</w:t>
      </w:r>
      <w:r w:rsidR="00E06471" w:rsidRPr="00220038">
        <w:rPr>
          <w:rStyle w:val="Appelnotedebasdep"/>
          <w:rFonts w:cs="Times New Roman"/>
          <w:lang w:val="en-US"/>
        </w:rPr>
        <w:footnoteReference w:id="10"/>
      </w:r>
      <w:r w:rsidRPr="00220038">
        <w:rPr>
          <w:rFonts w:cs="Times New Roman"/>
          <w:lang w:val="en-US"/>
        </w:rPr>
        <w:t xml:space="preserve"> </w:t>
      </w:r>
    </w:p>
    <w:p w14:paraId="43B96B3A" w14:textId="77777777" w:rsidR="009F74E5" w:rsidRPr="00220038" w:rsidRDefault="009F74E5" w:rsidP="009F74E5">
      <w:pPr>
        <w:pStyle w:val="Titre1"/>
        <w:rPr>
          <w:lang w:val="en-US"/>
        </w:rPr>
      </w:pPr>
      <w:r w:rsidRPr="00220038">
        <w:rPr>
          <w:lang w:val="en-US"/>
        </w:rPr>
        <w:t>Results</w:t>
      </w:r>
    </w:p>
    <w:p w14:paraId="3B535AED" w14:textId="1819F482" w:rsidR="009F74E5" w:rsidRPr="00220038" w:rsidRDefault="00D94B1B" w:rsidP="009F74E5">
      <w:pPr>
        <w:rPr>
          <w:lang w:val="en-US"/>
        </w:rPr>
      </w:pPr>
      <w:r w:rsidRPr="00220038">
        <w:rPr>
          <w:lang w:val="en-US"/>
        </w:rPr>
        <w:t>As</w:t>
      </w:r>
      <w:r w:rsidR="009F74E5" w:rsidRPr="00220038">
        <w:rPr>
          <w:lang w:val="en-US"/>
        </w:rPr>
        <w:t xml:space="preserve"> a first step, we ran a basic multinomial model on vote intention. Table 2 displays the results for respondents who indicated a vote intention for the FDP or the SVP versus respondents that intended to vote for </w:t>
      </w:r>
      <w:r w:rsidR="007F2F74" w:rsidRPr="00220038">
        <w:rPr>
          <w:lang w:val="en-US"/>
        </w:rPr>
        <w:t>an</w:t>
      </w:r>
      <w:r w:rsidR="009F74E5" w:rsidRPr="00220038">
        <w:rPr>
          <w:lang w:val="en-US"/>
        </w:rPr>
        <w:t xml:space="preserve">other party </w:t>
      </w:r>
      <w:r w:rsidR="00F67C1E" w:rsidRPr="00220038">
        <w:rPr>
          <w:lang w:val="en-US"/>
        </w:rPr>
        <w:t>at</w:t>
      </w:r>
      <w:r w:rsidR="009F74E5" w:rsidRPr="00220038">
        <w:rPr>
          <w:lang w:val="en-US"/>
        </w:rPr>
        <w:t xml:space="preserve"> </w:t>
      </w:r>
      <w:r w:rsidR="0084006C" w:rsidRPr="00220038">
        <w:rPr>
          <w:lang w:val="en-US"/>
        </w:rPr>
        <w:t xml:space="preserve">wave </w:t>
      </w:r>
      <w:r w:rsidR="009F74E5" w:rsidRPr="00220038">
        <w:rPr>
          <w:lang w:val="en-US"/>
        </w:rPr>
        <w:t xml:space="preserve">2. </w:t>
      </w:r>
      <w:r w:rsidR="007F2F74" w:rsidRPr="00220038">
        <w:rPr>
          <w:lang w:val="en-US"/>
        </w:rPr>
        <w:t>Un</w:t>
      </w:r>
      <w:r w:rsidR="009F74E5" w:rsidRPr="00220038">
        <w:rPr>
          <w:lang w:val="en-US"/>
        </w:rPr>
        <w:t>surprisingly, the results indicate that the opinion</w:t>
      </w:r>
      <w:r w:rsidR="007C6AFA" w:rsidRPr="00220038">
        <w:rPr>
          <w:lang w:val="en-US"/>
        </w:rPr>
        <w:t>s</w:t>
      </w:r>
      <w:r w:rsidR="009F74E5" w:rsidRPr="00220038">
        <w:rPr>
          <w:lang w:val="en-US"/>
        </w:rPr>
        <w:t xml:space="preserve"> held </w:t>
      </w:r>
      <w:r w:rsidR="007F2F74" w:rsidRPr="00220038">
        <w:rPr>
          <w:lang w:val="en-US"/>
        </w:rPr>
        <w:t>during</w:t>
      </w:r>
      <w:r w:rsidR="009F74E5" w:rsidRPr="00220038">
        <w:rPr>
          <w:lang w:val="en-US"/>
        </w:rPr>
        <w:t xml:space="preserve"> </w:t>
      </w:r>
      <w:r w:rsidR="0084006C" w:rsidRPr="00220038">
        <w:rPr>
          <w:lang w:val="en-US"/>
        </w:rPr>
        <w:t xml:space="preserve">wave </w:t>
      </w:r>
      <w:r w:rsidR="009F74E5" w:rsidRPr="00220038">
        <w:rPr>
          <w:lang w:val="en-US"/>
        </w:rPr>
        <w:t>2, after individuals h</w:t>
      </w:r>
      <w:r w:rsidR="007F2F74" w:rsidRPr="00220038">
        <w:rPr>
          <w:lang w:val="en-US"/>
        </w:rPr>
        <w:t xml:space="preserve">ad </w:t>
      </w:r>
      <w:r w:rsidR="009F74E5" w:rsidRPr="00220038">
        <w:rPr>
          <w:lang w:val="en-US"/>
        </w:rPr>
        <w:t xml:space="preserve">been exposed to the campaign, largely depend on their opinions </w:t>
      </w:r>
      <w:r w:rsidR="007F2F74" w:rsidRPr="00220038">
        <w:rPr>
          <w:lang w:val="en-US"/>
        </w:rPr>
        <w:t>in</w:t>
      </w:r>
      <w:r w:rsidR="009F74E5" w:rsidRPr="00220038">
        <w:rPr>
          <w:lang w:val="en-US"/>
        </w:rPr>
        <w:t xml:space="preserve"> </w:t>
      </w:r>
      <w:r w:rsidR="0084006C" w:rsidRPr="00220038">
        <w:rPr>
          <w:lang w:val="en-US"/>
        </w:rPr>
        <w:t xml:space="preserve">wave </w:t>
      </w:r>
      <w:r w:rsidR="009F74E5" w:rsidRPr="00220038">
        <w:rPr>
          <w:lang w:val="en-US"/>
        </w:rPr>
        <w:t xml:space="preserve">1, before the campaign </w:t>
      </w:r>
      <w:r w:rsidR="007F2F74" w:rsidRPr="00220038">
        <w:rPr>
          <w:lang w:val="en-US"/>
        </w:rPr>
        <w:t>had begun</w:t>
      </w:r>
      <w:r w:rsidR="009F74E5" w:rsidRPr="00220038">
        <w:rPr>
          <w:lang w:val="en-US"/>
        </w:rPr>
        <w:t>. Some additional results are worth noting. First, we do not detect an effect for issue salience. Whether one considers</w:t>
      </w:r>
      <w:r w:rsidR="00F67C1E" w:rsidRPr="00220038">
        <w:rPr>
          <w:lang w:val="en-US"/>
        </w:rPr>
        <w:t xml:space="preserve"> migration,</w:t>
      </w:r>
      <w:r w:rsidR="009F74E5" w:rsidRPr="00220038">
        <w:rPr>
          <w:lang w:val="en-US"/>
        </w:rPr>
        <w:t xml:space="preserve"> EU</w:t>
      </w:r>
      <w:r w:rsidR="00F67C1E" w:rsidRPr="00220038">
        <w:rPr>
          <w:lang w:val="en-US"/>
        </w:rPr>
        <w:t xml:space="preserve"> </w:t>
      </w:r>
      <w:r w:rsidR="00EC7731" w:rsidRPr="00220038">
        <w:rPr>
          <w:lang w:val="en-US"/>
        </w:rPr>
        <w:t>policy</w:t>
      </w:r>
      <w:r w:rsidR="00F67C1E" w:rsidRPr="00220038">
        <w:rPr>
          <w:lang w:val="en-US"/>
        </w:rPr>
        <w:t xml:space="preserve"> </w:t>
      </w:r>
      <w:r w:rsidR="009F74E5" w:rsidRPr="00220038">
        <w:rPr>
          <w:lang w:val="en-US"/>
        </w:rPr>
        <w:t xml:space="preserve">or the economy to be the </w:t>
      </w:r>
      <w:r w:rsidR="0084006C" w:rsidRPr="00220038">
        <w:rPr>
          <w:lang w:val="en-US"/>
        </w:rPr>
        <w:t xml:space="preserve">most important problem </w:t>
      </w:r>
      <w:r w:rsidR="00F67C1E" w:rsidRPr="00220038">
        <w:rPr>
          <w:lang w:val="en-US"/>
        </w:rPr>
        <w:t xml:space="preserve">facing </w:t>
      </w:r>
      <w:r w:rsidR="009F74E5" w:rsidRPr="00220038">
        <w:rPr>
          <w:lang w:val="en-US"/>
        </w:rPr>
        <w:t xml:space="preserve">Switzerland has no impact on the vote intentions </w:t>
      </w:r>
      <w:r w:rsidR="0078365F" w:rsidRPr="00220038">
        <w:rPr>
          <w:lang w:val="en-US"/>
        </w:rPr>
        <w:t>in</w:t>
      </w:r>
      <w:r w:rsidR="009F74E5" w:rsidRPr="00220038">
        <w:rPr>
          <w:lang w:val="en-US"/>
        </w:rPr>
        <w:t xml:space="preserve"> </w:t>
      </w:r>
      <w:r w:rsidR="0084006C" w:rsidRPr="00220038">
        <w:rPr>
          <w:lang w:val="en-US"/>
        </w:rPr>
        <w:t xml:space="preserve">wave </w:t>
      </w:r>
      <w:r w:rsidR="009F74E5" w:rsidRPr="00220038">
        <w:rPr>
          <w:lang w:val="en-US"/>
        </w:rPr>
        <w:t>2. A possible explanation for this is that since those issues ha</w:t>
      </w:r>
      <w:r w:rsidR="0078365F" w:rsidRPr="00220038">
        <w:rPr>
          <w:lang w:val="en-US"/>
        </w:rPr>
        <w:t>d</w:t>
      </w:r>
      <w:r w:rsidR="009F74E5" w:rsidRPr="00220038">
        <w:rPr>
          <w:lang w:val="en-US"/>
        </w:rPr>
        <w:t xml:space="preserve"> already received substantial media attention before the start of the electoral campaign, </w:t>
      </w:r>
      <w:r w:rsidR="0078365F" w:rsidRPr="00220038">
        <w:rPr>
          <w:lang w:val="en-US"/>
        </w:rPr>
        <w:t xml:space="preserve">opinions </w:t>
      </w:r>
      <w:r w:rsidR="009F74E5" w:rsidRPr="00220038">
        <w:rPr>
          <w:lang w:val="en-US"/>
        </w:rPr>
        <w:t>ha</w:t>
      </w:r>
      <w:r w:rsidR="0078365F" w:rsidRPr="00220038">
        <w:rPr>
          <w:lang w:val="en-US"/>
        </w:rPr>
        <w:t>d</w:t>
      </w:r>
      <w:r w:rsidR="009F74E5" w:rsidRPr="00220038">
        <w:rPr>
          <w:lang w:val="en-US"/>
        </w:rPr>
        <w:t xml:space="preserve"> already been </w:t>
      </w:r>
      <w:r w:rsidR="0078365F" w:rsidRPr="00220038">
        <w:rPr>
          <w:lang w:val="en-US"/>
        </w:rPr>
        <w:t>formed</w:t>
      </w:r>
      <w:r w:rsidR="009F74E5" w:rsidRPr="00220038">
        <w:rPr>
          <w:lang w:val="en-US"/>
        </w:rPr>
        <w:t xml:space="preserve">. </w:t>
      </w:r>
    </w:p>
    <w:p w14:paraId="07D3FB2F" w14:textId="09750479" w:rsidR="009F74E5" w:rsidRPr="00220038" w:rsidRDefault="001E16BF" w:rsidP="009F74E5">
      <w:pPr>
        <w:widowControl w:val="0"/>
        <w:autoSpaceDE w:val="0"/>
        <w:autoSpaceDN w:val="0"/>
        <w:adjustRightInd w:val="0"/>
        <w:spacing w:after="0" w:line="240" w:lineRule="auto"/>
        <w:rPr>
          <w:rFonts w:cs="Times New Roman"/>
          <w:b/>
          <w:szCs w:val="22"/>
          <w:lang w:val="en-US"/>
        </w:rPr>
      </w:pPr>
      <w:r>
        <w:rPr>
          <w:rFonts w:cs="Times New Roman"/>
          <w:b/>
          <w:szCs w:val="22"/>
          <w:lang w:val="en-US"/>
        </w:rPr>
        <w:t>Table 2: Determinants of Vote Intention at W</w:t>
      </w:r>
      <w:r w:rsidR="009F74E5" w:rsidRPr="00220038">
        <w:rPr>
          <w:rFonts w:cs="Times New Roman"/>
          <w:b/>
          <w:szCs w:val="22"/>
          <w:lang w:val="en-US"/>
        </w:rPr>
        <w:t>ave 2</w:t>
      </w:r>
    </w:p>
    <w:tbl>
      <w:tblPr>
        <w:tblW w:w="0" w:type="auto"/>
        <w:tblLayout w:type="fixed"/>
        <w:tblLook w:val="0000" w:firstRow="0" w:lastRow="0" w:firstColumn="0" w:lastColumn="0" w:noHBand="0" w:noVBand="0"/>
      </w:tblPr>
      <w:tblGrid>
        <w:gridCol w:w="2943"/>
        <w:gridCol w:w="2016"/>
        <w:gridCol w:w="2016"/>
      </w:tblGrid>
      <w:tr w:rsidR="009F74E5" w:rsidRPr="00220038" w14:paraId="20D5D86D" w14:textId="77777777" w:rsidTr="006840C5">
        <w:tc>
          <w:tcPr>
            <w:tcW w:w="2943" w:type="dxa"/>
            <w:tcBorders>
              <w:top w:val="single" w:sz="4" w:space="0" w:color="auto"/>
              <w:left w:val="nil"/>
              <w:bottom w:val="nil"/>
              <w:right w:val="nil"/>
            </w:tcBorders>
          </w:tcPr>
          <w:p w14:paraId="6A57FFAE"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single" w:sz="4" w:space="0" w:color="auto"/>
              <w:left w:val="nil"/>
              <w:bottom w:val="nil"/>
              <w:right w:val="nil"/>
            </w:tcBorders>
          </w:tcPr>
          <w:p w14:paraId="4CF8AC99"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FDP</w:t>
            </w:r>
          </w:p>
        </w:tc>
        <w:tc>
          <w:tcPr>
            <w:tcW w:w="2016" w:type="dxa"/>
            <w:tcBorders>
              <w:top w:val="single" w:sz="4" w:space="0" w:color="auto"/>
              <w:left w:val="nil"/>
              <w:bottom w:val="nil"/>
              <w:right w:val="nil"/>
            </w:tcBorders>
          </w:tcPr>
          <w:p w14:paraId="7B02431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SVP</w:t>
            </w:r>
          </w:p>
        </w:tc>
      </w:tr>
      <w:tr w:rsidR="009F74E5" w:rsidRPr="00220038" w14:paraId="0C5F44C6" w14:textId="77777777" w:rsidTr="006840C5">
        <w:tc>
          <w:tcPr>
            <w:tcW w:w="2943" w:type="dxa"/>
            <w:tcBorders>
              <w:top w:val="single" w:sz="4" w:space="0" w:color="auto"/>
              <w:left w:val="nil"/>
              <w:bottom w:val="nil"/>
              <w:right w:val="nil"/>
            </w:tcBorders>
          </w:tcPr>
          <w:p w14:paraId="46DC9142"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single" w:sz="4" w:space="0" w:color="auto"/>
              <w:left w:val="nil"/>
              <w:bottom w:val="nil"/>
              <w:right w:val="nil"/>
            </w:tcBorders>
          </w:tcPr>
          <w:p w14:paraId="16BD6BA5"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p>
        </w:tc>
        <w:tc>
          <w:tcPr>
            <w:tcW w:w="2016" w:type="dxa"/>
            <w:tcBorders>
              <w:top w:val="single" w:sz="4" w:space="0" w:color="auto"/>
              <w:left w:val="nil"/>
              <w:bottom w:val="nil"/>
              <w:right w:val="nil"/>
            </w:tcBorders>
          </w:tcPr>
          <w:p w14:paraId="7BD7442C"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p>
        </w:tc>
      </w:tr>
      <w:tr w:rsidR="009F74E5" w:rsidRPr="00220038" w14:paraId="4C9C3477" w14:textId="77777777" w:rsidTr="006840C5">
        <w:tc>
          <w:tcPr>
            <w:tcW w:w="2943" w:type="dxa"/>
            <w:tcBorders>
              <w:top w:val="nil"/>
              <w:left w:val="nil"/>
              <w:bottom w:val="nil"/>
              <w:right w:val="nil"/>
            </w:tcBorders>
          </w:tcPr>
          <w:p w14:paraId="3DDE0BEA" w14:textId="1ACBD25A" w:rsidR="009F74E5" w:rsidRPr="00220038" w:rsidRDefault="009F74E5" w:rsidP="0084006C">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 xml:space="preserve">Vote intention </w:t>
            </w:r>
            <w:r w:rsidR="005E5670" w:rsidRPr="00220038">
              <w:rPr>
                <w:rFonts w:cs="Times New Roman"/>
                <w:szCs w:val="22"/>
                <w:lang w:val="en-US"/>
              </w:rPr>
              <w:t>at</w:t>
            </w:r>
            <w:r w:rsidR="009B1E8B" w:rsidRPr="00220038">
              <w:rPr>
                <w:rFonts w:cs="Times New Roman"/>
                <w:szCs w:val="22"/>
                <w:lang w:val="en-US"/>
              </w:rPr>
              <w:t xml:space="preserve"> </w:t>
            </w:r>
            <w:r w:rsidR="0084006C" w:rsidRPr="00220038">
              <w:rPr>
                <w:rFonts w:cs="Times New Roman"/>
                <w:szCs w:val="22"/>
                <w:lang w:val="en-US"/>
              </w:rPr>
              <w:t xml:space="preserve">wave </w:t>
            </w:r>
            <w:r w:rsidRPr="00220038">
              <w:rPr>
                <w:rFonts w:cs="Times New Roman"/>
                <w:szCs w:val="22"/>
                <w:lang w:val="en-US"/>
              </w:rPr>
              <w:t>1</w:t>
            </w:r>
          </w:p>
        </w:tc>
        <w:tc>
          <w:tcPr>
            <w:tcW w:w="4032" w:type="dxa"/>
            <w:gridSpan w:val="2"/>
            <w:tcBorders>
              <w:top w:val="nil"/>
              <w:left w:val="nil"/>
              <w:bottom w:val="nil"/>
              <w:right w:val="nil"/>
            </w:tcBorders>
          </w:tcPr>
          <w:p w14:paraId="0A7BDB64" w14:textId="77777777" w:rsidR="009F74E5" w:rsidRPr="00220038" w:rsidRDefault="009F74E5" w:rsidP="006840C5">
            <w:pPr>
              <w:widowControl w:val="0"/>
              <w:autoSpaceDE w:val="0"/>
              <w:autoSpaceDN w:val="0"/>
              <w:adjustRightInd w:val="0"/>
              <w:spacing w:after="0" w:line="240" w:lineRule="auto"/>
              <w:jc w:val="center"/>
              <w:rPr>
                <w:rFonts w:cs="Times New Roman"/>
                <w:i/>
                <w:szCs w:val="22"/>
                <w:lang w:val="en-US"/>
              </w:rPr>
            </w:pPr>
            <w:r w:rsidRPr="00220038">
              <w:rPr>
                <w:rFonts w:cs="Times New Roman"/>
                <w:i/>
                <w:szCs w:val="22"/>
                <w:lang w:val="en-US"/>
              </w:rPr>
              <w:t>Baseline: no intention to vote</w:t>
            </w:r>
          </w:p>
        </w:tc>
      </w:tr>
      <w:tr w:rsidR="009F74E5" w:rsidRPr="00220038" w14:paraId="07345DF6" w14:textId="77777777" w:rsidTr="006840C5">
        <w:tc>
          <w:tcPr>
            <w:tcW w:w="2943" w:type="dxa"/>
            <w:tcBorders>
              <w:top w:val="nil"/>
              <w:left w:val="nil"/>
              <w:bottom w:val="nil"/>
              <w:right w:val="nil"/>
            </w:tcBorders>
          </w:tcPr>
          <w:p w14:paraId="1F95885B"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r w:rsidRPr="00220038">
              <w:rPr>
                <w:rFonts w:cs="Times New Roman"/>
                <w:szCs w:val="22"/>
                <w:lang w:val="en-US"/>
              </w:rPr>
              <w:t>FDP</w:t>
            </w:r>
          </w:p>
        </w:tc>
        <w:tc>
          <w:tcPr>
            <w:tcW w:w="2016" w:type="dxa"/>
            <w:tcBorders>
              <w:top w:val="nil"/>
              <w:left w:val="nil"/>
              <w:bottom w:val="nil"/>
              <w:right w:val="nil"/>
            </w:tcBorders>
          </w:tcPr>
          <w:p w14:paraId="469CDDB4"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2.409</w:t>
            </w:r>
            <w:r w:rsidRPr="00220038">
              <w:rPr>
                <w:rFonts w:cs="Times New Roman"/>
                <w:szCs w:val="22"/>
                <w:vertAlign w:val="superscript"/>
                <w:lang w:val="en-US"/>
              </w:rPr>
              <w:t>***</w:t>
            </w:r>
          </w:p>
        </w:tc>
        <w:tc>
          <w:tcPr>
            <w:tcW w:w="2016" w:type="dxa"/>
            <w:tcBorders>
              <w:top w:val="nil"/>
              <w:left w:val="nil"/>
              <w:bottom w:val="nil"/>
              <w:right w:val="nil"/>
            </w:tcBorders>
          </w:tcPr>
          <w:p w14:paraId="0AF229A5"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-0.926</w:t>
            </w:r>
            <w:r w:rsidRPr="00220038">
              <w:rPr>
                <w:rFonts w:cs="Times New Roman"/>
                <w:szCs w:val="22"/>
                <w:vertAlign w:val="superscript"/>
                <w:lang w:val="en-US"/>
              </w:rPr>
              <w:t>**</w:t>
            </w:r>
          </w:p>
        </w:tc>
      </w:tr>
      <w:tr w:rsidR="009F74E5" w:rsidRPr="00220038" w14:paraId="16D913C1" w14:textId="77777777" w:rsidTr="006840C5">
        <w:tc>
          <w:tcPr>
            <w:tcW w:w="2943" w:type="dxa"/>
            <w:tcBorders>
              <w:top w:val="nil"/>
              <w:left w:val="nil"/>
              <w:bottom w:val="nil"/>
              <w:right w:val="nil"/>
            </w:tcBorders>
          </w:tcPr>
          <w:p w14:paraId="7F0550A0"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p>
        </w:tc>
        <w:tc>
          <w:tcPr>
            <w:tcW w:w="2016" w:type="dxa"/>
            <w:tcBorders>
              <w:top w:val="nil"/>
              <w:left w:val="nil"/>
              <w:bottom w:val="nil"/>
              <w:right w:val="nil"/>
            </w:tcBorders>
          </w:tcPr>
          <w:p w14:paraId="09F2F50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(0.230)</w:t>
            </w:r>
          </w:p>
        </w:tc>
        <w:tc>
          <w:tcPr>
            <w:tcW w:w="2016" w:type="dxa"/>
            <w:tcBorders>
              <w:top w:val="nil"/>
              <w:left w:val="nil"/>
              <w:bottom w:val="nil"/>
              <w:right w:val="nil"/>
            </w:tcBorders>
          </w:tcPr>
          <w:p w14:paraId="48AFAEF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(0.315)</w:t>
            </w:r>
          </w:p>
        </w:tc>
      </w:tr>
      <w:tr w:rsidR="009F74E5" w:rsidRPr="00220038" w14:paraId="27F8617E" w14:textId="77777777" w:rsidTr="006840C5">
        <w:tc>
          <w:tcPr>
            <w:tcW w:w="2943" w:type="dxa"/>
            <w:tcBorders>
              <w:top w:val="nil"/>
              <w:left w:val="nil"/>
              <w:bottom w:val="nil"/>
              <w:right w:val="nil"/>
            </w:tcBorders>
          </w:tcPr>
          <w:p w14:paraId="20D77F8C"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r w:rsidRPr="00220038">
              <w:rPr>
                <w:rFonts w:cs="Times New Roman"/>
                <w:szCs w:val="22"/>
                <w:lang w:val="en-US"/>
              </w:rPr>
              <w:t>SVP</w:t>
            </w:r>
          </w:p>
        </w:tc>
        <w:tc>
          <w:tcPr>
            <w:tcW w:w="2016" w:type="dxa"/>
            <w:tcBorders>
              <w:top w:val="nil"/>
              <w:left w:val="nil"/>
              <w:bottom w:val="nil"/>
              <w:right w:val="nil"/>
            </w:tcBorders>
          </w:tcPr>
          <w:p w14:paraId="0644ECB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-0.055</w:t>
            </w:r>
          </w:p>
        </w:tc>
        <w:tc>
          <w:tcPr>
            <w:tcW w:w="2016" w:type="dxa"/>
            <w:tcBorders>
              <w:top w:val="nil"/>
              <w:left w:val="nil"/>
              <w:bottom w:val="nil"/>
              <w:right w:val="nil"/>
            </w:tcBorders>
          </w:tcPr>
          <w:p w14:paraId="1D38D2B6"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2.133</w:t>
            </w:r>
            <w:r w:rsidRPr="00220038">
              <w:rPr>
                <w:rFonts w:cs="Times New Roman"/>
                <w:szCs w:val="22"/>
                <w:vertAlign w:val="superscript"/>
                <w:lang w:val="en-US"/>
              </w:rPr>
              <w:t>***</w:t>
            </w:r>
          </w:p>
        </w:tc>
      </w:tr>
      <w:tr w:rsidR="009F74E5" w:rsidRPr="00220038" w14:paraId="78E55205" w14:textId="77777777" w:rsidTr="006840C5">
        <w:tc>
          <w:tcPr>
            <w:tcW w:w="2943" w:type="dxa"/>
            <w:tcBorders>
              <w:top w:val="nil"/>
              <w:left w:val="nil"/>
              <w:bottom w:val="nil"/>
              <w:right w:val="nil"/>
            </w:tcBorders>
          </w:tcPr>
          <w:p w14:paraId="7EC0DC49"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p>
        </w:tc>
        <w:tc>
          <w:tcPr>
            <w:tcW w:w="2016" w:type="dxa"/>
            <w:tcBorders>
              <w:top w:val="nil"/>
              <w:left w:val="nil"/>
              <w:bottom w:val="nil"/>
              <w:right w:val="nil"/>
            </w:tcBorders>
          </w:tcPr>
          <w:p w14:paraId="47CFE19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(0.314)</w:t>
            </w:r>
          </w:p>
        </w:tc>
        <w:tc>
          <w:tcPr>
            <w:tcW w:w="2016" w:type="dxa"/>
            <w:tcBorders>
              <w:top w:val="nil"/>
              <w:left w:val="nil"/>
              <w:bottom w:val="nil"/>
              <w:right w:val="nil"/>
            </w:tcBorders>
          </w:tcPr>
          <w:p w14:paraId="0D0E4E7A"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(0.242)</w:t>
            </w:r>
          </w:p>
        </w:tc>
      </w:tr>
      <w:tr w:rsidR="009F74E5" w:rsidRPr="00220038" w14:paraId="591E1A3E" w14:textId="77777777" w:rsidTr="006840C5">
        <w:tc>
          <w:tcPr>
            <w:tcW w:w="2943" w:type="dxa"/>
            <w:tcBorders>
              <w:top w:val="nil"/>
              <w:left w:val="nil"/>
              <w:bottom w:val="nil"/>
              <w:right w:val="nil"/>
            </w:tcBorders>
          </w:tcPr>
          <w:p w14:paraId="10887065"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r w:rsidRPr="00220038">
              <w:rPr>
                <w:rFonts w:cs="Times New Roman"/>
                <w:szCs w:val="22"/>
                <w:lang w:val="en-US"/>
              </w:rPr>
              <w:t>Another party</w:t>
            </w:r>
          </w:p>
        </w:tc>
        <w:tc>
          <w:tcPr>
            <w:tcW w:w="2016" w:type="dxa"/>
            <w:tcBorders>
              <w:top w:val="nil"/>
              <w:left w:val="nil"/>
              <w:bottom w:val="nil"/>
              <w:right w:val="nil"/>
            </w:tcBorders>
          </w:tcPr>
          <w:p w14:paraId="5D4C9FC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-1.626</w:t>
            </w:r>
            <w:r w:rsidRPr="00220038">
              <w:rPr>
                <w:rFonts w:cs="Times New Roman"/>
                <w:szCs w:val="22"/>
                <w:vertAlign w:val="superscript"/>
                <w:lang w:val="en-US"/>
              </w:rPr>
              <w:t>***</w:t>
            </w:r>
          </w:p>
        </w:tc>
        <w:tc>
          <w:tcPr>
            <w:tcW w:w="2016" w:type="dxa"/>
            <w:tcBorders>
              <w:top w:val="nil"/>
              <w:left w:val="nil"/>
              <w:bottom w:val="nil"/>
              <w:right w:val="nil"/>
            </w:tcBorders>
          </w:tcPr>
          <w:p w14:paraId="5F9B051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-1.981</w:t>
            </w:r>
            <w:r w:rsidRPr="00220038">
              <w:rPr>
                <w:rFonts w:cs="Times New Roman"/>
                <w:szCs w:val="22"/>
                <w:vertAlign w:val="superscript"/>
                <w:lang w:val="en-US"/>
              </w:rPr>
              <w:t>***</w:t>
            </w:r>
          </w:p>
        </w:tc>
      </w:tr>
      <w:tr w:rsidR="009F74E5" w:rsidRPr="00220038" w14:paraId="5B61A723" w14:textId="77777777" w:rsidTr="006840C5">
        <w:tc>
          <w:tcPr>
            <w:tcW w:w="2943" w:type="dxa"/>
            <w:tcBorders>
              <w:top w:val="nil"/>
              <w:left w:val="nil"/>
              <w:bottom w:val="nil"/>
              <w:right w:val="nil"/>
            </w:tcBorders>
          </w:tcPr>
          <w:p w14:paraId="72E197C9"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5388DD0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(0.244)</w:t>
            </w:r>
          </w:p>
        </w:tc>
        <w:tc>
          <w:tcPr>
            <w:tcW w:w="2016" w:type="dxa"/>
            <w:tcBorders>
              <w:top w:val="nil"/>
              <w:left w:val="nil"/>
              <w:bottom w:val="nil"/>
              <w:right w:val="nil"/>
            </w:tcBorders>
          </w:tcPr>
          <w:p w14:paraId="449320E4"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(0.260)</w:t>
            </w:r>
          </w:p>
        </w:tc>
      </w:tr>
      <w:tr w:rsidR="009F74E5" w:rsidRPr="00220038" w14:paraId="51E84E7B" w14:textId="77777777" w:rsidTr="006840C5">
        <w:tc>
          <w:tcPr>
            <w:tcW w:w="2943" w:type="dxa"/>
            <w:tcBorders>
              <w:top w:val="nil"/>
              <w:left w:val="nil"/>
              <w:bottom w:val="nil"/>
              <w:right w:val="nil"/>
            </w:tcBorders>
          </w:tcPr>
          <w:p w14:paraId="4C55E186"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Gender</w:t>
            </w:r>
          </w:p>
        </w:tc>
        <w:tc>
          <w:tcPr>
            <w:tcW w:w="2016" w:type="dxa"/>
            <w:tcBorders>
              <w:top w:val="nil"/>
              <w:left w:val="nil"/>
              <w:bottom w:val="nil"/>
              <w:right w:val="nil"/>
            </w:tcBorders>
          </w:tcPr>
          <w:p w14:paraId="15B9BC8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-0.085</w:t>
            </w:r>
          </w:p>
        </w:tc>
        <w:tc>
          <w:tcPr>
            <w:tcW w:w="2016" w:type="dxa"/>
            <w:tcBorders>
              <w:top w:val="nil"/>
              <w:left w:val="nil"/>
              <w:bottom w:val="nil"/>
              <w:right w:val="nil"/>
            </w:tcBorders>
          </w:tcPr>
          <w:p w14:paraId="118261A2"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-0.099</w:t>
            </w:r>
          </w:p>
        </w:tc>
      </w:tr>
      <w:tr w:rsidR="009F74E5" w:rsidRPr="00220038" w14:paraId="61D03B4B" w14:textId="77777777" w:rsidTr="006840C5">
        <w:tc>
          <w:tcPr>
            <w:tcW w:w="2943" w:type="dxa"/>
            <w:tcBorders>
              <w:top w:val="nil"/>
              <w:left w:val="nil"/>
              <w:bottom w:val="nil"/>
              <w:right w:val="nil"/>
            </w:tcBorders>
          </w:tcPr>
          <w:p w14:paraId="58179B3A"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1CAAD20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(0.144)</w:t>
            </w:r>
          </w:p>
        </w:tc>
        <w:tc>
          <w:tcPr>
            <w:tcW w:w="2016" w:type="dxa"/>
            <w:tcBorders>
              <w:top w:val="nil"/>
              <w:left w:val="nil"/>
              <w:bottom w:val="nil"/>
              <w:right w:val="nil"/>
            </w:tcBorders>
          </w:tcPr>
          <w:p w14:paraId="6048BEE5"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(0.170)</w:t>
            </w:r>
          </w:p>
        </w:tc>
      </w:tr>
      <w:tr w:rsidR="009F74E5" w:rsidRPr="00220038" w14:paraId="3019CFC8" w14:textId="77777777" w:rsidTr="006840C5">
        <w:tc>
          <w:tcPr>
            <w:tcW w:w="2943" w:type="dxa"/>
            <w:tcBorders>
              <w:top w:val="nil"/>
              <w:left w:val="nil"/>
              <w:bottom w:val="nil"/>
              <w:right w:val="nil"/>
            </w:tcBorders>
          </w:tcPr>
          <w:p w14:paraId="0C7F9FDD"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Age</w:t>
            </w:r>
          </w:p>
        </w:tc>
        <w:tc>
          <w:tcPr>
            <w:tcW w:w="2016" w:type="dxa"/>
            <w:tcBorders>
              <w:top w:val="nil"/>
              <w:left w:val="nil"/>
              <w:bottom w:val="nil"/>
              <w:right w:val="nil"/>
            </w:tcBorders>
          </w:tcPr>
          <w:p w14:paraId="17249F2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0.008</w:t>
            </w:r>
          </w:p>
        </w:tc>
        <w:tc>
          <w:tcPr>
            <w:tcW w:w="2016" w:type="dxa"/>
            <w:tcBorders>
              <w:top w:val="nil"/>
              <w:left w:val="nil"/>
              <w:bottom w:val="nil"/>
              <w:right w:val="nil"/>
            </w:tcBorders>
          </w:tcPr>
          <w:p w14:paraId="72FB5C8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0.008</w:t>
            </w:r>
          </w:p>
        </w:tc>
      </w:tr>
      <w:tr w:rsidR="009F74E5" w:rsidRPr="00220038" w14:paraId="28D754C3" w14:textId="77777777" w:rsidTr="006840C5">
        <w:tc>
          <w:tcPr>
            <w:tcW w:w="2943" w:type="dxa"/>
            <w:tcBorders>
              <w:top w:val="nil"/>
              <w:left w:val="nil"/>
              <w:bottom w:val="nil"/>
              <w:right w:val="nil"/>
            </w:tcBorders>
          </w:tcPr>
          <w:p w14:paraId="69450797"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1841273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(0.005)</w:t>
            </w:r>
          </w:p>
        </w:tc>
        <w:tc>
          <w:tcPr>
            <w:tcW w:w="2016" w:type="dxa"/>
            <w:tcBorders>
              <w:top w:val="nil"/>
              <w:left w:val="nil"/>
              <w:bottom w:val="nil"/>
              <w:right w:val="nil"/>
            </w:tcBorders>
          </w:tcPr>
          <w:p w14:paraId="1689358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(0.005)</w:t>
            </w:r>
          </w:p>
        </w:tc>
      </w:tr>
      <w:tr w:rsidR="009F74E5" w:rsidRPr="00220038" w14:paraId="0D47C5FA" w14:textId="77777777" w:rsidTr="006840C5">
        <w:tc>
          <w:tcPr>
            <w:tcW w:w="2943" w:type="dxa"/>
            <w:tcBorders>
              <w:top w:val="nil"/>
              <w:left w:val="nil"/>
              <w:bottom w:val="nil"/>
              <w:right w:val="nil"/>
            </w:tcBorders>
          </w:tcPr>
          <w:p w14:paraId="67DB72B6"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Religious affiliation</w:t>
            </w:r>
          </w:p>
        </w:tc>
        <w:tc>
          <w:tcPr>
            <w:tcW w:w="4032" w:type="dxa"/>
            <w:gridSpan w:val="2"/>
            <w:tcBorders>
              <w:top w:val="nil"/>
              <w:left w:val="nil"/>
              <w:bottom w:val="nil"/>
              <w:right w:val="nil"/>
            </w:tcBorders>
          </w:tcPr>
          <w:p w14:paraId="68CCA0F5" w14:textId="77777777" w:rsidR="009F74E5" w:rsidRPr="00220038" w:rsidRDefault="009F74E5" w:rsidP="006840C5">
            <w:pPr>
              <w:widowControl w:val="0"/>
              <w:autoSpaceDE w:val="0"/>
              <w:autoSpaceDN w:val="0"/>
              <w:adjustRightInd w:val="0"/>
              <w:spacing w:after="0" w:line="240" w:lineRule="auto"/>
              <w:jc w:val="center"/>
              <w:rPr>
                <w:rFonts w:cs="Times New Roman"/>
                <w:i/>
                <w:szCs w:val="22"/>
                <w:lang w:val="en-US"/>
              </w:rPr>
            </w:pPr>
            <w:r w:rsidRPr="00220038">
              <w:rPr>
                <w:rFonts w:cs="Times New Roman"/>
                <w:i/>
                <w:szCs w:val="22"/>
                <w:lang w:val="en-US"/>
              </w:rPr>
              <w:t>Baseline: no religious affiliation</w:t>
            </w:r>
          </w:p>
        </w:tc>
      </w:tr>
      <w:tr w:rsidR="009F74E5" w:rsidRPr="00220038" w14:paraId="642FD519" w14:textId="77777777" w:rsidTr="006840C5">
        <w:tc>
          <w:tcPr>
            <w:tcW w:w="2943" w:type="dxa"/>
            <w:tcBorders>
              <w:top w:val="nil"/>
              <w:left w:val="nil"/>
              <w:bottom w:val="nil"/>
              <w:right w:val="nil"/>
            </w:tcBorders>
          </w:tcPr>
          <w:p w14:paraId="1582BBAC" w14:textId="77777777" w:rsidR="009F74E5" w:rsidRPr="00220038" w:rsidRDefault="009F74E5" w:rsidP="006840C5">
            <w:pPr>
              <w:widowControl w:val="0"/>
              <w:autoSpaceDE w:val="0"/>
              <w:autoSpaceDN w:val="0"/>
              <w:adjustRightInd w:val="0"/>
              <w:spacing w:after="0" w:line="240" w:lineRule="auto"/>
              <w:ind w:left="284"/>
              <w:rPr>
                <w:rFonts w:cs="Times New Roman"/>
                <w:szCs w:val="22"/>
                <w:lang w:val="en-US"/>
              </w:rPr>
            </w:pPr>
            <w:r w:rsidRPr="00220038">
              <w:rPr>
                <w:rFonts w:cs="Times New Roman"/>
                <w:szCs w:val="22"/>
                <w:lang w:val="en-US"/>
              </w:rPr>
              <w:t>Catholic</w:t>
            </w:r>
          </w:p>
        </w:tc>
        <w:tc>
          <w:tcPr>
            <w:tcW w:w="2016" w:type="dxa"/>
            <w:tcBorders>
              <w:top w:val="nil"/>
              <w:left w:val="nil"/>
              <w:bottom w:val="nil"/>
              <w:right w:val="nil"/>
            </w:tcBorders>
          </w:tcPr>
          <w:p w14:paraId="536683A2"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-0.094</w:t>
            </w:r>
          </w:p>
        </w:tc>
        <w:tc>
          <w:tcPr>
            <w:tcW w:w="2016" w:type="dxa"/>
            <w:tcBorders>
              <w:top w:val="nil"/>
              <w:left w:val="nil"/>
              <w:bottom w:val="nil"/>
              <w:right w:val="nil"/>
            </w:tcBorders>
          </w:tcPr>
          <w:p w14:paraId="1ED4C90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-0.129</w:t>
            </w:r>
          </w:p>
        </w:tc>
      </w:tr>
      <w:tr w:rsidR="009F74E5" w:rsidRPr="00220038" w14:paraId="3EC45F42" w14:textId="77777777" w:rsidTr="006840C5">
        <w:tc>
          <w:tcPr>
            <w:tcW w:w="2943" w:type="dxa"/>
            <w:tcBorders>
              <w:top w:val="nil"/>
              <w:left w:val="nil"/>
              <w:bottom w:val="nil"/>
              <w:right w:val="nil"/>
            </w:tcBorders>
          </w:tcPr>
          <w:p w14:paraId="1A0F0098"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4C9678E5"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(0.182)</w:t>
            </w:r>
          </w:p>
        </w:tc>
        <w:tc>
          <w:tcPr>
            <w:tcW w:w="2016" w:type="dxa"/>
            <w:tcBorders>
              <w:top w:val="nil"/>
              <w:left w:val="nil"/>
              <w:bottom w:val="nil"/>
              <w:right w:val="nil"/>
            </w:tcBorders>
          </w:tcPr>
          <w:p w14:paraId="43A8D37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(0.214)</w:t>
            </w:r>
          </w:p>
        </w:tc>
      </w:tr>
      <w:tr w:rsidR="009F74E5" w:rsidRPr="00220038" w14:paraId="76BDA011" w14:textId="77777777" w:rsidTr="006840C5">
        <w:tc>
          <w:tcPr>
            <w:tcW w:w="2943" w:type="dxa"/>
            <w:tcBorders>
              <w:top w:val="nil"/>
              <w:left w:val="nil"/>
              <w:bottom w:val="nil"/>
              <w:right w:val="nil"/>
            </w:tcBorders>
          </w:tcPr>
          <w:p w14:paraId="0E872C37"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r w:rsidRPr="00220038">
              <w:rPr>
                <w:rFonts w:cs="Times New Roman"/>
                <w:szCs w:val="22"/>
                <w:lang w:val="en-US"/>
              </w:rPr>
              <w:t>Protestant</w:t>
            </w:r>
          </w:p>
        </w:tc>
        <w:tc>
          <w:tcPr>
            <w:tcW w:w="2016" w:type="dxa"/>
            <w:tcBorders>
              <w:top w:val="nil"/>
              <w:left w:val="nil"/>
              <w:bottom w:val="nil"/>
              <w:right w:val="nil"/>
            </w:tcBorders>
          </w:tcPr>
          <w:p w14:paraId="72B7E729"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0.102</w:t>
            </w:r>
          </w:p>
        </w:tc>
        <w:tc>
          <w:tcPr>
            <w:tcW w:w="2016" w:type="dxa"/>
            <w:tcBorders>
              <w:top w:val="nil"/>
              <w:left w:val="nil"/>
              <w:bottom w:val="nil"/>
              <w:right w:val="nil"/>
            </w:tcBorders>
          </w:tcPr>
          <w:p w14:paraId="142BFE0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-0.134</w:t>
            </w:r>
          </w:p>
        </w:tc>
      </w:tr>
      <w:tr w:rsidR="009F74E5" w:rsidRPr="00220038" w14:paraId="7180BE37" w14:textId="77777777" w:rsidTr="006840C5">
        <w:tc>
          <w:tcPr>
            <w:tcW w:w="2943" w:type="dxa"/>
            <w:tcBorders>
              <w:top w:val="nil"/>
              <w:left w:val="nil"/>
              <w:bottom w:val="nil"/>
              <w:right w:val="nil"/>
            </w:tcBorders>
          </w:tcPr>
          <w:p w14:paraId="63B2B598"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p>
        </w:tc>
        <w:tc>
          <w:tcPr>
            <w:tcW w:w="2016" w:type="dxa"/>
            <w:tcBorders>
              <w:top w:val="nil"/>
              <w:left w:val="nil"/>
              <w:bottom w:val="nil"/>
              <w:right w:val="nil"/>
            </w:tcBorders>
          </w:tcPr>
          <w:p w14:paraId="59ED6727"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(0.186)</w:t>
            </w:r>
          </w:p>
        </w:tc>
        <w:tc>
          <w:tcPr>
            <w:tcW w:w="2016" w:type="dxa"/>
            <w:tcBorders>
              <w:top w:val="nil"/>
              <w:left w:val="nil"/>
              <w:bottom w:val="nil"/>
              <w:right w:val="nil"/>
            </w:tcBorders>
          </w:tcPr>
          <w:p w14:paraId="039B2255"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(0.225)</w:t>
            </w:r>
          </w:p>
        </w:tc>
      </w:tr>
      <w:tr w:rsidR="009F74E5" w:rsidRPr="00220038" w14:paraId="6AFEB616" w14:textId="77777777" w:rsidTr="006840C5">
        <w:tc>
          <w:tcPr>
            <w:tcW w:w="2943" w:type="dxa"/>
            <w:tcBorders>
              <w:top w:val="nil"/>
              <w:left w:val="nil"/>
              <w:bottom w:val="nil"/>
              <w:right w:val="nil"/>
            </w:tcBorders>
          </w:tcPr>
          <w:p w14:paraId="730E2BAE"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r w:rsidRPr="00220038">
              <w:rPr>
                <w:rFonts w:cs="Times New Roman"/>
                <w:szCs w:val="22"/>
                <w:lang w:val="en-US"/>
              </w:rPr>
              <w:t>Other</w:t>
            </w:r>
          </w:p>
        </w:tc>
        <w:tc>
          <w:tcPr>
            <w:tcW w:w="2016" w:type="dxa"/>
            <w:tcBorders>
              <w:top w:val="nil"/>
              <w:left w:val="nil"/>
              <w:bottom w:val="nil"/>
              <w:right w:val="nil"/>
            </w:tcBorders>
          </w:tcPr>
          <w:p w14:paraId="01AE9B0A"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-0.084</w:t>
            </w:r>
          </w:p>
        </w:tc>
        <w:tc>
          <w:tcPr>
            <w:tcW w:w="2016" w:type="dxa"/>
            <w:tcBorders>
              <w:top w:val="nil"/>
              <w:left w:val="nil"/>
              <w:bottom w:val="nil"/>
              <w:right w:val="nil"/>
            </w:tcBorders>
          </w:tcPr>
          <w:p w14:paraId="227E869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0.250</w:t>
            </w:r>
          </w:p>
        </w:tc>
      </w:tr>
      <w:tr w:rsidR="009F74E5" w:rsidRPr="00220038" w14:paraId="2B8AD590" w14:textId="77777777" w:rsidTr="006840C5">
        <w:tc>
          <w:tcPr>
            <w:tcW w:w="2943" w:type="dxa"/>
            <w:tcBorders>
              <w:top w:val="nil"/>
              <w:left w:val="nil"/>
              <w:bottom w:val="nil"/>
              <w:right w:val="nil"/>
            </w:tcBorders>
          </w:tcPr>
          <w:p w14:paraId="489C494D"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2EB4EA9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(0.347)</w:t>
            </w:r>
          </w:p>
        </w:tc>
        <w:tc>
          <w:tcPr>
            <w:tcW w:w="2016" w:type="dxa"/>
            <w:tcBorders>
              <w:top w:val="nil"/>
              <w:left w:val="nil"/>
              <w:bottom w:val="nil"/>
              <w:right w:val="nil"/>
            </w:tcBorders>
          </w:tcPr>
          <w:p w14:paraId="6D99422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(0.349)</w:t>
            </w:r>
          </w:p>
        </w:tc>
      </w:tr>
      <w:tr w:rsidR="009F74E5" w:rsidRPr="00220038" w14:paraId="79F51877" w14:textId="77777777" w:rsidTr="006840C5">
        <w:tc>
          <w:tcPr>
            <w:tcW w:w="2943" w:type="dxa"/>
            <w:tcBorders>
              <w:top w:val="nil"/>
              <w:left w:val="nil"/>
              <w:bottom w:val="nil"/>
              <w:right w:val="nil"/>
            </w:tcBorders>
          </w:tcPr>
          <w:p w14:paraId="082FCC9C"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Education</w:t>
            </w:r>
          </w:p>
        </w:tc>
        <w:tc>
          <w:tcPr>
            <w:tcW w:w="2016" w:type="dxa"/>
            <w:tcBorders>
              <w:top w:val="nil"/>
              <w:left w:val="nil"/>
              <w:bottom w:val="nil"/>
              <w:right w:val="nil"/>
            </w:tcBorders>
          </w:tcPr>
          <w:p w14:paraId="2CC9213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-0.001</w:t>
            </w:r>
          </w:p>
        </w:tc>
        <w:tc>
          <w:tcPr>
            <w:tcW w:w="2016" w:type="dxa"/>
            <w:tcBorders>
              <w:top w:val="nil"/>
              <w:left w:val="nil"/>
              <w:bottom w:val="nil"/>
              <w:right w:val="nil"/>
            </w:tcBorders>
          </w:tcPr>
          <w:p w14:paraId="3B0CED37"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-0.068</w:t>
            </w:r>
            <w:r w:rsidRPr="00220038">
              <w:rPr>
                <w:rFonts w:cs="Times New Roman"/>
                <w:szCs w:val="22"/>
                <w:vertAlign w:val="superscript"/>
                <w:lang w:val="en-US"/>
              </w:rPr>
              <w:t>*</w:t>
            </w:r>
          </w:p>
        </w:tc>
      </w:tr>
      <w:tr w:rsidR="009F74E5" w:rsidRPr="00220038" w14:paraId="0F7AA71D" w14:textId="77777777" w:rsidTr="006840C5">
        <w:tc>
          <w:tcPr>
            <w:tcW w:w="2943" w:type="dxa"/>
            <w:tcBorders>
              <w:top w:val="nil"/>
              <w:left w:val="nil"/>
              <w:bottom w:val="nil"/>
              <w:right w:val="nil"/>
            </w:tcBorders>
          </w:tcPr>
          <w:p w14:paraId="4AB883FE"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23AC7D5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(0.024)</w:t>
            </w:r>
          </w:p>
        </w:tc>
        <w:tc>
          <w:tcPr>
            <w:tcW w:w="2016" w:type="dxa"/>
            <w:tcBorders>
              <w:top w:val="nil"/>
              <w:left w:val="nil"/>
              <w:bottom w:val="nil"/>
              <w:right w:val="nil"/>
            </w:tcBorders>
          </w:tcPr>
          <w:p w14:paraId="2B524DA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(0.028)</w:t>
            </w:r>
          </w:p>
        </w:tc>
      </w:tr>
      <w:tr w:rsidR="009F74E5" w:rsidRPr="00220038" w14:paraId="76998C39" w14:textId="77777777" w:rsidTr="006840C5">
        <w:tc>
          <w:tcPr>
            <w:tcW w:w="2943" w:type="dxa"/>
            <w:tcBorders>
              <w:top w:val="nil"/>
              <w:left w:val="nil"/>
              <w:bottom w:val="nil"/>
              <w:right w:val="nil"/>
            </w:tcBorders>
          </w:tcPr>
          <w:p w14:paraId="6F69BF07"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Income</w:t>
            </w:r>
          </w:p>
        </w:tc>
        <w:tc>
          <w:tcPr>
            <w:tcW w:w="2016" w:type="dxa"/>
            <w:tcBorders>
              <w:top w:val="nil"/>
              <w:left w:val="nil"/>
              <w:bottom w:val="nil"/>
              <w:right w:val="nil"/>
            </w:tcBorders>
          </w:tcPr>
          <w:p w14:paraId="46D251EC"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0.048</w:t>
            </w:r>
            <w:r w:rsidRPr="00220038">
              <w:rPr>
                <w:rFonts w:cs="Times New Roman"/>
                <w:szCs w:val="22"/>
                <w:vertAlign w:val="superscript"/>
                <w:lang w:val="en-US"/>
              </w:rPr>
              <w:t>**</w:t>
            </w:r>
          </w:p>
        </w:tc>
        <w:tc>
          <w:tcPr>
            <w:tcW w:w="2016" w:type="dxa"/>
            <w:tcBorders>
              <w:top w:val="nil"/>
              <w:left w:val="nil"/>
              <w:bottom w:val="nil"/>
              <w:right w:val="nil"/>
            </w:tcBorders>
          </w:tcPr>
          <w:p w14:paraId="0D9DB79C"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-0.046</w:t>
            </w:r>
          </w:p>
        </w:tc>
      </w:tr>
      <w:tr w:rsidR="009F74E5" w:rsidRPr="00220038" w14:paraId="2FD2F118" w14:textId="77777777" w:rsidTr="006840C5">
        <w:tc>
          <w:tcPr>
            <w:tcW w:w="2943" w:type="dxa"/>
            <w:tcBorders>
              <w:top w:val="nil"/>
              <w:left w:val="nil"/>
              <w:bottom w:val="nil"/>
              <w:right w:val="nil"/>
            </w:tcBorders>
          </w:tcPr>
          <w:p w14:paraId="7BA55B84"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11B4DE0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(0.019)</w:t>
            </w:r>
          </w:p>
        </w:tc>
        <w:tc>
          <w:tcPr>
            <w:tcW w:w="2016" w:type="dxa"/>
            <w:tcBorders>
              <w:top w:val="nil"/>
              <w:left w:val="nil"/>
              <w:bottom w:val="nil"/>
              <w:right w:val="nil"/>
            </w:tcBorders>
          </w:tcPr>
          <w:p w14:paraId="62B75F6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(0.024)</w:t>
            </w:r>
          </w:p>
        </w:tc>
      </w:tr>
      <w:tr w:rsidR="009F74E5" w:rsidRPr="00220038" w14:paraId="00EFDC59" w14:textId="77777777" w:rsidTr="006840C5">
        <w:tc>
          <w:tcPr>
            <w:tcW w:w="2943" w:type="dxa"/>
            <w:tcBorders>
              <w:top w:val="nil"/>
              <w:left w:val="nil"/>
              <w:bottom w:val="nil"/>
              <w:right w:val="nil"/>
            </w:tcBorders>
          </w:tcPr>
          <w:p w14:paraId="4A77EBED"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Left-Right-Orientation</w:t>
            </w:r>
          </w:p>
        </w:tc>
        <w:tc>
          <w:tcPr>
            <w:tcW w:w="2016" w:type="dxa"/>
            <w:tcBorders>
              <w:top w:val="nil"/>
              <w:left w:val="nil"/>
              <w:bottom w:val="nil"/>
              <w:right w:val="nil"/>
            </w:tcBorders>
          </w:tcPr>
          <w:p w14:paraId="75A2C48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0.291</w:t>
            </w:r>
            <w:r w:rsidRPr="00220038">
              <w:rPr>
                <w:rFonts w:cs="Times New Roman"/>
                <w:szCs w:val="22"/>
                <w:vertAlign w:val="superscript"/>
                <w:lang w:val="en-US"/>
              </w:rPr>
              <w:t>***</w:t>
            </w:r>
          </w:p>
        </w:tc>
        <w:tc>
          <w:tcPr>
            <w:tcW w:w="2016" w:type="dxa"/>
            <w:tcBorders>
              <w:top w:val="nil"/>
              <w:left w:val="nil"/>
              <w:bottom w:val="nil"/>
              <w:right w:val="nil"/>
            </w:tcBorders>
          </w:tcPr>
          <w:p w14:paraId="005967C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0.425</w:t>
            </w:r>
            <w:r w:rsidRPr="00220038">
              <w:rPr>
                <w:rFonts w:cs="Times New Roman"/>
                <w:szCs w:val="22"/>
                <w:vertAlign w:val="superscript"/>
                <w:lang w:val="en-US"/>
              </w:rPr>
              <w:t>***</w:t>
            </w:r>
          </w:p>
        </w:tc>
      </w:tr>
      <w:tr w:rsidR="009F74E5" w:rsidRPr="00220038" w14:paraId="029667F7" w14:textId="77777777" w:rsidTr="006840C5">
        <w:tc>
          <w:tcPr>
            <w:tcW w:w="2943" w:type="dxa"/>
            <w:tcBorders>
              <w:top w:val="nil"/>
              <w:left w:val="nil"/>
              <w:bottom w:val="nil"/>
              <w:right w:val="nil"/>
            </w:tcBorders>
          </w:tcPr>
          <w:p w14:paraId="0CE4F0A5"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45F08F2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(0.040)</w:t>
            </w:r>
          </w:p>
        </w:tc>
        <w:tc>
          <w:tcPr>
            <w:tcW w:w="2016" w:type="dxa"/>
            <w:tcBorders>
              <w:top w:val="nil"/>
              <w:left w:val="nil"/>
              <w:bottom w:val="nil"/>
              <w:right w:val="nil"/>
            </w:tcBorders>
          </w:tcPr>
          <w:p w14:paraId="38B13DA3"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(0.046)</w:t>
            </w:r>
          </w:p>
        </w:tc>
      </w:tr>
      <w:tr w:rsidR="009F74E5" w:rsidRPr="00220038" w14:paraId="0A009CFB" w14:textId="77777777" w:rsidTr="006840C5">
        <w:tc>
          <w:tcPr>
            <w:tcW w:w="2943" w:type="dxa"/>
            <w:tcBorders>
              <w:top w:val="nil"/>
              <w:left w:val="nil"/>
              <w:bottom w:val="nil"/>
              <w:right w:val="nil"/>
            </w:tcBorders>
          </w:tcPr>
          <w:p w14:paraId="5F1F28B9"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Language region</w:t>
            </w:r>
          </w:p>
        </w:tc>
        <w:tc>
          <w:tcPr>
            <w:tcW w:w="4032" w:type="dxa"/>
            <w:gridSpan w:val="2"/>
            <w:tcBorders>
              <w:top w:val="nil"/>
              <w:left w:val="nil"/>
              <w:bottom w:val="nil"/>
              <w:right w:val="nil"/>
            </w:tcBorders>
          </w:tcPr>
          <w:p w14:paraId="496A31AD" w14:textId="77777777" w:rsidR="009F74E5" w:rsidRPr="00220038" w:rsidRDefault="009F74E5" w:rsidP="006840C5">
            <w:pPr>
              <w:widowControl w:val="0"/>
              <w:autoSpaceDE w:val="0"/>
              <w:autoSpaceDN w:val="0"/>
              <w:adjustRightInd w:val="0"/>
              <w:spacing w:after="0" w:line="240" w:lineRule="auto"/>
              <w:jc w:val="center"/>
              <w:rPr>
                <w:rFonts w:cs="Times New Roman"/>
                <w:i/>
                <w:szCs w:val="22"/>
                <w:lang w:val="en-US"/>
              </w:rPr>
            </w:pPr>
            <w:r w:rsidRPr="00220038">
              <w:rPr>
                <w:rFonts w:cs="Times New Roman"/>
                <w:i/>
                <w:szCs w:val="22"/>
                <w:lang w:val="en-US"/>
              </w:rPr>
              <w:t>Baseline: Swiss German</w:t>
            </w:r>
          </w:p>
        </w:tc>
      </w:tr>
      <w:tr w:rsidR="009F74E5" w:rsidRPr="00220038" w14:paraId="0A210325" w14:textId="77777777" w:rsidTr="006840C5">
        <w:tc>
          <w:tcPr>
            <w:tcW w:w="2943" w:type="dxa"/>
            <w:tcBorders>
              <w:top w:val="nil"/>
              <w:left w:val="nil"/>
              <w:bottom w:val="nil"/>
              <w:right w:val="nil"/>
            </w:tcBorders>
          </w:tcPr>
          <w:p w14:paraId="54930892"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r w:rsidRPr="00220038">
              <w:rPr>
                <w:rFonts w:cs="Times New Roman"/>
                <w:szCs w:val="22"/>
                <w:lang w:val="en-US"/>
              </w:rPr>
              <w:t>French</w:t>
            </w:r>
          </w:p>
        </w:tc>
        <w:tc>
          <w:tcPr>
            <w:tcW w:w="2016" w:type="dxa"/>
            <w:tcBorders>
              <w:top w:val="nil"/>
              <w:left w:val="nil"/>
              <w:bottom w:val="nil"/>
              <w:right w:val="nil"/>
            </w:tcBorders>
          </w:tcPr>
          <w:p w14:paraId="27BCBC8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0.338</w:t>
            </w:r>
          </w:p>
        </w:tc>
        <w:tc>
          <w:tcPr>
            <w:tcW w:w="2016" w:type="dxa"/>
            <w:tcBorders>
              <w:top w:val="nil"/>
              <w:left w:val="nil"/>
              <w:bottom w:val="nil"/>
              <w:right w:val="nil"/>
            </w:tcBorders>
          </w:tcPr>
          <w:p w14:paraId="0E98772F"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-0.316</w:t>
            </w:r>
          </w:p>
        </w:tc>
      </w:tr>
      <w:tr w:rsidR="009F74E5" w:rsidRPr="00220038" w14:paraId="2A33750B" w14:textId="77777777" w:rsidTr="006840C5">
        <w:tc>
          <w:tcPr>
            <w:tcW w:w="2943" w:type="dxa"/>
            <w:tcBorders>
              <w:top w:val="nil"/>
              <w:left w:val="nil"/>
              <w:bottom w:val="nil"/>
              <w:right w:val="nil"/>
            </w:tcBorders>
          </w:tcPr>
          <w:p w14:paraId="2F825758"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p>
        </w:tc>
        <w:tc>
          <w:tcPr>
            <w:tcW w:w="2016" w:type="dxa"/>
            <w:tcBorders>
              <w:top w:val="nil"/>
              <w:left w:val="nil"/>
              <w:bottom w:val="nil"/>
              <w:right w:val="nil"/>
            </w:tcBorders>
          </w:tcPr>
          <w:p w14:paraId="365D8796"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(0.178)</w:t>
            </w:r>
          </w:p>
        </w:tc>
        <w:tc>
          <w:tcPr>
            <w:tcW w:w="2016" w:type="dxa"/>
            <w:tcBorders>
              <w:top w:val="nil"/>
              <w:left w:val="nil"/>
              <w:bottom w:val="nil"/>
              <w:right w:val="nil"/>
            </w:tcBorders>
          </w:tcPr>
          <w:p w14:paraId="3D275D4F"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(0.220)</w:t>
            </w:r>
          </w:p>
        </w:tc>
      </w:tr>
      <w:tr w:rsidR="009F74E5" w:rsidRPr="00220038" w14:paraId="22CE943A" w14:textId="77777777" w:rsidTr="006840C5">
        <w:tc>
          <w:tcPr>
            <w:tcW w:w="2943" w:type="dxa"/>
            <w:tcBorders>
              <w:top w:val="nil"/>
              <w:left w:val="nil"/>
              <w:bottom w:val="nil"/>
              <w:right w:val="nil"/>
            </w:tcBorders>
          </w:tcPr>
          <w:p w14:paraId="131DFC91" w14:textId="77777777" w:rsidR="009F74E5" w:rsidRPr="00220038" w:rsidRDefault="009F74E5" w:rsidP="006840C5">
            <w:pPr>
              <w:widowControl w:val="0"/>
              <w:autoSpaceDE w:val="0"/>
              <w:autoSpaceDN w:val="0"/>
              <w:adjustRightInd w:val="0"/>
              <w:spacing w:after="0" w:line="240" w:lineRule="auto"/>
              <w:ind w:firstLine="284"/>
              <w:rPr>
                <w:rFonts w:cs="Times New Roman"/>
                <w:szCs w:val="22"/>
                <w:lang w:val="en-US"/>
              </w:rPr>
            </w:pPr>
            <w:r w:rsidRPr="00220038">
              <w:rPr>
                <w:rFonts w:cs="Times New Roman"/>
                <w:szCs w:val="22"/>
                <w:lang w:val="en-US"/>
              </w:rPr>
              <w:lastRenderedPageBreak/>
              <w:t>Italian</w:t>
            </w:r>
          </w:p>
        </w:tc>
        <w:tc>
          <w:tcPr>
            <w:tcW w:w="2016" w:type="dxa"/>
            <w:tcBorders>
              <w:top w:val="nil"/>
              <w:left w:val="nil"/>
              <w:bottom w:val="nil"/>
              <w:right w:val="nil"/>
            </w:tcBorders>
          </w:tcPr>
          <w:p w14:paraId="006F0ACA"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0.547</w:t>
            </w:r>
          </w:p>
        </w:tc>
        <w:tc>
          <w:tcPr>
            <w:tcW w:w="2016" w:type="dxa"/>
            <w:tcBorders>
              <w:top w:val="nil"/>
              <w:left w:val="nil"/>
              <w:bottom w:val="nil"/>
              <w:right w:val="nil"/>
            </w:tcBorders>
          </w:tcPr>
          <w:p w14:paraId="3EFD9F2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0.506</w:t>
            </w:r>
          </w:p>
        </w:tc>
      </w:tr>
      <w:tr w:rsidR="009F74E5" w:rsidRPr="00220038" w14:paraId="20C6B75E" w14:textId="77777777" w:rsidTr="006840C5">
        <w:tc>
          <w:tcPr>
            <w:tcW w:w="2943" w:type="dxa"/>
            <w:tcBorders>
              <w:top w:val="nil"/>
              <w:left w:val="nil"/>
              <w:bottom w:val="nil"/>
              <w:right w:val="nil"/>
            </w:tcBorders>
          </w:tcPr>
          <w:p w14:paraId="6A192ED6"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6326C9A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(0.339)</w:t>
            </w:r>
          </w:p>
        </w:tc>
        <w:tc>
          <w:tcPr>
            <w:tcW w:w="2016" w:type="dxa"/>
            <w:tcBorders>
              <w:top w:val="nil"/>
              <w:left w:val="nil"/>
              <w:bottom w:val="nil"/>
              <w:right w:val="nil"/>
            </w:tcBorders>
          </w:tcPr>
          <w:p w14:paraId="62137D9C"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(0.380)</w:t>
            </w:r>
          </w:p>
        </w:tc>
      </w:tr>
      <w:tr w:rsidR="009F74E5" w:rsidRPr="00220038" w14:paraId="24A88970" w14:textId="77777777" w:rsidTr="006840C5">
        <w:tc>
          <w:tcPr>
            <w:tcW w:w="2943" w:type="dxa"/>
            <w:tcBorders>
              <w:top w:val="nil"/>
              <w:left w:val="nil"/>
              <w:bottom w:val="nil"/>
              <w:right w:val="nil"/>
            </w:tcBorders>
          </w:tcPr>
          <w:p w14:paraId="027567FF" w14:textId="77777777" w:rsidR="009F74E5" w:rsidRPr="00220038" w:rsidRDefault="009F74E5" w:rsidP="0077075E">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MIP Migration</w:t>
            </w:r>
            <w:r w:rsidR="0077075E" w:rsidRPr="00220038">
              <w:rPr>
                <w:rFonts w:cs="Times New Roman"/>
                <w:szCs w:val="22"/>
                <w:lang w:val="en-US"/>
              </w:rPr>
              <w:t xml:space="preserve"> </w:t>
            </w:r>
            <w:r w:rsidR="0077075E" w:rsidRPr="00220038">
              <w:rPr>
                <w:rFonts w:cs="Times New Roman"/>
                <w:szCs w:val="22"/>
                <w:vertAlign w:val="superscript"/>
                <w:lang w:val="en-US"/>
              </w:rPr>
              <w:t>a)</w:t>
            </w:r>
          </w:p>
        </w:tc>
        <w:tc>
          <w:tcPr>
            <w:tcW w:w="2016" w:type="dxa"/>
            <w:tcBorders>
              <w:top w:val="nil"/>
              <w:left w:val="nil"/>
              <w:bottom w:val="nil"/>
              <w:right w:val="nil"/>
            </w:tcBorders>
          </w:tcPr>
          <w:p w14:paraId="6D2342C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-0.240</w:t>
            </w:r>
          </w:p>
        </w:tc>
        <w:tc>
          <w:tcPr>
            <w:tcW w:w="2016" w:type="dxa"/>
            <w:tcBorders>
              <w:top w:val="nil"/>
              <w:left w:val="nil"/>
              <w:bottom w:val="nil"/>
              <w:right w:val="nil"/>
            </w:tcBorders>
          </w:tcPr>
          <w:p w14:paraId="7CC4CAE4"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0.008</w:t>
            </w:r>
          </w:p>
        </w:tc>
      </w:tr>
      <w:tr w:rsidR="009F74E5" w:rsidRPr="00220038" w14:paraId="08D75877" w14:textId="77777777" w:rsidTr="006840C5">
        <w:tc>
          <w:tcPr>
            <w:tcW w:w="2943" w:type="dxa"/>
            <w:tcBorders>
              <w:top w:val="nil"/>
              <w:left w:val="nil"/>
              <w:bottom w:val="nil"/>
              <w:right w:val="nil"/>
            </w:tcBorders>
          </w:tcPr>
          <w:p w14:paraId="70AD43DC"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42113546"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(0.166)</w:t>
            </w:r>
          </w:p>
        </w:tc>
        <w:tc>
          <w:tcPr>
            <w:tcW w:w="2016" w:type="dxa"/>
            <w:tcBorders>
              <w:top w:val="nil"/>
              <w:left w:val="nil"/>
              <w:bottom w:val="nil"/>
              <w:right w:val="nil"/>
            </w:tcBorders>
          </w:tcPr>
          <w:p w14:paraId="29359D1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(0.188)</w:t>
            </w:r>
          </w:p>
        </w:tc>
      </w:tr>
      <w:tr w:rsidR="009F74E5" w:rsidRPr="00220038" w14:paraId="7D4352E4" w14:textId="77777777" w:rsidTr="006840C5">
        <w:tc>
          <w:tcPr>
            <w:tcW w:w="2943" w:type="dxa"/>
            <w:tcBorders>
              <w:top w:val="nil"/>
              <w:left w:val="nil"/>
              <w:bottom w:val="nil"/>
              <w:right w:val="nil"/>
            </w:tcBorders>
          </w:tcPr>
          <w:p w14:paraId="4869850D"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MIP EU</w:t>
            </w:r>
            <w:r w:rsidR="0077075E" w:rsidRPr="00220038">
              <w:rPr>
                <w:rFonts w:cs="Times New Roman"/>
                <w:szCs w:val="22"/>
                <w:lang w:val="en-US"/>
              </w:rPr>
              <w:t xml:space="preserve"> </w:t>
            </w:r>
            <w:r w:rsidR="0077075E" w:rsidRPr="00220038">
              <w:rPr>
                <w:rFonts w:cs="Times New Roman"/>
                <w:szCs w:val="22"/>
                <w:vertAlign w:val="superscript"/>
                <w:lang w:val="en-US"/>
              </w:rPr>
              <w:t>a)</w:t>
            </w:r>
          </w:p>
        </w:tc>
        <w:tc>
          <w:tcPr>
            <w:tcW w:w="2016" w:type="dxa"/>
            <w:tcBorders>
              <w:top w:val="nil"/>
              <w:left w:val="nil"/>
              <w:bottom w:val="nil"/>
              <w:right w:val="nil"/>
            </w:tcBorders>
          </w:tcPr>
          <w:p w14:paraId="132229E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0.045</w:t>
            </w:r>
          </w:p>
        </w:tc>
        <w:tc>
          <w:tcPr>
            <w:tcW w:w="2016" w:type="dxa"/>
            <w:tcBorders>
              <w:top w:val="nil"/>
              <w:left w:val="nil"/>
              <w:bottom w:val="nil"/>
              <w:right w:val="nil"/>
            </w:tcBorders>
          </w:tcPr>
          <w:p w14:paraId="20AF39A6"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0.001</w:t>
            </w:r>
          </w:p>
        </w:tc>
      </w:tr>
      <w:tr w:rsidR="009F74E5" w:rsidRPr="00220038" w14:paraId="20A32EB0" w14:textId="77777777" w:rsidTr="006840C5">
        <w:tc>
          <w:tcPr>
            <w:tcW w:w="2943" w:type="dxa"/>
            <w:tcBorders>
              <w:top w:val="nil"/>
              <w:left w:val="nil"/>
              <w:bottom w:val="nil"/>
              <w:right w:val="nil"/>
            </w:tcBorders>
          </w:tcPr>
          <w:p w14:paraId="1AD000DF"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38BE313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(0.219)</w:t>
            </w:r>
          </w:p>
        </w:tc>
        <w:tc>
          <w:tcPr>
            <w:tcW w:w="2016" w:type="dxa"/>
            <w:tcBorders>
              <w:top w:val="nil"/>
              <w:left w:val="nil"/>
              <w:bottom w:val="nil"/>
              <w:right w:val="nil"/>
            </w:tcBorders>
          </w:tcPr>
          <w:p w14:paraId="737312BF"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(0.324)</w:t>
            </w:r>
          </w:p>
        </w:tc>
      </w:tr>
      <w:tr w:rsidR="009F74E5" w:rsidRPr="00220038" w14:paraId="57AA8945" w14:textId="77777777" w:rsidTr="006840C5">
        <w:tc>
          <w:tcPr>
            <w:tcW w:w="2943" w:type="dxa"/>
            <w:tcBorders>
              <w:top w:val="nil"/>
              <w:left w:val="nil"/>
              <w:bottom w:val="nil"/>
              <w:right w:val="nil"/>
            </w:tcBorders>
          </w:tcPr>
          <w:p w14:paraId="2F42CECF"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MIP Economy</w:t>
            </w:r>
            <w:r w:rsidR="0077075E" w:rsidRPr="00220038">
              <w:rPr>
                <w:rFonts w:cs="Times New Roman"/>
                <w:szCs w:val="22"/>
                <w:lang w:val="en-US"/>
              </w:rPr>
              <w:t xml:space="preserve"> </w:t>
            </w:r>
            <w:r w:rsidR="0077075E" w:rsidRPr="00220038">
              <w:rPr>
                <w:rFonts w:cs="Times New Roman"/>
                <w:szCs w:val="22"/>
                <w:vertAlign w:val="superscript"/>
                <w:lang w:val="en-US"/>
              </w:rPr>
              <w:t>a)</w:t>
            </w:r>
          </w:p>
        </w:tc>
        <w:tc>
          <w:tcPr>
            <w:tcW w:w="2016" w:type="dxa"/>
            <w:tcBorders>
              <w:top w:val="nil"/>
              <w:left w:val="nil"/>
              <w:bottom w:val="nil"/>
              <w:right w:val="nil"/>
            </w:tcBorders>
          </w:tcPr>
          <w:p w14:paraId="3104AFDF"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-0.011</w:t>
            </w:r>
          </w:p>
        </w:tc>
        <w:tc>
          <w:tcPr>
            <w:tcW w:w="2016" w:type="dxa"/>
            <w:tcBorders>
              <w:top w:val="nil"/>
              <w:left w:val="nil"/>
              <w:bottom w:val="nil"/>
              <w:right w:val="nil"/>
            </w:tcBorders>
          </w:tcPr>
          <w:p w14:paraId="1BDBBB3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-0.120</w:t>
            </w:r>
          </w:p>
        </w:tc>
      </w:tr>
      <w:tr w:rsidR="009F74E5" w:rsidRPr="00220038" w14:paraId="21FB0B91" w14:textId="77777777" w:rsidTr="006840C5">
        <w:tc>
          <w:tcPr>
            <w:tcW w:w="2943" w:type="dxa"/>
            <w:tcBorders>
              <w:top w:val="nil"/>
              <w:left w:val="nil"/>
              <w:bottom w:val="nil"/>
              <w:right w:val="nil"/>
            </w:tcBorders>
          </w:tcPr>
          <w:p w14:paraId="4460F6CE"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56E91566"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(0.238)</w:t>
            </w:r>
          </w:p>
        </w:tc>
        <w:tc>
          <w:tcPr>
            <w:tcW w:w="2016" w:type="dxa"/>
            <w:tcBorders>
              <w:top w:val="nil"/>
              <w:left w:val="nil"/>
              <w:bottom w:val="nil"/>
              <w:right w:val="nil"/>
            </w:tcBorders>
          </w:tcPr>
          <w:p w14:paraId="46E6DEB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(0.341)</w:t>
            </w:r>
          </w:p>
        </w:tc>
      </w:tr>
      <w:tr w:rsidR="009F74E5" w:rsidRPr="00220038" w14:paraId="02830C85" w14:textId="77777777" w:rsidTr="006840C5">
        <w:tc>
          <w:tcPr>
            <w:tcW w:w="2943" w:type="dxa"/>
            <w:tcBorders>
              <w:top w:val="nil"/>
              <w:left w:val="nil"/>
              <w:bottom w:val="nil"/>
              <w:right w:val="nil"/>
            </w:tcBorders>
          </w:tcPr>
          <w:p w14:paraId="36F78188"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Issue preference: Migration</w:t>
            </w:r>
          </w:p>
        </w:tc>
        <w:tc>
          <w:tcPr>
            <w:tcW w:w="2016" w:type="dxa"/>
            <w:tcBorders>
              <w:top w:val="nil"/>
              <w:left w:val="nil"/>
              <w:bottom w:val="nil"/>
              <w:right w:val="nil"/>
            </w:tcBorders>
          </w:tcPr>
          <w:p w14:paraId="50311FAA"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-0.035</w:t>
            </w:r>
          </w:p>
        </w:tc>
        <w:tc>
          <w:tcPr>
            <w:tcW w:w="2016" w:type="dxa"/>
            <w:tcBorders>
              <w:top w:val="nil"/>
              <w:left w:val="nil"/>
              <w:bottom w:val="nil"/>
              <w:right w:val="nil"/>
            </w:tcBorders>
          </w:tcPr>
          <w:p w14:paraId="07988DC2"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1.285</w:t>
            </w:r>
            <w:r w:rsidRPr="00220038">
              <w:rPr>
                <w:rFonts w:cs="Times New Roman"/>
                <w:szCs w:val="22"/>
                <w:vertAlign w:val="superscript"/>
                <w:lang w:val="en-US"/>
              </w:rPr>
              <w:t>***</w:t>
            </w:r>
          </w:p>
        </w:tc>
      </w:tr>
      <w:tr w:rsidR="009F74E5" w:rsidRPr="00220038" w14:paraId="4D883DEE" w14:textId="77777777" w:rsidTr="006840C5">
        <w:tc>
          <w:tcPr>
            <w:tcW w:w="2943" w:type="dxa"/>
            <w:tcBorders>
              <w:top w:val="nil"/>
              <w:left w:val="nil"/>
              <w:bottom w:val="nil"/>
              <w:right w:val="nil"/>
            </w:tcBorders>
          </w:tcPr>
          <w:p w14:paraId="7883F0E7"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78BDBCA9"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(0.151)</w:t>
            </w:r>
          </w:p>
        </w:tc>
        <w:tc>
          <w:tcPr>
            <w:tcW w:w="2016" w:type="dxa"/>
            <w:tcBorders>
              <w:top w:val="nil"/>
              <w:left w:val="nil"/>
              <w:bottom w:val="nil"/>
              <w:right w:val="nil"/>
            </w:tcBorders>
          </w:tcPr>
          <w:p w14:paraId="21FBA226"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(0.228)</w:t>
            </w:r>
          </w:p>
        </w:tc>
      </w:tr>
      <w:tr w:rsidR="009F74E5" w:rsidRPr="00220038" w14:paraId="13B9ABB6" w14:textId="77777777" w:rsidTr="006840C5">
        <w:tc>
          <w:tcPr>
            <w:tcW w:w="2943" w:type="dxa"/>
            <w:tcBorders>
              <w:top w:val="nil"/>
              <w:left w:val="nil"/>
              <w:bottom w:val="nil"/>
              <w:right w:val="nil"/>
            </w:tcBorders>
          </w:tcPr>
          <w:p w14:paraId="7EBCC127"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Issue preference: EU</w:t>
            </w:r>
          </w:p>
        </w:tc>
        <w:tc>
          <w:tcPr>
            <w:tcW w:w="2016" w:type="dxa"/>
            <w:tcBorders>
              <w:top w:val="nil"/>
              <w:left w:val="nil"/>
              <w:bottom w:val="nil"/>
              <w:right w:val="nil"/>
            </w:tcBorders>
          </w:tcPr>
          <w:p w14:paraId="2A4AF26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0.022</w:t>
            </w:r>
          </w:p>
        </w:tc>
        <w:tc>
          <w:tcPr>
            <w:tcW w:w="2016" w:type="dxa"/>
            <w:tcBorders>
              <w:top w:val="nil"/>
              <w:left w:val="nil"/>
              <w:bottom w:val="nil"/>
              <w:right w:val="nil"/>
            </w:tcBorders>
          </w:tcPr>
          <w:p w14:paraId="1841146F"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1.039</w:t>
            </w:r>
            <w:r w:rsidRPr="00220038">
              <w:rPr>
                <w:rFonts w:cs="Times New Roman"/>
                <w:szCs w:val="22"/>
                <w:vertAlign w:val="superscript"/>
                <w:lang w:val="en-US"/>
              </w:rPr>
              <w:t>***</w:t>
            </w:r>
          </w:p>
        </w:tc>
      </w:tr>
      <w:tr w:rsidR="009F74E5" w:rsidRPr="00220038" w14:paraId="70056B40" w14:textId="77777777" w:rsidTr="006840C5">
        <w:tc>
          <w:tcPr>
            <w:tcW w:w="2943" w:type="dxa"/>
            <w:tcBorders>
              <w:top w:val="nil"/>
              <w:left w:val="nil"/>
              <w:bottom w:val="nil"/>
              <w:right w:val="nil"/>
            </w:tcBorders>
          </w:tcPr>
          <w:p w14:paraId="54FD203C"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0DCA83B4"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(0.152)</w:t>
            </w:r>
          </w:p>
        </w:tc>
        <w:tc>
          <w:tcPr>
            <w:tcW w:w="2016" w:type="dxa"/>
            <w:tcBorders>
              <w:top w:val="nil"/>
              <w:left w:val="nil"/>
              <w:bottom w:val="nil"/>
              <w:right w:val="nil"/>
            </w:tcBorders>
          </w:tcPr>
          <w:p w14:paraId="2D2B451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(0.183)</w:t>
            </w:r>
          </w:p>
        </w:tc>
      </w:tr>
      <w:tr w:rsidR="009F74E5" w:rsidRPr="00220038" w14:paraId="67CF69EB" w14:textId="77777777" w:rsidTr="006840C5">
        <w:tc>
          <w:tcPr>
            <w:tcW w:w="2943" w:type="dxa"/>
            <w:tcBorders>
              <w:top w:val="nil"/>
              <w:left w:val="nil"/>
              <w:bottom w:val="nil"/>
              <w:right w:val="nil"/>
            </w:tcBorders>
          </w:tcPr>
          <w:p w14:paraId="1AF05A6F"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Issue preference: Economy</w:t>
            </w:r>
          </w:p>
        </w:tc>
        <w:tc>
          <w:tcPr>
            <w:tcW w:w="2016" w:type="dxa"/>
            <w:tcBorders>
              <w:top w:val="nil"/>
              <w:left w:val="nil"/>
              <w:bottom w:val="nil"/>
              <w:right w:val="nil"/>
            </w:tcBorders>
          </w:tcPr>
          <w:p w14:paraId="11CA0242"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0.451</w:t>
            </w:r>
            <w:r w:rsidRPr="00220038">
              <w:rPr>
                <w:rFonts w:cs="Times New Roman"/>
                <w:szCs w:val="22"/>
                <w:vertAlign w:val="superscript"/>
                <w:lang w:val="en-US"/>
              </w:rPr>
              <w:t>**</w:t>
            </w:r>
          </w:p>
        </w:tc>
        <w:tc>
          <w:tcPr>
            <w:tcW w:w="2016" w:type="dxa"/>
            <w:tcBorders>
              <w:top w:val="nil"/>
              <w:left w:val="nil"/>
              <w:bottom w:val="nil"/>
              <w:right w:val="nil"/>
            </w:tcBorders>
          </w:tcPr>
          <w:p w14:paraId="0DC55EB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0.359</w:t>
            </w:r>
          </w:p>
        </w:tc>
      </w:tr>
      <w:tr w:rsidR="009F74E5" w:rsidRPr="00220038" w14:paraId="6465CFD5" w14:textId="77777777" w:rsidTr="006840C5">
        <w:tc>
          <w:tcPr>
            <w:tcW w:w="2943" w:type="dxa"/>
            <w:tcBorders>
              <w:top w:val="nil"/>
              <w:left w:val="nil"/>
              <w:bottom w:val="nil"/>
              <w:right w:val="nil"/>
            </w:tcBorders>
          </w:tcPr>
          <w:p w14:paraId="1B1F5B9A"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1D09E6C2"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(0.174)</w:t>
            </w:r>
          </w:p>
        </w:tc>
        <w:tc>
          <w:tcPr>
            <w:tcW w:w="2016" w:type="dxa"/>
            <w:tcBorders>
              <w:top w:val="nil"/>
              <w:left w:val="nil"/>
              <w:bottom w:val="nil"/>
              <w:right w:val="nil"/>
            </w:tcBorders>
          </w:tcPr>
          <w:p w14:paraId="1FE662B7"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(0.203)</w:t>
            </w:r>
          </w:p>
        </w:tc>
      </w:tr>
      <w:tr w:rsidR="009F74E5" w:rsidRPr="00220038" w14:paraId="45C85A77" w14:textId="77777777" w:rsidTr="006840C5">
        <w:tc>
          <w:tcPr>
            <w:tcW w:w="2943" w:type="dxa"/>
            <w:tcBorders>
              <w:top w:val="nil"/>
              <w:left w:val="nil"/>
              <w:bottom w:val="nil"/>
              <w:right w:val="nil"/>
            </w:tcBorders>
          </w:tcPr>
          <w:p w14:paraId="30E317EA"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SVP: total ads</w:t>
            </w:r>
          </w:p>
        </w:tc>
        <w:tc>
          <w:tcPr>
            <w:tcW w:w="2016" w:type="dxa"/>
            <w:tcBorders>
              <w:top w:val="nil"/>
              <w:left w:val="nil"/>
              <w:bottom w:val="nil"/>
              <w:right w:val="nil"/>
            </w:tcBorders>
          </w:tcPr>
          <w:p w14:paraId="1319375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0.094</w:t>
            </w:r>
          </w:p>
        </w:tc>
        <w:tc>
          <w:tcPr>
            <w:tcW w:w="2016" w:type="dxa"/>
            <w:tcBorders>
              <w:top w:val="nil"/>
              <w:left w:val="nil"/>
              <w:bottom w:val="nil"/>
              <w:right w:val="nil"/>
            </w:tcBorders>
          </w:tcPr>
          <w:p w14:paraId="496BC09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0.151</w:t>
            </w:r>
          </w:p>
        </w:tc>
      </w:tr>
      <w:tr w:rsidR="009F74E5" w:rsidRPr="00220038" w14:paraId="020E8C7A" w14:textId="77777777" w:rsidTr="006840C5">
        <w:tc>
          <w:tcPr>
            <w:tcW w:w="2943" w:type="dxa"/>
            <w:tcBorders>
              <w:top w:val="nil"/>
              <w:left w:val="nil"/>
              <w:bottom w:val="nil"/>
              <w:right w:val="nil"/>
            </w:tcBorders>
          </w:tcPr>
          <w:p w14:paraId="32435981"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5CCD6E45"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(0.123)</w:t>
            </w:r>
          </w:p>
        </w:tc>
        <w:tc>
          <w:tcPr>
            <w:tcW w:w="2016" w:type="dxa"/>
            <w:tcBorders>
              <w:top w:val="nil"/>
              <w:left w:val="nil"/>
              <w:bottom w:val="nil"/>
              <w:right w:val="nil"/>
            </w:tcBorders>
          </w:tcPr>
          <w:p w14:paraId="500C470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(0.145)</w:t>
            </w:r>
          </w:p>
        </w:tc>
      </w:tr>
      <w:tr w:rsidR="009F74E5" w:rsidRPr="00220038" w14:paraId="15AEC2F1" w14:textId="77777777" w:rsidTr="006840C5">
        <w:tc>
          <w:tcPr>
            <w:tcW w:w="2943" w:type="dxa"/>
            <w:tcBorders>
              <w:top w:val="nil"/>
              <w:left w:val="nil"/>
              <w:bottom w:val="nil"/>
              <w:right w:val="nil"/>
            </w:tcBorders>
          </w:tcPr>
          <w:p w14:paraId="032FD421"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SVP: economy ads</w:t>
            </w:r>
          </w:p>
        </w:tc>
        <w:tc>
          <w:tcPr>
            <w:tcW w:w="2016" w:type="dxa"/>
            <w:tcBorders>
              <w:top w:val="nil"/>
              <w:left w:val="nil"/>
              <w:bottom w:val="nil"/>
              <w:right w:val="nil"/>
            </w:tcBorders>
          </w:tcPr>
          <w:p w14:paraId="5CE9A51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0.259</w:t>
            </w:r>
          </w:p>
        </w:tc>
        <w:tc>
          <w:tcPr>
            <w:tcW w:w="2016" w:type="dxa"/>
            <w:tcBorders>
              <w:top w:val="nil"/>
              <w:left w:val="nil"/>
              <w:bottom w:val="nil"/>
              <w:right w:val="nil"/>
            </w:tcBorders>
          </w:tcPr>
          <w:p w14:paraId="0A706A6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0.122</w:t>
            </w:r>
          </w:p>
        </w:tc>
      </w:tr>
      <w:tr w:rsidR="009F74E5" w:rsidRPr="00220038" w14:paraId="01582B5E" w14:textId="77777777" w:rsidTr="006840C5">
        <w:tc>
          <w:tcPr>
            <w:tcW w:w="2943" w:type="dxa"/>
            <w:tcBorders>
              <w:top w:val="nil"/>
              <w:left w:val="nil"/>
              <w:bottom w:val="nil"/>
              <w:right w:val="nil"/>
            </w:tcBorders>
          </w:tcPr>
          <w:p w14:paraId="6C796300"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07D7F3D6"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(0.138)</w:t>
            </w:r>
          </w:p>
        </w:tc>
        <w:tc>
          <w:tcPr>
            <w:tcW w:w="2016" w:type="dxa"/>
            <w:tcBorders>
              <w:top w:val="nil"/>
              <w:left w:val="nil"/>
              <w:bottom w:val="nil"/>
              <w:right w:val="nil"/>
            </w:tcBorders>
          </w:tcPr>
          <w:p w14:paraId="02B1FD89"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(0.166)</w:t>
            </w:r>
          </w:p>
        </w:tc>
      </w:tr>
      <w:tr w:rsidR="009F74E5" w:rsidRPr="00220038" w14:paraId="6AC1FAE0" w14:textId="77777777" w:rsidTr="006840C5">
        <w:tc>
          <w:tcPr>
            <w:tcW w:w="2943" w:type="dxa"/>
            <w:tcBorders>
              <w:top w:val="nil"/>
              <w:left w:val="nil"/>
              <w:bottom w:val="nil"/>
              <w:right w:val="nil"/>
            </w:tcBorders>
          </w:tcPr>
          <w:p w14:paraId="2E846A47"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SVP: migration ads</w:t>
            </w:r>
          </w:p>
        </w:tc>
        <w:tc>
          <w:tcPr>
            <w:tcW w:w="2016" w:type="dxa"/>
            <w:tcBorders>
              <w:top w:val="nil"/>
              <w:left w:val="nil"/>
              <w:bottom w:val="nil"/>
              <w:right w:val="nil"/>
            </w:tcBorders>
          </w:tcPr>
          <w:p w14:paraId="28EDE7F3"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0.268</w:t>
            </w:r>
          </w:p>
        </w:tc>
        <w:tc>
          <w:tcPr>
            <w:tcW w:w="2016" w:type="dxa"/>
            <w:tcBorders>
              <w:top w:val="nil"/>
              <w:left w:val="nil"/>
              <w:bottom w:val="nil"/>
              <w:right w:val="nil"/>
            </w:tcBorders>
          </w:tcPr>
          <w:p w14:paraId="49E82AE2"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0.052</w:t>
            </w:r>
          </w:p>
        </w:tc>
      </w:tr>
      <w:tr w:rsidR="009F74E5" w:rsidRPr="00220038" w14:paraId="3415AF9D" w14:textId="77777777" w:rsidTr="006840C5">
        <w:tc>
          <w:tcPr>
            <w:tcW w:w="2943" w:type="dxa"/>
            <w:tcBorders>
              <w:top w:val="nil"/>
              <w:left w:val="nil"/>
              <w:bottom w:val="nil"/>
              <w:right w:val="nil"/>
            </w:tcBorders>
          </w:tcPr>
          <w:p w14:paraId="2EC25292"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6FE673C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(0.187)</w:t>
            </w:r>
          </w:p>
        </w:tc>
        <w:tc>
          <w:tcPr>
            <w:tcW w:w="2016" w:type="dxa"/>
            <w:tcBorders>
              <w:top w:val="nil"/>
              <w:left w:val="nil"/>
              <w:bottom w:val="nil"/>
              <w:right w:val="nil"/>
            </w:tcBorders>
          </w:tcPr>
          <w:p w14:paraId="76F51AE5"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(0.223)</w:t>
            </w:r>
          </w:p>
        </w:tc>
      </w:tr>
      <w:tr w:rsidR="009F74E5" w:rsidRPr="00220038" w14:paraId="2C44ADF2" w14:textId="77777777" w:rsidTr="006840C5">
        <w:tc>
          <w:tcPr>
            <w:tcW w:w="2943" w:type="dxa"/>
            <w:tcBorders>
              <w:top w:val="nil"/>
              <w:left w:val="nil"/>
              <w:bottom w:val="nil"/>
              <w:right w:val="nil"/>
            </w:tcBorders>
          </w:tcPr>
          <w:p w14:paraId="3EFEED95"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SVP: EU ads</w:t>
            </w:r>
          </w:p>
        </w:tc>
        <w:tc>
          <w:tcPr>
            <w:tcW w:w="2016" w:type="dxa"/>
            <w:tcBorders>
              <w:top w:val="nil"/>
              <w:left w:val="nil"/>
              <w:bottom w:val="nil"/>
              <w:right w:val="nil"/>
            </w:tcBorders>
          </w:tcPr>
          <w:p w14:paraId="54ED34E9"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-0.498</w:t>
            </w:r>
            <w:r w:rsidRPr="00220038">
              <w:rPr>
                <w:rFonts w:cs="Times New Roman"/>
                <w:szCs w:val="22"/>
                <w:vertAlign w:val="superscript"/>
                <w:lang w:val="en-US"/>
              </w:rPr>
              <w:t>*</w:t>
            </w:r>
          </w:p>
        </w:tc>
        <w:tc>
          <w:tcPr>
            <w:tcW w:w="2016" w:type="dxa"/>
            <w:tcBorders>
              <w:top w:val="nil"/>
              <w:left w:val="nil"/>
              <w:bottom w:val="nil"/>
              <w:right w:val="nil"/>
            </w:tcBorders>
          </w:tcPr>
          <w:p w14:paraId="2B13A8EF"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-0.398</w:t>
            </w:r>
          </w:p>
        </w:tc>
      </w:tr>
      <w:tr w:rsidR="009F74E5" w:rsidRPr="00220038" w14:paraId="60F7913D" w14:textId="77777777" w:rsidTr="006840C5">
        <w:tc>
          <w:tcPr>
            <w:tcW w:w="2943" w:type="dxa"/>
            <w:tcBorders>
              <w:top w:val="nil"/>
              <w:left w:val="nil"/>
              <w:bottom w:val="nil"/>
              <w:right w:val="nil"/>
            </w:tcBorders>
          </w:tcPr>
          <w:p w14:paraId="61D1DD93"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4B2E473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(0.203)</w:t>
            </w:r>
          </w:p>
        </w:tc>
        <w:tc>
          <w:tcPr>
            <w:tcW w:w="2016" w:type="dxa"/>
            <w:tcBorders>
              <w:top w:val="nil"/>
              <w:left w:val="nil"/>
              <w:bottom w:val="nil"/>
              <w:right w:val="nil"/>
            </w:tcBorders>
          </w:tcPr>
          <w:p w14:paraId="496FCC25"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(0.247)</w:t>
            </w:r>
          </w:p>
        </w:tc>
      </w:tr>
      <w:tr w:rsidR="009F74E5" w:rsidRPr="00220038" w14:paraId="703C0413" w14:textId="77777777" w:rsidTr="006840C5">
        <w:tc>
          <w:tcPr>
            <w:tcW w:w="2943" w:type="dxa"/>
            <w:tcBorders>
              <w:top w:val="nil"/>
              <w:left w:val="nil"/>
              <w:bottom w:val="nil"/>
              <w:right w:val="nil"/>
            </w:tcBorders>
          </w:tcPr>
          <w:p w14:paraId="148BBD49"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FDP: total ads</w:t>
            </w:r>
          </w:p>
        </w:tc>
        <w:tc>
          <w:tcPr>
            <w:tcW w:w="2016" w:type="dxa"/>
            <w:tcBorders>
              <w:top w:val="nil"/>
              <w:left w:val="nil"/>
              <w:bottom w:val="nil"/>
              <w:right w:val="nil"/>
            </w:tcBorders>
          </w:tcPr>
          <w:p w14:paraId="4FE9511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-0.027</w:t>
            </w:r>
          </w:p>
        </w:tc>
        <w:tc>
          <w:tcPr>
            <w:tcW w:w="2016" w:type="dxa"/>
            <w:tcBorders>
              <w:top w:val="nil"/>
              <w:left w:val="nil"/>
              <w:bottom w:val="nil"/>
              <w:right w:val="nil"/>
            </w:tcBorders>
          </w:tcPr>
          <w:p w14:paraId="44D9BD32"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-0.051</w:t>
            </w:r>
          </w:p>
        </w:tc>
      </w:tr>
      <w:tr w:rsidR="009F74E5" w:rsidRPr="00220038" w14:paraId="1C616F89" w14:textId="77777777" w:rsidTr="006840C5">
        <w:tc>
          <w:tcPr>
            <w:tcW w:w="2943" w:type="dxa"/>
            <w:tcBorders>
              <w:top w:val="nil"/>
              <w:left w:val="nil"/>
              <w:bottom w:val="nil"/>
              <w:right w:val="nil"/>
            </w:tcBorders>
          </w:tcPr>
          <w:p w14:paraId="49752FBC"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2FB5094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(0.088)</w:t>
            </w:r>
          </w:p>
        </w:tc>
        <w:tc>
          <w:tcPr>
            <w:tcW w:w="2016" w:type="dxa"/>
            <w:tcBorders>
              <w:top w:val="nil"/>
              <w:left w:val="nil"/>
              <w:bottom w:val="nil"/>
              <w:right w:val="nil"/>
            </w:tcBorders>
          </w:tcPr>
          <w:p w14:paraId="4F30C0C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(0.099)</w:t>
            </w:r>
          </w:p>
        </w:tc>
      </w:tr>
      <w:tr w:rsidR="009F74E5" w:rsidRPr="00220038" w14:paraId="7EEECC11" w14:textId="77777777" w:rsidTr="006840C5">
        <w:tc>
          <w:tcPr>
            <w:tcW w:w="2943" w:type="dxa"/>
            <w:tcBorders>
              <w:top w:val="nil"/>
              <w:left w:val="nil"/>
              <w:bottom w:val="nil"/>
              <w:right w:val="nil"/>
            </w:tcBorders>
          </w:tcPr>
          <w:p w14:paraId="6100A64C"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FDP: economy ads</w:t>
            </w:r>
          </w:p>
        </w:tc>
        <w:tc>
          <w:tcPr>
            <w:tcW w:w="2016" w:type="dxa"/>
            <w:tcBorders>
              <w:top w:val="nil"/>
              <w:left w:val="nil"/>
              <w:bottom w:val="nil"/>
              <w:right w:val="nil"/>
            </w:tcBorders>
          </w:tcPr>
          <w:p w14:paraId="70F88F0B"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0.008</w:t>
            </w:r>
          </w:p>
        </w:tc>
        <w:tc>
          <w:tcPr>
            <w:tcW w:w="2016" w:type="dxa"/>
            <w:tcBorders>
              <w:top w:val="nil"/>
              <w:left w:val="nil"/>
              <w:bottom w:val="nil"/>
              <w:right w:val="nil"/>
            </w:tcBorders>
          </w:tcPr>
          <w:p w14:paraId="0A94863F"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0.051</w:t>
            </w:r>
          </w:p>
        </w:tc>
      </w:tr>
      <w:tr w:rsidR="009F74E5" w:rsidRPr="00220038" w14:paraId="39D7A069" w14:textId="77777777" w:rsidTr="006840C5">
        <w:tc>
          <w:tcPr>
            <w:tcW w:w="2943" w:type="dxa"/>
            <w:tcBorders>
              <w:top w:val="nil"/>
              <w:left w:val="nil"/>
              <w:bottom w:val="nil"/>
              <w:right w:val="nil"/>
            </w:tcBorders>
          </w:tcPr>
          <w:p w14:paraId="2A179652"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65EEA23A"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(0.104)</w:t>
            </w:r>
          </w:p>
        </w:tc>
        <w:tc>
          <w:tcPr>
            <w:tcW w:w="2016" w:type="dxa"/>
            <w:tcBorders>
              <w:top w:val="nil"/>
              <w:left w:val="nil"/>
              <w:bottom w:val="nil"/>
              <w:right w:val="nil"/>
            </w:tcBorders>
          </w:tcPr>
          <w:p w14:paraId="0ED26E2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(0.123)</w:t>
            </w:r>
          </w:p>
        </w:tc>
      </w:tr>
      <w:tr w:rsidR="009F74E5" w:rsidRPr="00220038" w14:paraId="20BEA235" w14:textId="77777777" w:rsidTr="006840C5">
        <w:tc>
          <w:tcPr>
            <w:tcW w:w="2943" w:type="dxa"/>
            <w:tcBorders>
              <w:top w:val="nil"/>
              <w:left w:val="nil"/>
              <w:bottom w:val="nil"/>
              <w:right w:val="nil"/>
            </w:tcBorders>
          </w:tcPr>
          <w:p w14:paraId="2031AD5E"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FDP: migration ads</w:t>
            </w:r>
          </w:p>
        </w:tc>
        <w:tc>
          <w:tcPr>
            <w:tcW w:w="2016" w:type="dxa"/>
            <w:tcBorders>
              <w:top w:val="nil"/>
              <w:left w:val="nil"/>
              <w:bottom w:val="nil"/>
              <w:right w:val="nil"/>
            </w:tcBorders>
          </w:tcPr>
          <w:p w14:paraId="2CD4C518"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-0.280</w:t>
            </w:r>
          </w:p>
        </w:tc>
        <w:tc>
          <w:tcPr>
            <w:tcW w:w="2016" w:type="dxa"/>
            <w:tcBorders>
              <w:top w:val="nil"/>
              <w:left w:val="nil"/>
              <w:bottom w:val="nil"/>
              <w:right w:val="nil"/>
            </w:tcBorders>
          </w:tcPr>
          <w:p w14:paraId="7999EA4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-0.292</w:t>
            </w:r>
          </w:p>
        </w:tc>
      </w:tr>
      <w:tr w:rsidR="009F74E5" w:rsidRPr="00220038" w14:paraId="7A6E811F" w14:textId="77777777" w:rsidTr="006840C5">
        <w:tc>
          <w:tcPr>
            <w:tcW w:w="2943" w:type="dxa"/>
            <w:tcBorders>
              <w:top w:val="nil"/>
              <w:left w:val="nil"/>
              <w:bottom w:val="nil"/>
              <w:right w:val="nil"/>
            </w:tcBorders>
          </w:tcPr>
          <w:p w14:paraId="4C618612"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546150EE"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(0.258)</w:t>
            </w:r>
          </w:p>
        </w:tc>
        <w:tc>
          <w:tcPr>
            <w:tcW w:w="2016" w:type="dxa"/>
            <w:tcBorders>
              <w:top w:val="nil"/>
              <w:left w:val="nil"/>
              <w:bottom w:val="nil"/>
              <w:right w:val="nil"/>
            </w:tcBorders>
          </w:tcPr>
          <w:p w14:paraId="346AA5FC"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(0.304)</w:t>
            </w:r>
          </w:p>
        </w:tc>
      </w:tr>
      <w:tr w:rsidR="009F74E5" w:rsidRPr="00220038" w14:paraId="2ED4C3FA" w14:textId="77777777" w:rsidTr="006840C5">
        <w:tc>
          <w:tcPr>
            <w:tcW w:w="2943" w:type="dxa"/>
            <w:tcBorders>
              <w:top w:val="nil"/>
              <w:left w:val="nil"/>
              <w:bottom w:val="nil"/>
              <w:right w:val="nil"/>
            </w:tcBorders>
          </w:tcPr>
          <w:p w14:paraId="7C5C7486"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FDP EU ads</w:t>
            </w:r>
          </w:p>
        </w:tc>
        <w:tc>
          <w:tcPr>
            <w:tcW w:w="2016" w:type="dxa"/>
            <w:tcBorders>
              <w:top w:val="nil"/>
              <w:left w:val="nil"/>
              <w:bottom w:val="nil"/>
              <w:right w:val="nil"/>
            </w:tcBorders>
          </w:tcPr>
          <w:p w14:paraId="01EF3909"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0.008</w:t>
            </w:r>
          </w:p>
        </w:tc>
        <w:tc>
          <w:tcPr>
            <w:tcW w:w="2016" w:type="dxa"/>
            <w:tcBorders>
              <w:top w:val="nil"/>
              <w:left w:val="nil"/>
              <w:bottom w:val="nil"/>
              <w:right w:val="nil"/>
            </w:tcBorders>
          </w:tcPr>
          <w:p w14:paraId="516BC797"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0.073</w:t>
            </w:r>
          </w:p>
        </w:tc>
      </w:tr>
      <w:tr w:rsidR="009F74E5" w:rsidRPr="00220038" w14:paraId="12E527C9" w14:textId="77777777" w:rsidTr="006840C5">
        <w:tc>
          <w:tcPr>
            <w:tcW w:w="2943" w:type="dxa"/>
            <w:tcBorders>
              <w:top w:val="nil"/>
              <w:left w:val="nil"/>
              <w:bottom w:val="nil"/>
              <w:right w:val="nil"/>
            </w:tcBorders>
          </w:tcPr>
          <w:p w14:paraId="336F0951"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45C52471"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(0.168)</w:t>
            </w:r>
          </w:p>
        </w:tc>
        <w:tc>
          <w:tcPr>
            <w:tcW w:w="2016" w:type="dxa"/>
            <w:tcBorders>
              <w:top w:val="nil"/>
              <w:left w:val="nil"/>
              <w:bottom w:val="nil"/>
              <w:right w:val="nil"/>
            </w:tcBorders>
          </w:tcPr>
          <w:p w14:paraId="3713EFD9"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(0.203)</w:t>
            </w:r>
          </w:p>
        </w:tc>
      </w:tr>
      <w:tr w:rsidR="009F74E5" w:rsidRPr="00220038" w14:paraId="0501E35D" w14:textId="77777777" w:rsidTr="006840C5">
        <w:tc>
          <w:tcPr>
            <w:tcW w:w="2943" w:type="dxa"/>
            <w:tcBorders>
              <w:top w:val="nil"/>
              <w:left w:val="nil"/>
              <w:bottom w:val="nil"/>
              <w:right w:val="nil"/>
            </w:tcBorders>
          </w:tcPr>
          <w:p w14:paraId="7C33F639"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Constant</w:t>
            </w:r>
          </w:p>
        </w:tc>
        <w:tc>
          <w:tcPr>
            <w:tcW w:w="2016" w:type="dxa"/>
            <w:tcBorders>
              <w:top w:val="nil"/>
              <w:left w:val="nil"/>
              <w:bottom w:val="nil"/>
              <w:right w:val="nil"/>
            </w:tcBorders>
          </w:tcPr>
          <w:p w14:paraId="7079EF5A"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-4.121</w:t>
            </w:r>
            <w:r w:rsidRPr="00220038">
              <w:rPr>
                <w:rFonts w:cs="Times New Roman"/>
                <w:szCs w:val="22"/>
                <w:vertAlign w:val="superscript"/>
                <w:lang w:val="en-US"/>
              </w:rPr>
              <w:t>***</w:t>
            </w:r>
          </w:p>
        </w:tc>
        <w:tc>
          <w:tcPr>
            <w:tcW w:w="2016" w:type="dxa"/>
            <w:tcBorders>
              <w:top w:val="nil"/>
              <w:left w:val="nil"/>
              <w:bottom w:val="nil"/>
              <w:right w:val="nil"/>
            </w:tcBorders>
          </w:tcPr>
          <w:p w14:paraId="10E03946"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-4.644</w:t>
            </w:r>
            <w:r w:rsidRPr="00220038">
              <w:rPr>
                <w:rFonts w:cs="Times New Roman"/>
                <w:szCs w:val="22"/>
                <w:vertAlign w:val="superscript"/>
                <w:lang w:val="en-US"/>
              </w:rPr>
              <w:t>***</w:t>
            </w:r>
          </w:p>
        </w:tc>
      </w:tr>
      <w:tr w:rsidR="009F74E5" w:rsidRPr="00220038" w14:paraId="0A04BE90" w14:textId="77777777" w:rsidTr="006840C5">
        <w:tc>
          <w:tcPr>
            <w:tcW w:w="2943" w:type="dxa"/>
            <w:tcBorders>
              <w:top w:val="nil"/>
              <w:left w:val="nil"/>
              <w:bottom w:val="nil"/>
              <w:right w:val="nil"/>
            </w:tcBorders>
          </w:tcPr>
          <w:p w14:paraId="347C0B5A"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p>
        </w:tc>
        <w:tc>
          <w:tcPr>
            <w:tcW w:w="2016" w:type="dxa"/>
            <w:tcBorders>
              <w:top w:val="nil"/>
              <w:left w:val="nil"/>
              <w:bottom w:val="nil"/>
              <w:right w:val="nil"/>
            </w:tcBorders>
          </w:tcPr>
          <w:p w14:paraId="15CC47C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(0.476)</w:t>
            </w:r>
          </w:p>
        </w:tc>
        <w:tc>
          <w:tcPr>
            <w:tcW w:w="2016" w:type="dxa"/>
            <w:tcBorders>
              <w:top w:val="nil"/>
              <w:left w:val="nil"/>
              <w:bottom w:val="nil"/>
              <w:right w:val="nil"/>
            </w:tcBorders>
          </w:tcPr>
          <w:p w14:paraId="58E9523C"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(0.586)</w:t>
            </w:r>
          </w:p>
        </w:tc>
      </w:tr>
      <w:tr w:rsidR="009F74E5" w:rsidRPr="00220038" w14:paraId="778C7612" w14:textId="77777777" w:rsidTr="006840C5">
        <w:tc>
          <w:tcPr>
            <w:tcW w:w="2943" w:type="dxa"/>
            <w:tcBorders>
              <w:top w:val="single" w:sz="4" w:space="0" w:color="auto"/>
              <w:left w:val="nil"/>
              <w:bottom w:val="nil"/>
              <w:right w:val="nil"/>
            </w:tcBorders>
          </w:tcPr>
          <w:p w14:paraId="730F49F7"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Pseudo R2</w:t>
            </w:r>
          </w:p>
        </w:tc>
        <w:tc>
          <w:tcPr>
            <w:tcW w:w="4032" w:type="dxa"/>
            <w:gridSpan w:val="2"/>
            <w:vMerge w:val="restart"/>
            <w:tcBorders>
              <w:top w:val="single" w:sz="4" w:space="0" w:color="auto"/>
              <w:left w:val="nil"/>
              <w:right w:val="nil"/>
            </w:tcBorders>
          </w:tcPr>
          <w:p w14:paraId="2C9576A7"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0.594</w:t>
            </w:r>
          </w:p>
          <w:p w14:paraId="7CF5AA20"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r w:rsidRPr="00220038">
              <w:rPr>
                <w:rFonts w:cs="Times New Roman"/>
                <w:szCs w:val="22"/>
                <w:lang w:val="en-US"/>
              </w:rPr>
              <w:t>3402</w:t>
            </w:r>
          </w:p>
        </w:tc>
      </w:tr>
      <w:tr w:rsidR="009F74E5" w:rsidRPr="00220038" w14:paraId="1786041E" w14:textId="77777777" w:rsidTr="006840C5">
        <w:tc>
          <w:tcPr>
            <w:tcW w:w="2943" w:type="dxa"/>
            <w:tcBorders>
              <w:top w:val="nil"/>
              <w:left w:val="nil"/>
              <w:bottom w:val="single" w:sz="4" w:space="0" w:color="auto"/>
              <w:right w:val="nil"/>
            </w:tcBorders>
          </w:tcPr>
          <w:p w14:paraId="629A98D5" w14:textId="77777777" w:rsidR="009F74E5" w:rsidRPr="00220038" w:rsidRDefault="009F74E5" w:rsidP="006840C5">
            <w:pPr>
              <w:widowControl w:val="0"/>
              <w:autoSpaceDE w:val="0"/>
              <w:autoSpaceDN w:val="0"/>
              <w:adjustRightInd w:val="0"/>
              <w:spacing w:after="0" w:line="240" w:lineRule="auto"/>
              <w:rPr>
                <w:rFonts w:cs="Times New Roman"/>
                <w:szCs w:val="22"/>
                <w:lang w:val="en-US"/>
              </w:rPr>
            </w:pPr>
            <w:r w:rsidRPr="00220038">
              <w:rPr>
                <w:rFonts w:cs="Times New Roman"/>
                <w:szCs w:val="22"/>
                <w:lang w:val="en-US"/>
              </w:rPr>
              <w:t>N</w:t>
            </w:r>
          </w:p>
        </w:tc>
        <w:tc>
          <w:tcPr>
            <w:tcW w:w="4032" w:type="dxa"/>
            <w:gridSpan w:val="2"/>
            <w:vMerge/>
            <w:tcBorders>
              <w:left w:val="nil"/>
              <w:bottom w:val="single" w:sz="4" w:space="0" w:color="auto"/>
              <w:right w:val="nil"/>
            </w:tcBorders>
          </w:tcPr>
          <w:p w14:paraId="5FE60CCD" w14:textId="77777777" w:rsidR="009F74E5" w:rsidRPr="00220038" w:rsidRDefault="009F74E5" w:rsidP="006840C5">
            <w:pPr>
              <w:widowControl w:val="0"/>
              <w:autoSpaceDE w:val="0"/>
              <w:autoSpaceDN w:val="0"/>
              <w:adjustRightInd w:val="0"/>
              <w:spacing w:after="0" w:line="240" w:lineRule="auto"/>
              <w:jc w:val="center"/>
              <w:rPr>
                <w:rFonts w:cs="Times New Roman"/>
                <w:szCs w:val="22"/>
                <w:lang w:val="en-US"/>
              </w:rPr>
            </w:pPr>
          </w:p>
        </w:tc>
      </w:tr>
    </w:tbl>
    <w:p w14:paraId="0B58BF1B" w14:textId="4EDA1BF4" w:rsidR="009F74E5" w:rsidRPr="00220038" w:rsidRDefault="009F74E5" w:rsidP="009F74E5">
      <w:pPr>
        <w:widowControl w:val="0"/>
        <w:autoSpaceDE w:val="0"/>
        <w:autoSpaceDN w:val="0"/>
        <w:adjustRightInd w:val="0"/>
        <w:spacing w:after="0" w:line="240" w:lineRule="auto"/>
        <w:ind w:right="2460"/>
        <w:rPr>
          <w:rFonts w:cs="Times New Roman"/>
          <w:sz w:val="20"/>
          <w:szCs w:val="20"/>
          <w:lang w:val="en-US"/>
        </w:rPr>
      </w:pPr>
      <w:r w:rsidRPr="00220038">
        <w:rPr>
          <w:rFonts w:cs="Times New Roman"/>
          <w:i/>
          <w:sz w:val="20"/>
          <w:szCs w:val="20"/>
          <w:lang w:val="en-US"/>
        </w:rPr>
        <w:t>Notes:</w:t>
      </w:r>
      <w:r w:rsidR="009448A7" w:rsidRPr="00220038">
        <w:rPr>
          <w:rFonts w:cs="Times New Roman"/>
          <w:i/>
          <w:sz w:val="20"/>
          <w:szCs w:val="20"/>
          <w:lang w:val="en-US"/>
        </w:rPr>
        <w:t xml:space="preserve"> </w:t>
      </w:r>
      <w:r w:rsidRPr="00220038">
        <w:rPr>
          <w:rFonts w:cs="Times New Roman"/>
          <w:sz w:val="20"/>
          <w:szCs w:val="20"/>
          <w:lang w:val="en-US"/>
        </w:rPr>
        <w:t xml:space="preserve">Estimates are based on a multinomial model (baseline: vote intention for another party). The assumption of independence of irrelevant alternatives holds (Hausmann test). Standard errors in parentheses. *** p&lt;0.001; ** p&lt;0.01; * p&lt;0.05. </w:t>
      </w:r>
      <w:r w:rsidR="0077075E" w:rsidRPr="00220038">
        <w:rPr>
          <w:rFonts w:cs="Times New Roman"/>
          <w:szCs w:val="22"/>
          <w:vertAlign w:val="superscript"/>
          <w:lang w:val="en-US"/>
        </w:rPr>
        <w:t xml:space="preserve">a) </w:t>
      </w:r>
      <w:r w:rsidR="0077075E" w:rsidRPr="00220038">
        <w:rPr>
          <w:rFonts w:cs="Times New Roman"/>
          <w:szCs w:val="22"/>
          <w:lang w:val="en-US"/>
        </w:rPr>
        <w:t>MIP = Most important problem</w:t>
      </w:r>
    </w:p>
    <w:p w14:paraId="66A817DE" w14:textId="77777777" w:rsidR="009F74E5" w:rsidRPr="00220038" w:rsidRDefault="009F74E5" w:rsidP="009F74E5">
      <w:pPr>
        <w:widowControl w:val="0"/>
        <w:autoSpaceDE w:val="0"/>
        <w:autoSpaceDN w:val="0"/>
        <w:adjustRightInd w:val="0"/>
        <w:spacing w:after="0" w:line="240" w:lineRule="auto"/>
        <w:ind w:right="2460"/>
        <w:rPr>
          <w:rFonts w:cs="Times New Roman"/>
          <w:sz w:val="20"/>
          <w:szCs w:val="20"/>
          <w:lang w:val="en-US"/>
        </w:rPr>
      </w:pPr>
    </w:p>
    <w:p w14:paraId="17E752A9" w14:textId="21EBB22E" w:rsidR="005E5D1E" w:rsidRPr="00A31105" w:rsidRDefault="009F74E5" w:rsidP="009F74E5">
      <w:pPr>
        <w:rPr>
          <w:lang w:val="en-US"/>
        </w:rPr>
      </w:pPr>
      <w:r w:rsidRPr="00220038">
        <w:rPr>
          <w:lang w:val="en-US"/>
        </w:rPr>
        <w:t>Second</w:t>
      </w:r>
      <w:r w:rsidR="002A584B" w:rsidRPr="00220038">
        <w:rPr>
          <w:lang w:val="en-US"/>
        </w:rPr>
        <w:t>,</w:t>
      </w:r>
      <w:r w:rsidRPr="00220038">
        <w:rPr>
          <w:lang w:val="en-US"/>
        </w:rPr>
        <w:t xml:space="preserve"> and contrary to issue salience, issue </w:t>
      </w:r>
      <w:r w:rsidRPr="00220038">
        <w:rPr>
          <w:i/>
          <w:lang w:val="en-US"/>
        </w:rPr>
        <w:t>preferences</w:t>
      </w:r>
      <w:r w:rsidRPr="00220038">
        <w:rPr>
          <w:lang w:val="en-US"/>
        </w:rPr>
        <w:t xml:space="preserve"> were highly relevant. Individuals who favor limitations </w:t>
      </w:r>
      <w:r w:rsidR="002A584B" w:rsidRPr="00220038">
        <w:rPr>
          <w:lang w:val="en-US"/>
        </w:rPr>
        <w:t xml:space="preserve">on </w:t>
      </w:r>
      <w:r w:rsidRPr="00220038">
        <w:rPr>
          <w:lang w:val="en-US"/>
        </w:rPr>
        <w:t>immigration</w:t>
      </w:r>
      <w:r w:rsidR="002A584B" w:rsidRPr="00220038">
        <w:rPr>
          <w:lang w:val="en-US"/>
        </w:rPr>
        <w:t>,</w:t>
      </w:r>
      <w:r w:rsidRPr="00220038">
        <w:rPr>
          <w:lang w:val="en-US"/>
        </w:rPr>
        <w:t xml:space="preserve"> as well as </w:t>
      </w:r>
      <w:r w:rsidR="002A584B" w:rsidRPr="00220038">
        <w:rPr>
          <w:lang w:val="en-US"/>
        </w:rPr>
        <w:t>individuals</w:t>
      </w:r>
      <w:r w:rsidRPr="00220038">
        <w:rPr>
          <w:lang w:val="en-US"/>
        </w:rPr>
        <w:t xml:space="preserve"> who are strongly </w:t>
      </w:r>
      <w:r w:rsidR="001409F3" w:rsidRPr="00220038">
        <w:rPr>
          <w:lang w:val="en-US"/>
        </w:rPr>
        <w:t xml:space="preserve">opposed to </w:t>
      </w:r>
      <w:r w:rsidRPr="00220038">
        <w:rPr>
          <w:lang w:val="en-US"/>
        </w:rPr>
        <w:t>joining the EU</w:t>
      </w:r>
      <w:r w:rsidR="00661E89" w:rsidRPr="00220038">
        <w:rPr>
          <w:lang w:val="en-US"/>
        </w:rPr>
        <w:t>,</w:t>
      </w:r>
      <w:r w:rsidRPr="00220038">
        <w:rPr>
          <w:lang w:val="en-US"/>
        </w:rPr>
        <w:t xml:space="preserve"> are significantly more likely to </w:t>
      </w:r>
      <w:r w:rsidR="00661E89" w:rsidRPr="00220038">
        <w:rPr>
          <w:lang w:val="en-US"/>
        </w:rPr>
        <w:t xml:space="preserve">express </w:t>
      </w:r>
      <w:r w:rsidRPr="00220038">
        <w:rPr>
          <w:lang w:val="en-US"/>
        </w:rPr>
        <w:t xml:space="preserve">vote intentions for the SVP than for </w:t>
      </w:r>
      <w:r w:rsidR="00661E89" w:rsidRPr="00220038">
        <w:rPr>
          <w:lang w:val="en-US"/>
        </w:rPr>
        <w:t xml:space="preserve">any </w:t>
      </w:r>
      <w:r w:rsidRPr="00220038">
        <w:rPr>
          <w:lang w:val="en-US"/>
        </w:rPr>
        <w:t>other part</w:t>
      </w:r>
      <w:r w:rsidR="00246E6C" w:rsidRPr="00220038">
        <w:rPr>
          <w:lang w:val="en-US"/>
        </w:rPr>
        <w:t>y</w:t>
      </w:r>
      <w:r w:rsidRPr="00220038">
        <w:rPr>
          <w:lang w:val="en-US"/>
        </w:rPr>
        <w:t>.</w:t>
      </w:r>
      <w:r w:rsidRPr="00220038">
        <w:rPr>
          <w:rStyle w:val="Appelnotedebasdep"/>
          <w:lang w:val="en-US"/>
        </w:rPr>
        <w:footnoteReference w:id="11"/>
      </w:r>
      <w:r w:rsidRPr="00220038">
        <w:rPr>
          <w:lang w:val="en-US"/>
        </w:rPr>
        <w:t xml:space="preserve"> Similarly, individuals who agreed that measures should be taken to strengthen the economy are significantly more likely to express vote intentions for the FDP than for </w:t>
      </w:r>
      <w:r w:rsidR="00227D64" w:rsidRPr="00220038">
        <w:rPr>
          <w:lang w:val="en-US"/>
        </w:rPr>
        <w:t>any</w:t>
      </w:r>
      <w:r w:rsidRPr="00220038">
        <w:rPr>
          <w:lang w:val="en-US"/>
        </w:rPr>
        <w:t xml:space="preserve"> other part</w:t>
      </w:r>
      <w:r w:rsidR="00227D64" w:rsidRPr="00220038">
        <w:rPr>
          <w:lang w:val="en-US"/>
        </w:rPr>
        <w:t>y</w:t>
      </w:r>
      <w:r w:rsidRPr="00220038">
        <w:rPr>
          <w:lang w:val="en-US"/>
        </w:rPr>
        <w:t>. These results suggest that issue voting mattered and that both parties could successfully be linked to their core issues</w:t>
      </w:r>
      <w:r w:rsidR="00227D64" w:rsidRPr="00220038">
        <w:rPr>
          <w:lang w:val="en-US"/>
        </w:rPr>
        <w:t xml:space="preserve"> during the campaign</w:t>
      </w:r>
      <w:r w:rsidRPr="00220038">
        <w:rPr>
          <w:lang w:val="en-US"/>
        </w:rPr>
        <w:t>. What remains unclear are the mechanisms behind the latter</w:t>
      </w:r>
      <w:r w:rsidR="00DA437B" w:rsidRPr="00220038">
        <w:rPr>
          <w:lang w:val="en-US"/>
        </w:rPr>
        <w:t>;</w:t>
      </w:r>
      <w:r w:rsidRPr="00220038">
        <w:rPr>
          <w:lang w:val="en-US"/>
        </w:rPr>
        <w:t xml:space="preserve"> whether </w:t>
      </w:r>
      <w:r w:rsidR="00E262D5" w:rsidRPr="00220038">
        <w:rPr>
          <w:lang w:val="en-US"/>
        </w:rPr>
        <w:t xml:space="preserve">the linking of core issues to the party </w:t>
      </w:r>
      <w:r w:rsidRPr="00220038">
        <w:rPr>
          <w:lang w:val="en-US"/>
        </w:rPr>
        <w:t>worked through political advertisements</w:t>
      </w:r>
      <w:r w:rsidR="00E262D5" w:rsidRPr="00220038">
        <w:rPr>
          <w:lang w:val="en-US"/>
        </w:rPr>
        <w:t>, through</w:t>
      </w:r>
      <w:r w:rsidRPr="00220038">
        <w:rPr>
          <w:lang w:val="en-US"/>
        </w:rPr>
        <w:t xml:space="preserve"> other means of political campaigning</w:t>
      </w:r>
      <w:r w:rsidR="00E262D5" w:rsidRPr="00220038">
        <w:rPr>
          <w:lang w:val="en-US"/>
        </w:rPr>
        <w:t>,</w:t>
      </w:r>
      <w:r w:rsidRPr="00220038">
        <w:rPr>
          <w:lang w:val="en-US"/>
        </w:rPr>
        <w:t xml:space="preserve"> or </w:t>
      </w:r>
      <w:r w:rsidR="00E262D5" w:rsidRPr="00220038">
        <w:rPr>
          <w:lang w:val="en-US"/>
        </w:rPr>
        <w:t>through</w:t>
      </w:r>
      <w:r w:rsidRPr="00220038">
        <w:rPr>
          <w:lang w:val="en-US"/>
        </w:rPr>
        <w:t xml:space="preserve"> the media. The results displayed in Table 2 indicate that there are no general </w:t>
      </w:r>
      <w:r w:rsidR="00DA437B" w:rsidRPr="00220038">
        <w:rPr>
          <w:lang w:val="en-US"/>
        </w:rPr>
        <w:t>or</w:t>
      </w:r>
      <w:r w:rsidRPr="00220038">
        <w:rPr>
          <w:lang w:val="en-US"/>
        </w:rPr>
        <w:t xml:space="preserve"> positive effects</w:t>
      </w:r>
      <w:r w:rsidR="00DA437B" w:rsidRPr="00220038">
        <w:rPr>
          <w:lang w:val="en-US"/>
        </w:rPr>
        <w:t>,</w:t>
      </w:r>
      <w:r w:rsidRPr="00220038">
        <w:rPr>
          <w:lang w:val="en-US"/>
        </w:rPr>
        <w:t xml:space="preserve"> </w:t>
      </w:r>
      <w:r w:rsidRPr="00220038">
        <w:rPr>
          <w:lang w:val="en-US"/>
        </w:rPr>
        <w:lastRenderedPageBreak/>
        <w:t>neither for the overall amount of campaign nor for the issue-specific campaign ads.</w:t>
      </w:r>
      <w:r w:rsidRPr="00220038">
        <w:rPr>
          <w:rStyle w:val="Appelnotedebasdep"/>
          <w:lang w:val="en-US"/>
        </w:rPr>
        <w:footnoteReference w:id="12"/>
      </w:r>
      <w:r w:rsidRPr="00220038">
        <w:rPr>
          <w:lang w:val="en-US"/>
        </w:rPr>
        <w:t xml:space="preserve"> With regard to our theory, </w:t>
      </w:r>
      <w:r w:rsidR="0084006C" w:rsidRPr="00220038">
        <w:rPr>
          <w:lang w:val="en-US"/>
        </w:rPr>
        <w:t xml:space="preserve">however, </w:t>
      </w:r>
      <w:r w:rsidRPr="00220038">
        <w:rPr>
          <w:lang w:val="en-US"/>
        </w:rPr>
        <w:t>we would expect</w:t>
      </w:r>
      <w:r w:rsidR="00D33DB4" w:rsidRPr="00220038">
        <w:rPr>
          <w:lang w:val="en-US"/>
        </w:rPr>
        <w:t xml:space="preserve"> not</w:t>
      </w:r>
      <w:r w:rsidRPr="00220038">
        <w:rPr>
          <w:lang w:val="en-US"/>
        </w:rPr>
        <w:t xml:space="preserve"> general</w:t>
      </w:r>
      <w:r w:rsidR="00D33DB4" w:rsidRPr="00220038">
        <w:rPr>
          <w:lang w:val="en-US"/>
        </w:rPr>
        <w:t>, but conditional</w:t>
      </w:r>
      <w:r w:rsidRPr="00220038">
        <w:rPr>
          <w:lang w:val="en-US"/>
        </w:rPr>
        <w:t xml:space="preserve"> effects.</w:t>
      </w:r>
    </w:p>
    <w:p w14:paraId="41AEBB01" w14:textId="40A1711E" w:rsidR="009F74E5" w:rsidRPr="00220038" w:rsidRDefault="001E16BF" w:rsidP="006B64A3">
      <w:pPr>
        <w:spacing w:after="0"/>
        <w:rPr>
          <w:b/>
          <w:noProof/>
          <w:lang w:val="en-US"/>
        </w:rPr>
      </w:pPr>
      <w:r>
        <w:rPr>
          <w:b/>
          <w:noProof/>
          <w:lang w:val="en-US"/>
        </w:rPr>
        <w:t>Figure 1: The Influence of Overall Campaign Intensity on Vote I</w:t>
      </w:r>
      <w:r w:rsidR="009F74E5" w:rsidRPr="00220038">
        <w:rPr>
          <w:b/>
          <w:noProof/>
          <w:lang w:val="en-US"/>
        </w:rPr>
        <w:t>ntentions</w:t>
      </w:r>
    </w:p>
    <w:p w14:paraId="6748FA97" w14:textId="465695C7" w:rsidR="009F74E5" w:rsidRPr="00220038" w:rsidRDefault="006B64A3" w:rsidP="009F74E5">
      <w:pPr>
        <w:rPr>
          <w:lang w:val="en-US"/>
        </w:rPr>
      </w:pPr>
      <w:r>
        <w:rPr>
          <w:noProof/>
          <w:lang w:val="en-US"/>
        </w:rPr>
        <w:drawing>
          <wp:inline distT="0" distB="0" distL="0" distR="0" wp14:anchorId="6AB50B5E" wp14:editId="1545F347">
            <wp:extent cx="2876400" cy="2091927"/>
            <wp:effectExtent l="0" t="0" r="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_SVP.pdf"/>
                    <pic:cNvPicPr/>
                  </pic:nvPicPr>
                  <pic:blipFill>
                    <a:blip r:embed="rId8">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r>
        <w:rPr>
          <w:noProof/>
          <w:lang w:val="en-US"/>
        </w:rPr>
        <w:drawing>
          <wp:inline distT="0" distB="0" distL="0" distR="0" wp14:anchorId="02BCC7F7" wp14:editId="116329C9">
            <wp:extent cx="2876400" cy="2091927"/>
            <wp:effectExtent l="0" t="0" r="0" b="381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_FDP.pdf"/>
                    <pic:cNvPicPr/>
                  </pic:nvPicPr>
                  <pic:blipFill>
                    <a:blip r:embed="rId9">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p>
    <w:p w14:paraId="75C25BE7" w14:textId="0230456A" w:rsidR="009F74E5" w:rsidRPr="00220038" w:rsidRDefault="009F74E5" w:rsidP="009F74E5">
      <w:pPr>
        <w:spacing w:line="240" w:lineRule="auto"/>
        <w:rPr>
          <w:sz w:val="20"/>
          <w:szCs w:val="20"/>
          <w:lang w:val="en-US"/>
        </w:rPr>
      </w:pPr>
      <w:r w:rsidRPr="00220038">
        <w:rPr>
          <w:i/>
          <w:sz w:val="20"/>
          <w:szCs w:val="20"/>
          <w:lang w:val="en-US"/>
        </w:rPr>
        <w:t xml:space="preserve">Notes: </w:t>
      </w:r>
      <w:r w:rsidRPr="00220038">
        <w:rPr>
          <w:sz w:val="20"/>
          <w:szCs w:val="20"/>
          <w:lang w:val="en-US"/>
        </w:rPr>
        <w:t xml:space="preserve">On display are predicted probabilities for </w:t>
      </w:r>
      <w:r w:rsidR="00B0298B" w:rsidRPr="00220038">
        <w:rPr>
          <w:sz w:val="20"/>
          <w:szCs w:val="20"/>
          <w:lang w:val="en-US"/>
        </w:rPr>
        <w:t xml:space="preserve">expressing </w:t>
      </w:r>
      <w:r w:rsidRPr="00220038">
        <w:rPr>
          <w:sz w:val="20"/>
          <w:szCs w:val="20"/>
          <w:lang w:val="en-US"/>
        </w:rPr>
        <w:t>a vote intention for the SVP (left</w:t>
      </w:r>
      <w:r w:rsidR="007D4417" w:rsidRPr="00220038">
        <w:rPr>
          <w:sz w:val="20"/>
          <w:szCs w:val="20"/>
          <w:lang w:val="en-US"/>
        </w:rPr>
        <w:t>-</w:t>
      </w:r>
      <w:r w:rsidRPr="00220038">
        <w:rPr>
          <w:sz w:val="20"/>
          <w:szCs w:val="20"/>
          <w:lang w:val="en-US"/>
        </w:rPr>
        <w:t>hand figure) or the FDP (</w:t>
      </w:r>
      <w:r w:rsidR="007D4417" w:rsidRPr="00220038">
        <w:rPr>
          <w:sz w:val="20"/>
          <w:szCs w:val="20"/>
          <w:lang w:val="en-US"/>
        </w:rPr>
        <w:t>right-hand</w:t>
      </w:r>
      <w:r w:rsidRPr="00220038">
        <w:rPr>
          <w:sz w:val="20"/>
          <w:szCs w:val="20"/>
          <w:lang w:val="en-US"/>
        </w:rPr>
        <w:t xml:space="preserve"> figure) at </w:t>
      </w:r>
      <w:r w:rsidR="0084006C" w:rsidRPr="00220038">
        <w:rPr>
          <w:sz w:val="20"/>
          <w:szCs w:val="20"/>
          <w:lang w:val="en-US"/>
        </w:rPr>
        <w:t>wave</w:t>
      </w:r>
      <w:r w:rsidR="007D4417" w:rsidRPr="00220038">
        <w:rPr>
          <w:sz w:val="20"/>
          <w:szCs w:val="20"/>
          <w:lang w:val="en-US"/>
        </w:rPr>
        <w:t xml:space="preserve"> </w:t>
      </w:r>
      <w:r w:rsidRPr="00220038">
        <w:rPr>
          <w:sz w:val="20"/>
          <w:szCs w:val="20"/>
          <w:lang w:val="en-US"/>
        </w:rPr>
        <w:t xml:space="preserve">2 by vote intention at </w:t>
      </w:r>
      <w:r w:rsidR="0084006C" w:rsidRPr="00220038">
        <w:rPr>
          <w:sz w:val="20"/>
          <w:szCs w:val="20"/>
          <w:lang w:val="en-US"/>
        </w:rPr>
        <w:t xml:space="preserve">wave </w:t>
      </w:r>
      <w:r w:rsidRPr="00220038">
        <w:rPr>
          <w:sz w:val="20"/>
          <w:szCs w:val="20"/>
          <w:lang w:val="en-US"/>
        </w:rPr>
        <w:t xml:space="preserve">1 and varying degrees of overall campaign intensity. Calculations are based on multinomial models including the same control variables as displayed in Table 2.  </w:t>
      </w:r>
    </w:p>
    <w:p w14:paraId="57E5D76D" w14:textId="6BC92631" w:rsidR="00B717DE" w:rsidRPr="00220038" w:rsidRDefault="00EA674E" w:rsidP="009F74E5">
      <w:pPr>
        <w:rPr>
          <w:szCs w:val="22"/>
          <w:lang w:val="en-US"/>
        </w:rPr>
      </w:pPr>
      <w:r w:rsidRPr="00220038">
        <w:rPr>
          <w:lang w:val="en-US"/>
        </w:rPr>
        <w:t>We</w:t>
      </w:r>
      <w:r w:rsidR="00B717DE" w:rsidRPr="00220038">
        <w:rPr>
          <w:lang w:val="en-US"/>
        </w:rPr>
        <w:t xml:space="preserve"> </w:t>
      </w:r>
      <w:r w:rsidRPr="00220038">
        <w:rPr>
          <w:lang w:val="en-US"/>
        </w:rPr>
        <w:t xml:space="preserve">thus </w:t>
      </w:r>
      <w:r w:rsidR="00B717DE" w:rsidRPr="00220038">
        <w:rPr>
          <w:lang w:val="en-US"/>
        </w:rPr>
        <w:t xml:space="preserve">ran additional multinomial models with interaction terms. </w:t>
      </w:r>
      <w:r w:rsidRPr="00220038">
        <w:rPr>
          <w:lang w:val="en-US"/>
        </w:rPr>
        <w:t>As</w:t>
      </w:r>
      <w:r w:rsidR="00B717DE" w:rsidRPr="00220038">
        <w:rPr>
          <w:lang w:val="en-US"/>
        </w:rPr>
        <w:t xml:space="preserve"> a first step, we calculated interactions between the total number of advertisements and the vote intention at </w:t>
      </w:r>
      <w:r w:rsidR="0084006C" w:rsidRPr="00220038">
        <w:rPr>
          <w:lang w:val="en-US"/>
        </w:rPr>
        <w:t xml:space="preserve">wave </w:t>
      </w:r>
      <w:r w:rsidR="00B717DE" w:rsidRPr="00220038">
        <w:rPr>
          <w:lang w:val="en-US"/>
        </w:rPr>
        <w:t xml:space="preserve">1. Figure 1 displays these results for the two parties under scrutiny. In line with our hypothesis 1, we identify a reinforcement effect of political advertisements for respondents </w:t>
      </w:r>
      <w:r w:rsidR="00AC25F2" w:rsidRPr="00220038">
        <w:rPr>
          <w:lang w:val="en-US"/>
        </w:rPr>
        <w:t xml:space="preserve">who </w:t>
      </w:r>
      <w:r w:rsidR="00B717DE" w:rsidRPr="00220038">
        <w:rPr>
          <w:lang w:val="en-US"/>
        </w:rPr>
        <w:t xml:space="preserve">intended to vote for the SVP at </w:t>
      </w:r>
      <w:r w:rsidR="0084006C" w:rsidRPr="00220038">
        <w:rPr>
          <w:lang w:val="en-US"/>
        </w:rPr>
        <w:t xml:space="preserve">wave </w:t>
      </w:r>
      <w:r w:rsidR="00B717DE" w:rsidRPr="00220038">
        <w:rPr>
          <w:lang w:val="en-US"/>
        </w:rPr>
        <w:t xml:space="preserve">1: the more SVP advertisements a person with preferences for the SVP encountered, the more </w:t>
      </w:r>
      <w:r w:rsidR="00462CA7" w:rsidRPr="00220038">
        <w:rPr>
          <w:lang w:val="en-US"/>
        </w:rPr>
        <w:t>they</w:t>
      </w:r>
      <w:r w:rsidR="00B717DE" w:rsidRPr="00220038">
        <w:rPr>
          <w:lang w:val="en-US"/>
        </w:rPr>
        <w:t xml:space="preserve"> stuck with </w:t>
      </w:r>
      <w:r w:rsidR="00462CA7" w:rsidRPr="00220038">
        <w:rPr>
          <w:lang w:val="en-US"/>
        </w:rPr>
        <w:t>their</w:t>
      </w:r>
      <w:r w:rsidR="00B717DE" w:rsidRPr="00220038">
        <w:rPr>
          <w:lang w:val="en-US"/>
        </w:rPr>
        <w:t xml:space="preserve"> initial vote intention. In contrast, we cannot observe such effects for the FDP and have </w:t>
      </w:r>
      <w:r w:rsidR="00AC25F2" w:rsidRPr="00220038">
        <w:rPr>
          <w:lang w:val="en-US"/>
        </w:rPr>
        <w:t xml:space="preserve">to </w:t>
      </w:r>
      <w:r w:rsidR="00B717DE" w:rsidRPr="00220038">
        <w:rPr>
          <w:lang w:val="en-US"/>
        </w:rPr>
        <w:t xml:space="preserve">therefore reject </w:t>
      </w:r>
      <w:r w:rsidR="00AC25F2" w:rsidRPr="00220038">
        <w:rPr>
          <w:lang w:val="en-US"/>
        </w:rPr>
        <w:t>that</w:t>
      </w:r>
      <w:r w:rsidR="00B717DE" w:rsidRPr="00220038">
        <w:rPr>
          <w:lang w:val="en-US"/>
        </w:rPr>
        <w:t xml:space="preserve"> hypothesis.</w:t>
      </w:r>
    </w:p>
    <w:p w14:paraId="3C4CA015" w14:textId="42EA14CD" w:rsidR="009F74E5" w:rsidRPr="00220038" w:rsidRDefault="00AC25F2" w:rsidP="009F74E5">
      <w:pPr>
        <w:rPr>
          <w:szCs w:val="22"/>
          <w:lang w:val="en-US"/>
        </w:rPr>
      </w:pPr>
      <w:r w:rsidRPr="00220038">
        <w:rPr>
          <w:szCs w:val="22"/>
          <w:lang w:val="en-US"/>
        </w:rPr>
        <w:t>T</w:t>
      </w:r>
      <w:r w:rsidR="009F74E5" w:rsidRPr="00220038">
        <w:rPr>
          <w:szCs w:val="22"/>
          <w:lang w:val="en-US"/>
        </w:rPr>
        <w:t>o explore the effect of issue-specific advertisements, we computed multinomial models with three</w:t>
      </w:r>
      <w:r w:rsidRPr="00220038">
        <w:rPr>
          <w:szCs w:val="22"/>
          <w:lang w:val="en-US"/>
        </w:rPr>
        <w:t>-</w:t>
      </w:r>
      <w:r w:rsidR="009F74E5" w:rsidRPr="00220038">
        <w:rPr>
          <w:szCs w:val="22"/>
          <w:lang w:val="en-US"/>
        </w:rPr>
        <w:t>way interaction terms. In addition to vote intention (</w:t>
      </w:r>
      <w:r w:rsidR="00F41CC7" w:rsidRPr="00220038">
        <w:rPr>
          <w:szCs w:val="22"/>
          <w:lang w:val="en-US"/>
        </w:rPr>
        <w:t>w</w:t>
      </w:r>
      <w:r w:rsidR="009F74E5" w:rsidRPr="00220038">
        <w:rPr>
          <w:szCs w:val="22"/>
          <w:lang w:val="en-US"/>
        </w:rPr>
        <w:t xml:space="preserve">1) and </w:t>
      </w:r>
      <w:r w:rsidR="00243A13">
        <w:rPr>
          <w:szCs w:val="22"/>
          <w:lang w:val="en-US"/>
        </w:rPr>
        <w:t xml:space="preserve">issue-specific </w:t>
      </w:r>
      <w:r w:rsidR="009F74E5" w:rsidRPr="00220038">
        <w:rPr>
          <w:szCs w:val="22"/>
          <w:lang w:val="en-US"/>
        </w:rPr>
        <w:t>campaign intensity, we also included issue preferences, assuming that issue-specific advertisements matter most for those individuals who hold preferences that are in line with a part</w:t>
      </w:r>
      <w:r w:rsidR="00443E5E" w:rsidRPr="00220038">
        <w:rPr>
          <w:szCs w:val="22"/>
          <w:lang w:val="en-US"/>
        </w:rPr>
        <w:t>y’s</w:t>
      </w:r>
      <w:r w:rsidR="009F74E5" w:rsidRPr="00220038">
        <w:rPr>
          <w:szCs w:val="22"/>
          <w:lang w:val="en-US"/>
        </w:rPr>
        <w:t xml:space="preserve"> position on that issue. Figure 2 displays the result of these interactions.</w:t>
      </w:r>
      <w:r w:rsidR="009F74E5" w:rsidRPr="00220038">
        <w:rPr>
          <w:rStyle w:val="Appelnotedebasdep"/>
          <w:szCs w:val="22"/>
          <w:lang w:val="en-US"/>
        </w:rPr>
        <w:footnoteReference w:id="13"/>
      </w:r>
      <w:r w:rsidR="009F74E5" w:rsidRPr="00220038">
        <w:rPr>
          <w:szCs w:val="22"/>
          <w:lang w:val="en-US"/>
        </w:rPr>
        <w:t xml:space="preserve"> For most graphs enlisted in Figure 2, we cannot substantiate a reinforcement effect, as we would have expected according to our hypothesis 2b: people who intended to vote for a particular party and already held issue preferences in line with that party at </w:t>
      </w:r>
      <w:r w:rsidR="0084006C" w:rsidRPr="00220038">
        <w:rPr>
          <w:szCs w:val="22"/>
          <w:lang w:val="en-US"/>
        </w:rPr>
        <w:t xml:space="preserve">wave </w:t>
      </w:r>
      <w:r w:rsidR="009F74E5" w:rsidRPr="00220038">
        <w:rPr>
          <w:szCs w:val="22"/>
          <w:lang w:val="en-US"/>
        </w:rPr>
        <w:t xml:space="preserve">1 were in general not reinforced in their vote intention at </w:t>
      </w:r>
      <w:r w:rsidR="00F41CC7" w:rsidRPr="00220038">
        <w:rPr>
          <w:szCs w:val="22"/>
          <w:lang w:val="en-US"/>
        </w:rPr>
        <w:t>w</w:t>
      </w:r>
      <w:r w:rsidR="0084006C" w:rsidRPr="00220038">
        <w:rPr>
          <w:szCs w:val="22"/>
          <w:lang w:val="en-US"/>
        </w:rPr>
        <w:t xml:space="preserve">ave </w:t>
      </w:r>
      <w:r w:rsidR="009F74E5" w:rsidRPr="00220038">
        <w:rPr>
          <w:szCs w:val="22"/>
          <w:lang w:val="en-US"/>
        </w:rPr>
        <w:t xml:space="preserve">2. There is, however, a slight reinforcement effect for respondents favoring the SVP and holding preferences for strengthening the economy. This is particularly interesting since according to the Selects survey, the SVP is not perceived to be the party </w:t>
      </w:r>
      <w:r w:rsidR="009F74E5" w:rsidRPr="00220038">
        <w:rPr>
          <w:szCs w:val="22"/>
          <w:lang w:val="en-US"/>
        </w:rPr>
        <w:lastRenderedPageBreak/>
        <w:t>that owns th</w:t>
      </w:r>
      <w:r w:rsidR="00CE693E" w:rsidRPr="00220038">
        <w:rPr>
          <w:szCs w:val="22"/>
          <w:lang w:val="en-US"/>
        </w:rPr>
        <w:t>at</w:t>
      </w:r>
      <w:r w:rsidR="009F74E5" w:rsidRPr="00220038">
        <w:rPr>
          <w:szCs w:val="22"/>
          <w:lang w:val="en-US"/>
        </w:rPr>
        <w:t xml:space="preserve"> issue – neither in associative nor in competence</w:t>
      </w:r>
      <w:r w:rsidR="00CE693E" w:rsidRPr="00220038">
        <w:rPr>
          <w:szCs w:val="22"/>
          <w:lang w:val="en-US"/>
        </w:rPr>
        <w:t xml:space="preserve"> </w:t>
      </w:r>
      <w:r w:rsidR="009F74E5" w:rsidRPr="00220038">
        <w:rPr>
          <w:szCs w:val="22"/>
          <w:lang w:val="en-US"/>
        </w:rPr>
        <w:t>issue terms.</w:t>
      </w:r>
      <w:r w:rsidR="009F74E5" w:rsidRPr="00220038">
        <w:rPr>
          <w:rStyle w:val="Appelnotedebasdep"/>
          <w:szCs w:val="22"/>
          <w:lang w:val="en-US"/>
        </w:rPr>
        <w:footnoteReference w:id="14"/>
      </w:r>
      <w:r w:rsidR="009F74E5" w:rsidRPr="00220038">
        <w:rPr>
          <w:szCs w:val="22"/>
          <w:lang w:val="en-US"/>
        </w:rPr>
        <w:t xml:space="preserve"> Hence, the argument that campaigns help in linking existing preferences to political parties may have played a larger role in a context where the party was in need </w:t>
      </w:r>
      <w:r w:rsidR="0009071D" w:rsidRPr="00220038">
        <w:rPr>
          <w:szCs w:val="22"/>
          <w:lang w:val="en-US"/>
        </w:rPr>
        <w:t>of</w:t>
      </w:r>
      <w:r w:rsidR="009F74E5" w:rsidRPr="00220038">
        <w:rPr>
          <w:szCs w:val="22"/>
          <w:lang w:val="en-US"/>
        </w:rPr>
        <w:t xml:space="preserve"> mak</w:t>
      </w:r>
      <w:r w:rsidR="0009071D" w:rsidRPr="00220038">
        <w:rPr>
          <w:szCs w:val="22"/>
          <w:lang w:val="en-US"/>
        </w:rPr>
        <w:t>ing</w:t>
      </w:r>
      <w:r w:rsidR="009F74E5" w:rsidRPr="00220038">
        <w:rPr>
          <w:szCs w:val="22"/>
          <w:lang w:val="en-US"/>
        </w:rPr>
        <w:t xml:space="preserve"> its issue positions known to the electorate. On the other hand, in cases of clearly attributed issue ownership, people might already have chosen to vote for a particular party at </w:t>
      </w:r>
      <w:r w:rsidR="0084006C" w:rsidRPr="00220038">
        <w:rPr>
          <w:szCs w:val="22"/>
          <w:lang w:val="en-US"/>
        </w:rPr>
        <w:t xml:space="preserve">wave </w:t>
      </w:r>
      <w:r w:rsidR="009F74E5" w:rsidRPr="00220038">
        <w:rPr>
          <w:szCs w:val="22"/>
          <w:lang w:val="en-US"/>
        </w:rPr>
        <w:t xml:space="preserve">1 exactly </w:t>
      </w:r>
      <w:r w:rsidR="009F74E5" w:rsidRPr="00220038">
        <w:rPr>
          <w:i/>
          <w:szCs w:val="22"/>
          <w:lang w:val="en-US"/>
        </w:rPr>
        <w:t>because</w:t>
      </w:r>
      <w:r w:rsidR="009F74E5" w:rsidRPr="00220038">
        <w:rPr>
          <w:szCs w:val="22"/>
          <w:lang w:val="en-US"/>
        </w:rPr>
        <w:t xml:space="preserve"> of the party’s established and well-known position on the issue.</w:t>
      </w:r>
    </w:p>
    <w:p w14:paraId="62A62682" w14:textId="37EF2AD4" w:rsidR="009F74E5" w:rsidRPr="00E9538B" w:rsidRDefault="00B717DE" w:rsidP="00E9538B">
      <w:pPr>
        <w:rPr>
          <w:szCs w:val="22"/>
          <w:lang w:val="en-US"/>
        </w:rPr>
      </w:pPr>
      <w:r w:rsidRPr="00220038">
        <w:rPr>
          <w:szCs w:val="22"/>
          <w:lang w:val="en-US"/>
        </w:rPr>
        <w:t xml:space="preserve">At first sight, the impact of SVP migration ads is also somewhat </w:t>
      </w:r>
      <w:r w:rsidR="00434465" w:rsidRPr="00220038">
        <w:rPr>
          <w:szCs w:val="22"/>
          <w:lang w:val="en-US"/>
        </w:rPr>
        <w:t>puzzling</w:t>
      </w:r>
      <w:r w:rsidRPr="00220038">
        <w:rPr>
          <w:szCs w:val="22"/>
          <w:lang w:val="en-US"/>
        </w:rPr>
        <w:t xml:space="preserve">. Our results suggest that this issue-specific campaign tended to reinforce all SVP </w:t>
      </w:r>
      <w:r w:rsidR="00A02173" w:rsidRPr="00220038">
        <w:rPr>
          <w:szCs w:val="22"/>
          <w:lang w:val="en-US"/>
        </w:rPr>
        <w:t xml:space="preserve">supporters </w:t>
      </w:r>
      <w:r w:rsidRPr="00220038">
        <w:rPr>
          <w:szCs w:val="22"/>
          <w:lang w:val="en-US"/>
        </w:rPr>
        <w:t xml:space="preserve">in their initial vote intention – independent of whether they </w:t>
      </w:r>
      <w:r w:rsidR="002654BA" w:rsidRPr="00220038">
        <w:rPr>
          <w:szCs w:val="22"/>
          <w:lang w:val="en-US"/>
        </w:rPr>
        <w:t xml:space="preserve">were </w:t>
      </w:r>
      <w:r w:rsidRPr="00220038">
        <w:rPr>
          <w:szCs w:val="22"/>
          <w:lang w:val="en-US"/>
        </w:rPr>
        <w:t xml:space="preserve">in favor of limiting immigration (though the overall majority of SVP </w:t>
      </w:r>
      <w:r w:rsidR="002654BA" w:rsidRPr="00220038">
        <w:rPr>
          <w:szCs w:val="22"/>
          <w:lang w:val="en-US"/>
        </w:rPr>
        <w:t xml:space="preserve">supporters </w:t>
      </w:r>
      <w:r w:rsidRPr="00220038">
        <w:rPr>
          <w:szCs w:val="22"/>
          <w:lang w:val="en-US"/>
        </w:rPr>
        <w:t>are). Here, we identify a slight general reinforcement effect for issue-specific advertisements, similar to the effect that we detected for the total amount of advertisements in favor of our hypothesis 1.</w:t>
      </w:r>
      <w:r w:rsidR="00CB714C" w:rsidRPr="00220038">
        <w:rPr>
          <w:rStyle w:val="Appelnotedebasdep"/>
          <w:szCs w:val="22"/>
          <w:lang w:val="en-US"/>
        </w:rPr>
        <w:footnoteReference w:id="15"/>
      </w:r>
      <w:r w:rsidRPr="00220038">
        <w:rPr>
          <w:szCs w:val="22"/>
          <w:lang w:val="en-US"/>
        </w:rPr>
        <w:t xml:space="preserve"> These results are in line with </w:t>
      </w:r>
      <w:r w:rsidRPr="00220038">
        <w:rPr>
          <w:lang w:val="en-US"/>
        </w:rPr>
        <w:t xml:space="preserve">recent literature postulating that reinforcement effects might be particularly prone </w:t>
      </w:r>
      <w:r w:rsidR="00921504" w:rsidRPr="00220038">
        <w:rPr>
          <w:lang w:val="en-US"/>
        </w:rPr>
        <w:t xml:space="preserve">to occur with </w:t>
      </w:r>
      <w:r w:rsidRPr="00220038">
        <w:rPr>
          <w:lang w:val="en-US"/>
        </w:rPr>
        <w:t>contentious issues: a</w:t>
      </w:r>
      <w:r w:rsidRPr="00220038">
        <w:rPr>
          <w:rFonts w:cs="Times New Roman"/>
          <w:szCs w:val="22"/>
          <w:lang w:val="en-US"/>
        </w:rPr>
        <w:t xml:space="preserve">ccording to </w:t>
      </w:r>
      <w:proofErr w:type="spellStart"/>
      <w:r w:rsidRPr="00220038">
        <w:rPr>
          <w:rFonts w:cs="Times New Roman"/>
          <w:szCs w:val="22"/>
          <w:lang w:val="en-US"/>
        </w:rPr>
        <w:t>Slothuus</w:t>
      </w:r>
      <w:proofErr w:type="spellEnd"/>
      <w:r w:rsidRPr="00220038">
        <w:rPr>
          <w:rFonts w:cs="Times New Roman"/>
          <w:szCs w:val="22"/>
          <w:lang w:val="en-US"/>
        </w:rPr>
        <w:t xml:space="preserve"> and De </w:t>
      </w:r>
      <w:proofErr w:type="spellStart"/>
      <w:r w:rsidRPr="00220038">
        <w:rPr>
          <w:rFonts w:cs="Times New Roman"/>
          <w:szCs w:val="22"/>
          <w:lang w:val="en-US"/>
        </w:rPr>
        <w:t>Vreese</w:t>
      </w:r>
      <w:proofErr w:type="spellEnd"/>
      <w:r w:rsidRPr="00220038">
        <w:rPr>
          <w:rFonts w:cs="Times New Roman"/>
          <w:szCs w:val="22"/>
          <w:lang w:val="en-US"/>
        </w:rPr>
        <w:t xml:space="preserve"> (2010), a party’s influence on the voter is largest when it advertises issues that are at the center of partisan conflict. </w:t>
      </w:r>
      <w:r w:rsidRPr="00220038">
        <w:rPr>
          <w:rFonts w:cs="Times New Roman"/>
          <w:lang w:val="en-US"/>
        </w:rPr>
        <w:t xml:space="preserve">When such issues are at stake, social identity theory comes into play: voters will thus be likely to </w:t>
      </w:r>
      <w:r w:rsidR="00921504" w:rsidRPr="00220038">
        <w:rPr>
          <w:rFonts w:cs="Times New Roman"/>
          <w:lang w:val="en-US"/>
        </w:rPr>
        <w:t>maximize</w:t>
      </w:r>
      <w:r w:rsidRPr="00220038">
        <w:rPr>
          <w:rFonts w:cs="Times New Roman"/>
          <w:lang w:val="en-US"/>
        </w:rPr>
        <w:t xml:space="preserve"> their similarities with the in-group (preferred party) and stress </w:t>
      </w:r>
      <w:r w:rsidR="00921504" w:rsidRPr="00220038">
        <w:rPr>
          <w:rFonts w:cs="Times New Roman"/>
          <w:lang w:val="en-US"/>
        </w:rPr>
        <w:t xml:space="preserve">differences </w:t>
      </w:r>
      <w:r w:rsidRPr="00220038">
        <w:rPr>
          <w:rFonts w:cs="Times New Roman"/>
          <w:lang w:val="en-US"/>
        </w:rPr>
        <w:t xml:space="preserve">with the out-group (other party holding dissimilar views). </w:t>
      </w:r>
      <w:r w:rsidR="00921504" w:rsidRPr="00220038">
        <w:rPr>
          <w:rFonts w:cs="Times New Roman"/>
          <w:lang w:val="en-US"/>
        </w:rPr>
        <w:t>A</w:t>
      </w:r>
      <w:r w:rsidRPr="00220038">
        <w:rPr>
          <w:rFonts w:cs="Times New Roman"/>
          <w:lang w:val="en-US"/>
        </w:rPr>
        <w:t>ddition</w:t>
      </w:r>
      <w:r w:rsidR="00921504" w:rsidRPr="00220038">
        <w:rPr>
          <w:rFonts w:cs="Times New Roman"/>
          <w:lang w:val="en-US"/>
        </w:rPr>
        <w:t>ally</w:t>
      </w:r>
      <w:r w:rsidRPr="00220038">
        <w:rPr>
          <w:rFonts w:cs="Times New Roman"/>
          <w:lang w:val="en-US"/>
        </w:rPr>
        <w:t xml:space="preserve">, </w:t>
      </w:r>
      <w:proofErr w:type="spellStart"/>
      <w:r w:rsidRPr="00220038">
        <w:rPr>
          <w:rFonts w:cs="Times New Roman"/>
          <w:lang w:val="en-US"/>
        </w:rPr>
        <w:t>Jerit</w:t>
      </w:r>
      <w:proofErr w:type="spellEnd"/>
      <w:r w:rsidRPr="00220038">
        <w:rPr>
          <w:rFonts w:cs="Times New Roman"/>
          <w:lang w:val="en-US"/>
        </w:rPr>
        <w:t xml:space="preserve"> and </w:t>
      </w:r>
      <w:proofErr w:type="spellStart"/>
      <w:r w:rsidRPr="00220038">
        <w:rPr>
          <w:rFonts w:cs="Times New Roman"/>
          <w:lang w:val="en-US"/>
        </w:rPr>
        <w:t>Barabas</w:t>
      </w:r>
      <w:proofErr w:type="spellEnd"/>
      <w:r w:rsidRPr="00220038">
        <w:rPr>
          <w:rFonts w:cs="Times New Roman"/>
          <w:lang w:val="en-US"/>
        </w:rPr>
        <w:t xml:space="preserve"> (2012) demonstrate that perceptual biases are strongest among issues that have been prominent in the news. Both </w:t>
      </w:r>
      <w:r w:rsidR="00714599" w:rsidRPr="00220038">
        <w:rPr>
          <w:rFonts w:cs="Times New Roman"/>
          <w:lang w:val="en-US"/>
        </w:rPr>
        <w:t>these</w:t>
      </w:r>
      <w:r w:rsidR="009E4151" w:rsidRPr="00220038">
        <w:rPr>
          <w:rFonts w:cs="Times New Roman"/>
          <w:lang w:val="en-US"/>
        </w:rPr>
        <w:t xml:space="preserve"> conditions are met with regard</w:t>
      </w:r>
      <w:r w:rsidR="00714599" w:rsidRPr="00220038">
        <w:rPr>
          <w:rFonts w:cs="Times New Roman"/>
          <w:lang w:val="en-US"/>
        </w:rPr>
        <w:t xml:space="preserve"> to </w:t>
      </w:r>
      <w:r w:rsidRPr="00220038">
        <w:rPr>
          <w:rFonts w:cs="Times New Roman"/>
          <w:lang w:val="en-US"/>
        </w:rPr>
        <w:t>the issue of migration.</w:t>
      </w:r>
    </w:p>
    <w:p w14:paraId="1B20441D" w14:textId="5B468BB7" w:rsidR="009F74E5" w:rsidRPr="00220038" w:rsidRDefault="001E16BF" w:rsidP="00E54F03">
      <w:pPr>
        <w:spacing w:after="0"/>
        <w:rPr>
          <w:b/>
          <w:szCs w:val="22"/>
          <w:lang w:val="en-US"/>
        </w:rPr>
      </w:pPr>
      <w:r>
        <w:rPr>
          <w:b/>
          <w:szCs w:val="22"/>
          <w:lang w:val="en-US"/>
        </w:rPr>
        <w:t>Figure 2: The Influence of Issue-Specific Campaigning by Issue P</w:t>
      </w:r>
      <w:r w:rsidR="009F74E5" w:rsidRPr="00220038">
        <w:rPr>
          <w:b/>
          <w:szCs w:val="22"/>
          <w:lang w:val="en-US"/>
        </w:rPr>
        <w:t>references</w:t>
      </w:r>
    </w:p>
    <w:p w14:paraId="64DF8011" w14:textId="77777777" w:rsidR="00E9538B" w:rsidRDefault="00E54F03" w:rsidP="00E54F03">
      <w:pPr>
        <w:spacing w:after="0"/>
        <w:rPr>
          <w:szCs w:val="22"/>
          <w:lang w:val="en-US"/>
        </w:rPr>
      </w:pPr>
      <w:r>
        <w:rPr>
          <w:noProof/>
          <w:szCs w:val="22"/>
          <w:lang w:val="en-US"/>
        </w:rPr>
        <w:drawing>
          <wp:inline distT="0" distB="0" distL="0" distR="0" wp14:anchorId="0C9803BE" wp14:editId="6F658286">
            <wp:extent cx="2876400" cy="2091927"/>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ure_2_SVP_Economy.pdf"/>
                    <pic:cNvPicPr/>
                  </pic:nvPicPr>
                  <pic:blipFill>
                    <a:blip r:embed="rId10">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r>
        <w:rPr>
          <w:noProof/>
          <w:szCs w:val="22"/>
          <w:lang w:val="en-US"/>
        </w:rPr>
        <w:drawing>
          <wp:inline distT="0" distB="0" distL="0" distR="0" wp14:anchorId="4CDDF13E" wp14:editId="0963BB64">
            <wp:extent cx="2876400" cy="2091927"/>
            <wp:effectExtent l="0" t="0" r="0" b="381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2_FDP_Economy.pdf"/>
                    <pic:cNvPicPr/>
                  </pic:nvPicPr>
                  <pic:blipFill>
                    <a:blip r:embed="rId11">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p>
    <w:p w14:paraId="6AA43A1E" w14:textId="490F23DC" w:rsidR="00E9538B" w:rsidRDefault="00E54F03" w:rsidP="00E54F03">
      <w:pPr>
        <w:spacing w:after="0"/>
        <w:rPr>
          <w:szCs w:val="22"/>
          <w:lang w:val="en-US"/>
        </w:rPr>
      </w:pPr>
      <w:r>
        <w:rPr>
          <w:noProof/>
          <w:szCs w:val="22"/>
          <w:lang w:val="en-US"/>
        </w:rPr>
        <w:lastRenderedPageBreak/>
        <w:drawing>
          <wp:inline distT="0" distB="0" distL="0" distR="0" wp14:anchorId="502EE301" wp14:editId="09204CC9">
            <wp:extent cx="2876400" cy="2091927"/>
            <wp:effectExtent l="0" t="0" r="0" b="381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e_2_SVP_EU.pdf"/>
                    <pic:cNvPicPr/>
                  </pic:nvPicPr>
                  <pic:blipFill>
                    <a:blip r:embed="rId12">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r>
        <w:rPr>
          <w:noProof/>
          <w:szCs w:val="22"/>
          <w:lang w:val="en-US"/>
        </w:rPr>
        <w:drawing>
          <wp:inline distT="0" distB="0" distL="0" distR="0" wp14:anchorId="4759105D" wp14:editId="7225CE3C">
            <wp:extent cx="2876400" cy="2091927"/>
            <wp:effectExtent l="0" t="0" r="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e_2_FDP_EU.pdf"/>
                    <pic:cNvPicPr/>
                  </pic:nvPicPr>
                  <pic:blipFill>
                    <a:blip r:embed="rId13">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p>
    <w:p w14:paraId="5AAC5C5A" w14:textId="44EAA323" w:rsidR="009F74E5" w:rsidRPr="00220038" w:rsidRDefault="00E54F03" w:rsidP="00E54F03">
      <w:pPr>
        <w:spacing w:after="0"/>
        <w:rPr>
          <w:szCs w:val="22"/>
          <w:lang w:val="en-US"/>
        </w:rPr>
      </w:pPr>
      <w:r>
        <w:rPr>
          <w:noProof/>
          <w:szCs w:val="22"/>
          <w:lang w:val="en-US"/>
        </w:rPr>
        <w:drawing>
          <wp:inline distT="0" distB="0" distL="0" distR="0" wp14:anchorId="7072BD58" wp14:editId="7A543C3E">
            <wp:extent cx="2876400" cy="2091927"/>
            <wp:effectExtent l="0" t="0" r="0" b="381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e_2_SVP_Migration.pdf"/>
                    <pic:cNvPicPr/>
                  </pic:nvPicPr>
                  <pic:blipFill>
                    <a:blip r:embed="rId14">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p>
    <w:p w14:paraId="215FC84E" w14:textId="4E1FBF41" w:rsidR="009F74E5" w:rsidRPr="00220038" w:rsidRDefault="009F74E5" w:rsidP="009F74E5">
      <w:pPr>
        <w:spacing w:line="240" w:lineRule="auto"/>
        <w:rPr>
          <w:sz w:val="20"/>
          <w:szCs w:val="20"/>
          <w:lang w:val="en-US"/>
        </w:rPr>
      </w:pPr>
      <w:r w:rsidRPr="00220038">
        <w:rPr>
          <w:i/>
          <w:sz w:val="20"/>
          <w:szCs w:val="20"/>
          <w:lang w:val="en-US"/>
        </w:rPr>
        <w:t xml:space="preserve">Notes: </w:t>
      </w:r>
      <w:r w:rsidRPr="00220038">
        <w:rPr>
          <w:sz w:val="20"/>
          <w:szCs w:val="20"/>
          <w:lang w:val="en-US"/>
        </w:rPr>
        <w:t xml:space="preserve">On display are predicted probabilities for </w:t>
      </w:r>
      <w:r w:rsidR="00061CC5" w:rsidRPr="00220038">
        <w:rPr>
          <w:sz w:val="20"/>
          <w:szCs w:val="20"/>
          <w:lang w:val="en-US"/>
        </w:rPr>
        <w:t xml:space="preserve">expressing </w:t>
      </w:r>
      <w:r w:rsidRPr="00220038">
        <w:rPr>
          <w:sz w:val="20"/>
          <w:szCs w:val="20"/>
          <w:lang w:val="en-US"/>
        </w:rPr>
        <w:t>a vote intention for the SVP (left</w:t>
      </w:r>
      <w:r w:rsidR="00061CC5" w:rsidRPr="00220038">
        <w:rPr>
          <w:sz w:val="20"/>
          <w:szCs w:val="20"/>
          <w:lang w:val="en-US"/>
        </w:rPr>
        <w:t>-</w:t>
      </w:r>
      <w:r w:rsidRPr="00220038">
        <w:rPr>
          <w:sz w:val="20"/>
          <w:szCs w:val="20"/>
          <w:lang w:val="en-US"/>
        </w:rPr>
        <w:t>hand figures) or the FDP (right</w:t>
      </w:r>
      <w:r w:rsidR="00061CC5" w:rsidRPr="00220038">
        <w:rPr>
          <w:sz w:val="20"/>
          <w:szCs w:val="20"/>
          <w:lang w:val="en-US"/>
        </w:rPr>
        <w:t>-</w:t>
      </w:r>
      <w:r w:rsidRPr="00220038">
        <w:rPr>
          <w:sz w:val="20"/>
          <w:szCs w:val="20"/>
          <w:lang w:val="en-US"/>
        </w:rPr>
        <w:t xml:space="preserve">hand figures) at </w:t>
      </w:r>
      <w:r w:rsidR="0084006C" w:rsidRPr="00220038">
        <w:rPr>
          <w:sz w:val="20"/>
          <w:szCs w:val="20"/>
          <w:lang w:val="en-US"/>
        </w:rPr>
        <w:t xml:space="preserve">wave </w:t>
      </w:r>
      <w:r w:rsidRPr="00220038">
        <w:rPr>
          <w:sz w:val="20"/>
          <w:szCs w:val="20"/>
          <w:lang w:val="en-US"/>
        </w:rPr>
        <w:t xml:space="preserve">2 by vote intention at </w:t>
      </w:r>
      <w:r w:rsidR="00536F99">
        <w:rPr>
          <w:sz w:val="20"/>
          <w:szCs w:val="20"/>
          <w:lang w:val="en-US"/>
        </w:rPr>
        <w:t>w</w:t>
      </w:r>
      <w:r w:rsidR="0084006C" w:rsidRPr="00220038">
        <w:rPr>
          <w:sz w:val="20"/>
          <w:szCs w:val="20"/>
          <w:lang w:val="en-US"/>
        </w:rPr>
        <w:t xml:space="preserve">ave </w:t>
      </w:r>
      <w:r w:rsidRPr="00220038">
        <w:rPr>
          <w:sz w:val="20"/>
          <w:szCs w:val="20"/>
          <w:lang w:val="en-US"/>
        </w:rPr>
        <w:t>1, varying degrees of issue-specific campaign intensity as well as issue preferences. The preferences displayed on the right</w:t>
      </w:r>
      <w:r w:rsidR="00061CC5" w:rsidRPr="00220038">
        <w:rPr>
          <w:sz w:val="20"/>
          <w:szCs w:val="20"/>
          <w:lang w:val="en-US"/>
        </w:rPr>
        <w:t>-</w:t>
      </w:r>
      <w:r w:rsidRPr="00220038">
        <w:rPr>
          <w:sz w:val="20"/>
          <w:szCs w:val="20"/>
          <w:lang w:val="en-US"/>
        </w:rPr>
        <w:t xml:space="preserve">hand side of each figure are the ones that correspond to the party position. Calculations are based on multinomial models including the same control variables as displayed in Table 2.  </w:t>
      </w:r>
    </w:p>
    <w:p w14:paraId="39084906" w14:textId="55425EC9" w:rsidR="009F74E5" w:rsidRPr="00220038" w:rsidRDefault="009F74E5" w:rsidP="009F74E5">
      <w:pPr>
        <w:rPr>
          <w:szCs w:val="22"/>
          <w:lang w:val="en-US"/>
        </w:rPr>
      </w:pPr>
      <w:r w:rsidRPr="00220038">
        <w:rPr>
          <w:szCs w:val="22"/>
          <w:lang w:val="en-US"/>
        </w:rPr>
        <w:t xml:space="preserve">Turning to </w:t>
      </w:r>
      <w:r w:rsidR="001A3773" w:rsidRPr="00220038">
        <w:rPr>
          <w:szCs w:val="22"/>
          <w:lang w:val="en-US"/>
        </w:rPr>
        <w:t xml:space="preserve">activation </w:t>
      </w:r>
      <w:r w:rsidRPr="00220038">
        <w:rPr>
          <w:szCs w:val="22"/>
          <w:lang w:val="en-US"/>
        </w:rPr>
        <w:t xml:space="preserve">effects, we can only confirm our hypothesis 2a </w:t>
      </w:r>
      <w:r w:rsidR="00736E2C" w:rsidRPr="00220038">
        <w:rPr>
          <w:szCs w:val="22"/>
          <w:lang w:val="en-US"/>
        </w:rPr>
        <w:t>regarding</w:t>
      </w:r>
      <w:r w:rsidRPr="00220038">
        <w:rPr>
          <w:szCs w:val="22"/>
          <w:lang w:val="en-US"/>
        </w:rPr>
        <w:t xml:space="preserve"> advertisements placed by the FDP </w:t>
      </w:r>
      <w:r w:rsidR="009A2D8D" w:rsidRPr="00220038">
        <w:rPr>
          <w:szCs w:val="22"/>
          <w:lang w:val="en-US"/>
        </w:rPr>
        <w:t>on</w:t>
      </w:r>
      <w:r w:rsidRPr="00220038">
        <w:rPr>
          <w:szCs w:val="22"/>
          <w:lang w:val="en-US"/>
        </w:rPr>
        <w:t xml:space="preserve"> the issue of </w:t>
      </w:r>
      <w:r w:rsidR="00771A92" w:rsidRPr="00220038">
        <w:rPr>
          <w:szCs w:val="22"/>
          <w:lang w:val="en-US"/>
        </w:rPr>
        <w:t>relations to the EU</w:t>
      </w:r>
      <w:r w:rsidRPr="00220038">
        <w:rPr>
          <w:szCs w:val="22"/>
          <w:lang w:val="en-US"/>
        </w:rPr>
        <w:t xml:space="preserve">: individuals who are strongly opposed </w:t>
      </w:r>
      <w:r w:rsidR="009A2D8D" w:rsidRPr="00220038">
        <w:rPr>
          <w:szCs w:val="22"/>
          <w:lang w:val="en-US"/>
        </w:rPr>
        <w:t>to</w:t>
      </w:r>
      <w:r w:rsidRPr="00220038">
        <w:rPr>
          <w:szCs w:val="22"/>
          <w:lang w:val="en-US"/>
        </w:rPr>
        <w:t xml:space="preserve"> joining the EU and who indicated at </w:t>
      </w:r>
      <w:r w:rsidR="0084006C" w:rsidRPr="00220038">
        <w:rPr>
          <w:szCs w:val="22"/>
          <w:lang w:val="en-US"/>
        </w:rPr>
        <w:t xml:space="preserve">wave </w:t>
      </w:r>
      <w:r w:rsidRPr="00220038">
        <w:rPr>
          <w:szCs w:val="22"/>
          <w:lang w:val="en-US"/>
        </w:rPr>
        <w:t xml:space="preserve">1 that they are certainly or </w:t>
      </w:r>
      <w:r w:rsidR="009A2D8D" w:rsidRPr="00220038">
        <w:rPr>
          <w:szCs w:val="22"/>
          <w:lang w:val="en-US"/>
        </w:rPr>
        <w:t xml:space="preserve">probably </w:t>
      </w:r>
      <w:r w:rsidRPr="00220038">
        <w:rPr>
          <w:szCs w:val="22"/>
          <w:lang w:val="en-US"/>
        </w:rPr>
        <w:t>not</w:t>
      </w:r>
      <w:r w:rsidR="00BB6126" w:rsidRPr="00220038">
        <w:rPr>
          <w:szCs w:val="22"/>
          <w:lang w:val="en-US"/>
        </w:rPr>
        <w:t xml:space="preserve"> going</w:t>
      </w:r>
      <w:r w:rsidRPr="00220038">
        <w:rPr>
          <w:szCs w:val="22"/>
          <w:lang w:val="en-US"/>
        </w:rPr>
        <w:t xml:space="preserve"> to participate in the elections, show a strong increase in the probability to participate and vote for the FDP with increasing exposure to the party’s issue-specific campaign. </w:t>
      </w:r>
      <w:r w:rsidR="0046638A" w:rsidRPr="00220038">
        <w:rPr>
          <w:szCs w:val="22"/>
          <w:lang w:val="en-US"/>
        </w:rPr>
        <w:t>T</w:t>
      </w:r>
      <w:r w:rsidRPr="00220038">
        <w:rPr>
          <w:szCs w:val="22"/>
          <w:lang w:val="en-US"/>
        </w:rPr>
        <w:t xml:space="preserve">his is interesting </w:t>
      </w:r>
      <w:r w:rsidR="0046638A" w:rsidRPr="00220038">
        <w:rPr>
          <w:szCs w:val="22"/>
          <w:lang w:val="en-US"/>
        </w:rPr>
        <w:t xml:space="preserve">as </w:t>
      </w:r>
      <w:r w:rsidRPr="00220038">
        <w:rPr>
          <w:szCs w:val="22"/>
          <w:lang w:val="en-US"/>
        </w:rPr>
        <w:t>the FDP is more perceived to own the issue of the economy – where we cannot find such effects –</w:t>
      </w:r>
      <w:r w:rsidR="00BB6126" w:rsidRPr="00220038">
        <w:rPr>
          <w:szCs w:val="22"/>
          <w:lang w:val="en-US"/>
        </w:rPr>
        <w:t xml:space="preserve"> </w:t>
      </w:r>
      <w:r w:rsidRPr="00220038">
        <w:rPr>
          <w:szCs w:val="22"/>
          <w:lang w:val="en-US"/>
        </w:rPr>
        <w:t>than the issue of EU</w:t>
      </w:r>
      <w:r w:rsidR="00BB6126" w:rsidRPr="00220038">
        <w:rPr>
          <w:szCs w:val="22"/>
          <w:lang w:val="en-US"/>
        </w:rPr>
        <w:t xml:space="preserve"> </w:t>
      </w:r>
      <w:r w:rsidR="00EC7731" w:rsidRPr="00220038">
        <w:rPr>
          <w:szCs w:val="22"/>
          <w:lang w:val="en-US"/>
        </w:rPr>
        <w:t>policy</w:t>
      </w:r>
      <w:r w:rsidRPr="00220038">
        <w:rPr>
          <w:szCs w:val="22"/>
          <w:lang w:val="en-US"/>
        </w:rPr>
        <w:t xml:space="preserve"> (Lutz 2016; see also section 2).</w:t>
      </w:r>
      <w:r w:rsidR="00CB714C" w:rsidRPr="00220038">
        <w:rPr>
          <w:rStyle w:val="Appelnotedebasdep"/>
          <w:szCs w:val="22"/>
          <w:lang w:val="en-US"/>
        </w:rPr>
        <w:footnoteReference w:id="16"/>
      </w:r>
      <w:r w:rsidRPr="00220038">
        <w:rPr>
          <w:szCs w:val="22"/>
          <w:lang w:val="en-US"/>
        </w:rPr>
        <w:t xml:space="preserve"> </w:t>
      </w:r>
    </w:p>
    <w:p w14:paraId="0DE6300B" w14:textId="6E801F8E" w:rsidR="009F74E5" w:rsidRPr="00220038" w:rsidRDefault="009F74E5" w:rsidP="009F74E5">
      <w:pPr>
        <w:rPr>
          <w:szCs w:val="22"/>
          <w:lang w:val="en-US"/>
        </w:rPr>
      </w:pPr>
      <w:r w:rsidRPr="00220038">
        <w:rPr>
          <w:szCs w:val="22"/>
          <w:lang w:val="en-US"/>
        </w:rPr>
        <w:t>For our</w:t>
      </w:r>
      <w:r w:rsidR="002C706F" w:rsidRPr="00220038">
        <w:rPr>
          <w:szCs w:val="22"/>
          <w:lang w:val="en-US"/>
        </w:rPr>
        <w:t xml:space="preserve"> remaining</w:t>
      </w:r>
      <w:r w:rsidRPr="00220038">
        <w:rPr>
          <w:szCs w:val="22"/>
          <w:lang w:val="en-US"/>
        </w:rPr>
        <w:t xml:space="preserve"> cases, our hypothesis 2a needs to be rejected. Issue-specific advertisements did not </w:t>
      </w:r>
      <w:r w:rsidR="001A3773" w:rsidRPr="00220038">
        <w:rPr>
          <w:szCs w:val="22"/>
          <w:lang w:val="en-US"/>
        </w:rPr>
        <w:t>activate</w:t>
      </w:r>
      <w:r w:rsidRPr="00220038">
        <w:rPr>
          <w:szCs w:val="22"/>
          <w:lang w:val="en-US"/>
        </w:rPr>
        <w:t xml:space="preserve"> voters</w:t>
      </w:r>
      <w:r w:rsidR="00577F29" w:rsidRPr="00220038">
        <w:rPr>
          <w:szCs w:val="22"/>
          <w:lang w:val="en-US"/>
        </w:rPr>
        <w:t>.</w:t>
      </w:r>
      <w:r w:rsidRPr="00220038">
        <w:rPr>
          <w:szCs w:val="22"/>
          <w:lang w:val="en-US"/>
        </w:rPr>
        <w:t xml:space="preserve"> </w:t>
      </w:r>
      <w:r w:rsidR="00BF5F7D" w:rsidRPr="00220038">
        <w:rPr>
          <w:szCs w:val="22"/>
          <w:lang w:val="en-US"/>
        </w:rPr>
        <w:t>Regarding</w:t>
      </w:r>
      <w:r w:rsidRPr="00220038">
        <w:rPr>
          <w:szCs w:val="22"/>
          <w:lang w:val="en-US"/>
        </w:rPr>
        <w:t xml:space="preserve"> the SVP, </w:t>
      </w:r>
      <w:r w:rsidR="00577F29" w:rsidRPr="00220038">
        <w:rPr>
          <w:szCs w:val="22"/>
          <w:lang w:val="en-US"/>
        </w:rPr>
        <w:t>the opposite could even be observed</w:t>
      </w:r>
      <w:r w:rsidRPr="00220038">
        <w:rPr>
          <w:szCs w:val="22"/>
          <w:lang w:val="en-US"/>
        </w:rPr>
        <w:t xml:space="preserve">: individuals </w:t>
      </w:r>
      <w:r w:rsidR="00577F29" w:rsidRPr="00220038">
        <w:rPr>
          <w:szCs w:val="22"/>
          <w:lang w:val="en-US"/>
        </w:rPr>
        <w:t xml:space="preserve">who </w:t>
      </w:r>
      <w:r w:rsidRPr="00220038">
        <w:rPr>
          <w:szCs w:val="22"/>
          <w:lang w:val="en-US"/>
        </w:rPr>
        <w:t>d</w:t>
      </w:r>
      <w:r w:rsidR="006B3D7A" w:rsidRPr="00220038">
        <w:rPr>
          <w:szCs w:val="22"/>
          <w:lang w:val="en-US"/>
        </w:rPr>
        <w:t>id</w:t>
      </w:r>
      <w:r w:rsidRPr="00220038">
        <w:rPr>
          <w:szCs w:val="22"/>
          <w:lang w:val="en-US"/>
        </w:rPr>
        <w:t xml:space="preserve"> not show an</w:t>
      </w:r>
      <w:r w:rsidR="00AB3FC9" w:rsidRPr="00220038">
        <w:rPr>
          <w:szCs w:val="22"/>
          <w:lang w:val="en-US"/>
        </w:rPr>
        <w:t>y</w:t>
      </w:r>
      <w:r w:rsidRPr="00220038">
        <w:rPr>
          <w:szCs w:val="22"/>
          <w:lang w:val="en-US"/>
        </w:rPr>
        <w:t xml:space="preserve"> intention to </w:t>
      </w:r>
      <w:r w:rsidR="00AB3FC9" w:rsidRPr="00220038">
        <w:rPr>
          <w:szCs w:val="22"/>
          <w:lang w:val="en-US"/>
        </w:rPr>
        <w:t xml:space="preserve">vote </w:t>
      </w:r>
      <w:r w:rsidRPr="00220038">
        <w:rPr>
          <w:szCs w:val="22"/>
          <w:lang w:val="en-US"/>
        </w:rPr>
        <w:t>at the elections (</w:t>
      </w:r>
      <w:r w:rsidR="00F41CC7" w:rsidRPr="00220038">
        <w:rPr>
          <w:szCs w:val="22"/>
          <w:lang w:val="en-US"/>
        </w:rPr>
        <w:t>w</w:t>
      </w:r>
      <w:r w:rsidRPr="00220038">
        <w:rPr>
          <w:szCs w:val="22"/>
          <w:lang w:val="en-US"/>
        </w:rPr>
        <w:t xml:space="preserve">1) and </w:t>
      </w:r>
      <w:r w:rsidR="00AB3FC9" w:rsidRPr="00220038">
        <w:rPr>
          <w:szCs w:val="22"/>
          <w:lang w:val="en-US"/>
        </w:rPr>
        <w:t xml:space="preserve">who </w:t>
      </w:r>
      <w:r w:rsidRPr="00220038">
        <w:rPr>
          <w:szCs w:val="22"/>
          <w:lang w:val="en-US"/>
        </w:rPr>
        <w:t xml:space="preserve">are exposed to issue-specific advertisements by the SVP that are in line with their preferences even decrease the likelihood to </w:t>
      </w:r>
      <w:r w:rsidR="00AB3FC9" w:rsidRPr="00220038">
        <w:rPr>
          <w:szCs w:val="22"/>
          <w:lang w:val="en-US"/>
        </w:rPr>
        <w:t xml:space="preserve">express </w:t>
      </w:r>
      <w:r w:rsidRPr="00220038">
        <w:rPr>
          <w:szCs w:val="22"/>
          <w:lang w:val="en-US"/>
        </w:rPr>
        <w:t>a vote intention for that party (</w:t>
      </w:r>
      <w:r w:rsidR="00F41CC7" w:rsidRPr="00220038">
        <w:rPr>
          <w:szCs w:val="22"/>
          <w:lang w:val="en-US"/>
        </w:rPr>
        <w:t>w</w:t>
      </w:r>
      <w:r w:rsidRPr="00220038">
        <w:rPr>
          <w:szCs w:val="22"/>
          <w:lang w:val="en-US"/>
        </w:rPr>
        <w:t>2) when the exposure to the party’s issue-specific advertisements increases. This is true for all three issues</w:t>
      </w:r>
      <w:r w:rsidR="00F41CC7" w:rsidRPr="00220038">
        <w:rPr>
          <w:szCs w:val="22"/>
          <w:lang w:val="en-US"/>
        </w:rPr>
        <w:t xml:space="preserve"> and independent of how we operationalized our campaign variable</w:t>
      </w:r>
      <w:r w:rsidRPr="00220038">
        <w:rPr>
          <w:szCs w:val="22"/>
          <w:lang w:val="en-US"/>
        </w:rPr>
        <w:t xml:space="preserve">. </w:t>
      </w:r>
    </w:p>
    <w:p w14:paraId="52CDC6B3" w14:textId="05C14EDC" w:rsidR="00972A82" w:rsidRPr="00220038" w:rsidRDefault="006840C5" w:rsidP="006840C5">
      <w:pPr>
        <w:rPr>
          <w:rFonts w:cs="Times New Roman"/>
          <w:lang w:val="en-US"/>
        </w:rPr>
      </w:pPr>
      <w:r w:rsidRPr="00220038">
        <w:rPr>
          <w:lang w:val="en-US"/>
        </w:rPr>
        <w:lastRenderedPageBreak/>
        <w:t xml:space="preserve">Our limited findings with regard to issue-specific advertisements deserve further attention. </w:t>
      </w:r>
      <w:r w:rsidR="003872AB" w:rsidRPr="00220038">
        <w:rPr>
          <w:lang w:val="en-US"/>
        </w:rPr>
        <w:t>O</w:t>
      </w:r>
      <w:r w:rsidRPr="00220038">
        <w:rPr>
          <w:lang w:val="en-US"/>
        </w:rPr>
        <w:t>ne may argue that it is somewhat naïve to postulate an instant and direct effect of political advertisement on vote intentions or vote choice. Rather, political advertisements may alter intermediate factors which may, to some extent, themselves exert influence on the party choice</w:t>
      </w:r>
      <w:r w:rsidR="00CF5E85" w:rsidRPr="00220038">
        <w:rPr>
          <w:lang w:val="en-US"/>
        </w:rPr>
        <w:t xml:space="preserve"> (see e.g., </w:t>
      </w:r>
      <w:proofErr w:type="spellStart"/>
      <w:r w:rsidR="00CF5E85" w:rsidRPr="00220038">
        <w:rPr>
          <w:lang w:val="en-US"/>
        </w:rPr>
        <w:t>Lanz</w:t>
      </w:r>
      <w:proofErr w:type="spellEnd"/>
      <w:r w:rsidR="00CF5E85" w:rsidRPr="00220038">
        <w:rPr>
          <w:lang w:val="en-US"/>
        </w:rPr>
        <w:t xml:space="preserve"> and </w:t>
      </w:r>
      <w:proofErr w:type="spellStart"/>
      <w:r w:rsidR="00CF5E85" w:rsidRPr="00220038">
        <w:rPr>
          <w:lang w:val="en-US"/>
        </w:rPr>
        <w:t>Sciarini</w:t>
      </w:r>
      <w:proofErr w:type="spellEnd"/>
      <w:r w:rsidR="00CF5E85" w:rsidRPr="00220038">
        <w:rPr>
          <w:lang w:val="en-US"/>
        </w:rPr>
        <w:t xml:space="preserve"> 2016)</w:t>
      </w:r>
      <w:r w:rsidRPr="00220038">
        <w:rPr>
          <w:lang w:val="en-US"/>
        </w:rPr>
        <w:t>. Therefore, we examined whether issue-specific campaigning increases the perceived issue ownership of a party</w:t>
      </w:r>
      <w:r w:rsidR="004F4691" w:rsidRPr="00220038">
        <w:rPr>
          <w:lang w:val="en-US"/>
        </w:rPr>
        <w:t xml:space="preserve"> (H3)</w:t>
      </w:r>
      <w:r w:rsidRPr="00220038">
        <w:rPr>
          <w:lang w:val="en-US"/>
        </w:rPr>
        <w:t xml:space="preserve">. </w:t>
      </w:r>
      <w:r w:rsidRPr="00220038">
        <w:rPr>
          <w:rFonts w:cs="Times New Roman"/>
          <w:lang w:val="en-US"/>
        </w:rPr>
        <w:t>We thus ran several logistic regression models for perceived competence issue ownership on the topics of migration,</w:t>
      </w:r>
      <w:r w:rsidR="00E14726" w:rsidRPr="00220038">
        <w:rPr>
          <w:rFonts w:cs="Times New Roman"/>
          <w:lang w:val="en-US"/>
        </w:rPr>
        <w:t xml:space="preserve"> EU </w:t>
      </w:r>
      <w:r w:rsidR="00EC7731" w:rsidRPr="00220038">
        <w:rPr>
          <w:rFonts w:cs="Times New Roman"/>
          <w:lang w:val="en-US"/>
        </w:rPr>
        <w:t>policy</w:t>
      </w:r>
      <w:r w:rsidR="00E14726" w:rsidRPr="00220038">
        <w:rPr>
          <w:rFonts w:cs="Times New Roman"/>
          <w:lang w:val="en-US"/>
        </w:rPr>
        <w:t xml:space="preserve"> and</w:t>
      </w:r>
      <w:r w:rsidRPr="00220038">
        <w:rPr>
          <w:rFonts w:cs="Times New Roman"/>
          <w:lang w:val="en-US"/>
        </w:rPr>
        <w:t xml:space="preserve"> the economy. The results of these models (see Figure 3) correspond to</w:t>
      </w:r>
      <w:r w:rsidR="007753C1" w:rsidRPr="00220038">
        <w:rPr>
          <w:rFonts w:cs="Times New Roman"/>
          <w:lang w:val="en-US"/>
        </w:rPr>
        <w:t xml:space="preserve"> some extent to</w:t>
      </w:r>
      <w:r w:rsidRPr="00220038">
        <w:rPr>
          <w:rFonts w:cs="Times New Roman"/>
          <w:lang w:val="en-US"/>
        </w:rPr>
        <w:t xml:space="preserve"> the results of issue-specific advertisements on vote intention as displayed in Figure 2. According to these models, there are t</w:t>
      </w:r>
      <w:r w:rsidR="007753C1" w:rsidRPr="00220038">
        <w:rPr>
          <w:rFonts w:cs="Times New Roman"/>
          <w:lang w:val="en-US"/>
        </w:rPr>
        <w:t>wo</w:t>
      </w:r>
      <w:r w:rsidRPr="00220038">
        <w:rPr>
          <w:rFonts w:cs="Times New Roman"/>
          <w:lang w:val="en-US"/>
        </w:rPr>
        <w:t xml:space="preserve"> groups that </w:t>
      </w:r>
      <w:r w:rsidR="00F95847" w:rsidRPr="00220038">
        <w:rPr>
          <w:rFonts w:cs="Times New Roman"/>
          <w:lang w:val="en-US"/>
        </w:rPr>
        <w:t xml:space="preserve">showed </w:t>
      </w:r>
      <w:r w:rsidRPr="00220038">
        <w:rPr>
          <w:rFonts w:cs="Times New Roman"/>
          <w:lang w:val="en-US"/>
        </w:rPr>
        <w:t>an increase in perceived issue ownership: individuals with no intention to vote who were increasingly exposed to EU advertisements by the FDP</w:t>
      </w:r>
      <w:r w:rsidR="00F95847" w:rsidRPr="00220038">
        <w:rPr>
          <w:rFonts w:cs="Times New Roman"/>
          <w:lang w:val="en-US"/>
        </w:rPr>
        <w:t>,</w:t>
      </w:r>
      <w:r w:rsidRPr="00220038">
        <w:rPr>
          <w:rFonts w:cs="Times New Roman"/>
          <w:lang w:val="en-US"/>
        </w:rPr>
        <w:t xml:space="preserve"> as well as individuals who intended to vote for the SVP at </w:t>
      </w:r>
      <w:r w:rsidR="0084006C" w:rsidRPr="00220038">
        <w:rPr>
          <w:rFonts w:cs="Times New Roman"/>
          <w:lang w:val="en-US"/>
        </w:rPr>
        <w:t xml:space="preserve">wave </w:t>
      </w:r>
      <w:r w:rsidRPr="00220038">
        <w:rPr>
          <w:rFonts w:cs="Times New Roman"/>
          <w:lang w:val="en-US"/>
        </w:rPr>
        <w:t xml:space="preserve">1 by increasing exposure migration advertisements of </w:t>
      </w:r>
      <w:r w:rsidR="007753C1" w:rsidRPr="00220038">
        <w:rPr>
          <w:rFonts w:cs="Times New Roman"/>
          <w:lang w:val="en-US"/>
        </w:rPr>
        <w:t>that party</w:t>
      </w:r>
      <w:r w:rsidRPr="00220038">
        <w:rPr>
          <w:rFonts w:cs="Times New Roman"/>
          <w:lang w:val="en-US"/>
        </w:rPr>
        <w:t>.</w:t>
      </w:r>
      <w:r w:rsidR="004663AA" w:rsidRPr="00220038">
        <w:rPr>
          <w:rStyle w:val="Appelnotedebasdep"/>
          <w:rFonts w:cs="Times New Roman"/>
          <w:lang w:val="en-US"/>
        </w:rPr>
        <w:footnoteReference w:id="17"/>
      </w:r>
      <w:r w:rsidRPr="00220038">
        <w:rPr>
          <w:rFonts w:cs="Times New Roman"/>
          <w:lang w:val="en-US"/>
        </w:rPr>
        <w:t xml:space="preserve"> From these results we conclude that the mechanism behind </w:t>
      </w:r>
      <w:r w:rsidR="001A3773" w:rsidRPr="00220038">
        <w:rPr>
          <w:rFonts w:cs="Times New Roman"/>
          <w:lang w:val="en-US"/>
        </w:rPr>
        <w:t>activatio</w:t>
      </w:r>
      <w:r w:rsidRPr="00220038">
        <w:rPr>
          <w:rFonts w:cs="Times New Roman"/>
          <w:lang w:val="en-US"/>
        </w:rPr>
        <w:t>n and reinforcement effects of issue-specific political advertisements</w:t>
      </w:r>
      <w:r w:rsidR="007753C1" w:rsidRPr="00220038">
        <w:rPr>
          <w:rFonts w:cs="Times New Roman"/>
          <w:lang w:val="en-US"/>
        </w:rPr>
        <w:t xml:space="preserve"> may</w:t>
      </w:r>
      <w:r w:rsidRPr="00220038">
        <w:rPr>
          <w:rFonts w:cs="Times New Roman"/>
          <w:lang w:val="en-US"/>
        </w:rPr>
        <w:t xml:space="preserve"> </w:t>
      </w:r>
      <w:r w:rsidR="00CF5E85" w:rsidRPr="00220038">
        <w:rPr>
          <w:rFonts w:cs="Times New Roman"/>
          <w:lang w:val="en-US"/>
        </w:rPr>
        <w:t xml:space="preserve">indeed </w:t>
      </w:r>
      <w:r w:rsidRPr="00220038">
        <w:rPr>
          <w:rFonts w:cs="Times New Roman"/>
          <w:lang w:val="en-US"/>
        </w:rPr>
        <w:t xml:space="preserve">operate </w:t>
      </w:r>
      <w:r w:rsidR="00E82052" w:rsidRPr="00220038">
        <w:rPr>
          <w:rFonts w:cs="Times New Roman"/>
          <w:lang w:val="en-US"/>
        </w:rPr>
        <w:t>by</w:t>
      </w:r>
      <w:r w:rsidRPr="00220038">
        <w:rPr>
          <w:rFonts w:cs="Times New Roman"/>
          <w:lang w:val="en-US"/>
        </w:rPr>
        <w:t xml:space="preserve"> successfully convincing potential voters that the party is the most competent to handle the advertised issue.</w:t>
      </w:r>
    </w:p>
    <w:p w14:paraId="053FC3ED" w14:textId="6EFE1C14" w:rsidR="006840C5" w:rsidRPr="00703B5B" w:rsidRDefault="001E16BF" w:rsidP="00703B5B">
      <w:pPr>
        <w:spacing w:after="0" w:line="240" w:lineRule="auto"/>
        <w:jc w:val="left"/>
        <w:rPr>
          <w:b/>
          <w:szCs w:val="22"/>
          <w:lang w:val="en-US"/>
        </w:rPr>
      </w:pPr>
      <w:r>
        <w:rPr>
          <w:b/>
          <w:szCs w:val="22"/>
          <w:lang w:val="en-US"/>
        </w:rPr>
        <w:t>Figure 3: The Influence of Issue-Specific C</w:t>
      </w:r>
      <w:r w:rsidR="006840C5" w:rsidRPr="00220038">
        <w:rPr>
          <w:b/>
          <w:szCs w:val="22"/>
          <w:lang w:val="en-US"/>
        </w:rPr>
        <w:t>amp</w:t>
      </w:r>
      <w:r>
        <w:rPr>
          <w:b/>
          <w:szCs w:val="22"/>
          <w:lang w:val="en-US"/>
        </w:rPr>
        <w:t>aigning on Perceived Competence Issue O</w:t>
      </w:r>
      <w:r w:rsidR="006840C5" w:rsidRPr="00220038">
        <w:rPr>
          <w:b/>
          <w:szCs w:val="22"/>
          <w:lang w:val="en-US"/>
        </w:rPr>
        <w:t xml:space="preserve">wnership (at </w:t>
      </w:r>
      <w:r w:rsidR="0084006C" w:rsidRPr="00220038">
        <w:rPr>
          <w:b/>
          <w:szCs w:val="22"/>
          <w:lang w:val="en-US"/>
        </w:rPr>
        <w:t xml:space="preserve">wave </w:t>
      </w:r>
      <w:r w:rsidR="006840C5" w:rsidRPr="00220038">
        <w:rPr>
          <w:b/>
          <w:szCs w:val="22"/>
          <w:lang w:val="en-US"/>
        </w:rPr>
        <w:t>2)</w:t>
      </w:r>
    </w:p>
    <w:p w14:paraId="6F4CA223" w14:textId="77777777" w:rsidR="00703B5B" w:rsidRDefault="00845735" w:rsidP="00845735">
      <w:pPr>
        <w:spacing w:after="0"/>
        <w:rPr>
          <w:szCs w:val="22"/>
          <w:lang w:val="en-US"/>
        </w:rPr>
      </w:pPr>
      <w:r>
        <w:rPr>
          <w:noProof/>
          <w:szCs w:val="22"/>
          <w:lang w:val="en-US"/>
        </w:rPr>
        <w:drawing>
          <wp:inline distT="0" distB="0" distL="0" distR="0" wp14:anchorId="2FA00880" wp14:editId="56D52F9E">
            <wp:extent cx="2876400" cy="2091927"/>
            <wp:effectExtent l="0" t="0" r="0" b="381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Figure_3_SVP_Economy.pdf"/>
                    <pic:cNvPicPr/>
                  </pic:nvPicPr>
                  <pic:blipFill>
                    <a:blip r:embed="rId15">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r>
        <w:rPr>
          <w:noProof/>
          <w:szCs w:val="22"/>
          <w:lang w:val="en-US"/>
        </w:rPr>
        <w:drawing>
          <wp:inline distT="0" distB="0" distL="0" distR="0" wp14:anchorId="24B7257E" wp14:editId="4135C9BC">
            <wp:extent cx="2876400" cy="2091927"/>
            <wp:effectExtent l="0" t="0" r="0" b="381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gure_3_FDP_Economy.pdf"/>
                    <pic:cNvPicPr/>
                  </pic:nvPicPr>
                  <pic:blipFill>
                    <a:blip r:embed="rId16">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p>
    <w:p w14:paraId="79F7EAA1" w14:textId="77777777" w:rsidR="00703B5B" w:rsidRDefault="00845735" w:rsidP="00845735">
      <w:pPr>
        <w:spacing w:after="0"/>
        <w:rPr>
          <w:szCs w:val="22"/>
          <w:lang w:val="en-US"/>
        </w:rPr>
      </w:pPr>
      <w:r>
        <w:rPr>
          <w:noProof/>
          <w:szCs w:val="22"/>
          <w:lang w:val="en-US"/>
        </w:rPr>
        <w:drawing>
          <wp:inline distT="0" distB="0" distL="0" distR="0" wp14:anchorId="2945CA3C" wp14:editId="7C740173">
            <wp:extent cx="2876400" cy="2091927"/>
            <wp:effectExtent l="0" t="0" r="0" b="381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e_3_SVP_EU.pdf"/>
                    <pic:cNvPicPr/>
                  </pic:nvPicPr>
                  <pic:blipFill>
                    <a:blip r:embed="rId17">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r>
        <w:rPr>
          <w:noProof/>
          <w:szCs w:val="22"/>
          <w:lang w:val="en-US"/>
        </w:rPr>
        <w:drawing>
          <wp:inline distT="0" distB="0" distL="0" distR="0" wp14:anchorId="1DCDEF49" wp14:editId="54F8D581">
            <wp:extent cx="2876400" cy="2091927"/>
            <wp:effectExtent l="0" t="0" r="0" b="381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igure_3_FDP_EU.pdf"/>
                    <pic:cNvPicPr/>
                  </pic:nvPicPr>
                  <pic:blipFill>
                    <a:blip r:embed="rId18">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p>
    <w:p w14:paraId="54C658D4" w14:textId="69F51372" w:rsidR="006840C5" w:rsidRPr="00220038" w:rsidRDefault="00845735" w:rsidP="00845735">
      <w:pPr>
        <w:spacing w:after="0"/>
        <w:rPr>
          <w:szCs w:val="22"/>
          <w:lang w:val="en-US"/>
        </w:rPr>
      </w:pPr>
      <w:r>
        <w:rPr>
          <w:noProof/>
          <w:szCs w:val="22"/>
          <w:lang w:val="en-US"/>
        </w:rPr>
        <w:lastRenderedPageBreak/>
        <w:drawing>
          <wp:inline distT="0" distB="0" distL="0" distR="0" wp14:anchorId="0DC49690" wp14:editId="40A751B3">
            <wp:extent cx="2876400" cy="2091927"/>
            <wp:effectExtent l="0" t="0" r="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e_3_SVP_Migration.pdf"/>
                    <pic:cNvPicPr/>
                  </pic:nvPicPr>
                  <pic:blipFill>
                    <a:blip r:embed="rId19">
                      <a:extLst>
                        <a:ext uri="{28A0092B-C50C-407E-A947-70E740481C1C}">
                          <a14:useLocalDpi xmlns:a14="http://schemas.microsoft.com/office/drawing/2010/main" val="0"/>
                        </a:ext>
                      </a:extLst>
                    </a:blip>
                    <a:stretch>
                      <a:fillRect/>
                    </a:stretch>
                  </pic:blipFill>
                  <pic:spPr>
                    <a:xfrm>
                      <a:off x="0" y="0"/>
                      <a:ext cx="2876400" cy="2091927"/>
                    </a:xfrm>
                    <a:prstGeom prst="rect">
                      <a:avLst/>
                    </a:prstGeom>
                  </pic:spPr>
                </pic:pic>
              </a:graphicData>
            </a:graphic>
          </wp:inline>
        </w:drawing>
      </w:r>
    </w:p>
    <w:p w14:paraId="0FC03CC2" w14:textId="66D90794" w:rsidR="00BE4052" w:rsidRPr="00845735" w:rsidRDefault="006840C5" w:rsidP="00845735">
      <w:pPr>
        <w:spacing w:after="60" w:line="240" w:lineRule="auto"/>
        <w:rPr>
          <w:sz w:val="20"/>
          <w:szCs w:val="20"/>
          <w:lang w:val="en-US"/>
        </w:rPr>
      </w:pPr>
      <w:r w:rsidRPr="00220038">
        <w:rPr>
          <w:i/>
          <w:sz w:val="20"/>
          <w:szCs w:val="20"/>
          <w:lang w:val="en-US"/>
        </w:rPr>
        <w:t xml:space="preserve">Notes: </w:t>
      </w:r>
      <w:r w:rsidRPr="00220038">
        <w:rPr>
          <w:sz w:val="20"/>
          <w:szCs w:val="20"/>
          <w:lang w:val="en-US"/>
        </w:rPr>
        <w:t>Entries reflect the predicted probabilities to consider the SVP or the FDP to</w:t>
      </w:r>
      <w:r w:rsidR="00AC7861" w:rsidRPr="00220038">
        <w:rPr>
          <w:sz w:val="20"/>
          <w:szCs w:val="20"/>
          <w:lang w:val="en-US"/>
        </w:rPr>
        <w:t xml:space="preserve"> </w:t>
      </w:r>
      <w:r w:rsidRPr="00220038">
        <w:rPr>
          <w:sz w:val="20"/>
          <w:szCs w:val="20"/>
          <w:lang w:val="en-US"/>
        </w:rPr>
        <w:t>be the most competent party to handle the issue. The results are based on the estimation of logistic regressions controlling for perceived competence issue ownership at</w:t>
      </w:r>
      <w:r w:rsidR="0084006C" w:rsidRPr="00220038">
        <w:rPr>
          <w:sz w:val="20"/>
          <w:szCs w:val="20"/>
          <w:lang w:val="en-US"/>
        </w:rPr>
        <w:t xml:space="preserve"> wave</w:t>
      </w:r>
      <w:r w:rsidR="009D1CFC" w:rsidRPr="00220038">
        <w:rPr>
          <w:sz w:val="20"/>
          <w:szCs w:val="20"/>
          <w:lang w:val="en-US"/>
        </w:rPr>
        <w:t xml:space="preserve"> </w:t>
      </w:r>
      <w:r w:rsidRPr="00220038">
        <w:rPr>
          <w:sz w:val="20"/>
          <w:szCs w:val="20"/>
          <w:lang w:val="en-US"/>
        </w:rPr>
        <w:t xml:space="preserve">1 and all the variables included in the models displayed in Table 2 (see result section). </w:t>
      </w:r>
      <w:r w:rsidR="00B75960" w:rsidRPr="00220038">
        <w:rPr>
          <w:sz w:val="20"/>
          <w:szCs w:val="20"/>
          <w:lang w:val="en-US"/>
        </w:rPr>
        <w:t xml:space="preserve">For the baseline models, see </w:t>
      </w:r>
      <w:r w:rsidR="00F401B7">
        <w:rPr>
          <w:sz w:val="20"/>
          <w:szCs w:val="20"/>
          <w:lang w:val="en-US"/>
        </w:rPr>
        <w:t xml:space="preserve">online </w:t>
      </w:r>
      <w:r w:rsidR="00B75960" w:rsidRPr="00220038">
        <w:rPr>
          <w:sz w:val="20"/>
          <w:szCs w:val="20"/>
          <w:lang w:val="en-US"/>
        </w:rPr>
        <w:t>Appendix Table A</w:t>
      </w:r>
      <w:r w:rsidR="00F401B7">
        <w:rPr>
          <w:sz w:val="20"/>
          <w:szCs w:val="20"/>
          <w:lang w:val="en-US"/>
        </w:rPr>
        <w:t>9</w:t>
      </w:r>
      <w:r w:rsidR="00B75960" w:rsidRPr="00220038">
        <w:rPr>
          <w:sz w:val="20"/>
          <w:szCs w:val="20"/>
          <w:lang w:val="en-US"/>
        </w:rPr>
        <w:t>.</w:t>
      </w:r>
    </w:p>
    <w:p w14:paraId="716FE31D" w14:textId="70267E17" w:rsidR="009F74E5" w:rsidRPr="00220038" w:rsidRDefault="009F74E5" w:rsidP="001E16BF">
      <w:pPr>
        <w:pStyle w:val="Titre1"/>
        <w:rPr>
          <w:lang w:val="en-US"/>
        </w:rPr>
      </w:pPr>
      <w:r w:rsidRPr="00220038">
        <w:rPr>
          <w:lang w:val="en-US"/>
        </w:rPr>
        <w:t>Conclusion</w:t>
      </w:r>
    </w:p>
    <w:p w14:paraId="6C68D56E" w14:textId="4F6B22FD" w:rsidR="009F74E5" w:rsidRPr="00220038" w:rsidRDefault="009F74E5" w:rsidP="009F74E5">
      <w:pPr>
        <w:rPr>
          <w:lang w:val="en-US"/>
        </w:rPr>
      </w:pPr>
      <w:r w:rsidRPr="00220038">
        <w:rPr>
          <w:lang w:val="en-US"/>
        </w:rPr>
        <w:t>Our paper tests the impact of issue-specific ad</w:t>
      </w:r>
      <w:r w:rsidR="008E3555" w:rsidRPr="00220038">
        <w:rPr>
          <w:lang w:val="en-US"/>
        </w:rPr>
        <w:t>vertisements</w:t>
      </w:r>
      <w:r w:rsidRPr="00220038">
        <w:rPr>
          <w:lang w:val="en-US"/>
        </w:rPr>
        <w:t xml:space="preserve"> on vote intentions for the two winning parties</w:t>
      </w:r>
      <w:r w:rsidR="008E3555" w:rsidRPr="00220038">
        <w:rPr>
          <w:lang w:val="en-US"/>
        </w:rPr>
        <w:t xml:space="preserve"> of the 2015 parliamentary elections in Switzerland</w:t>
      </w:r>
      <w:r w:rsidRPr="00220038">
        <w:rPr>
          <w:lang w:val="en-US"/>
        </w:rPr>
        <w:t>, the Swiss People’s Party (SVP) and the Liberal Radical Party (FDP</w:t>
      </w:r>
      <w:r w:rsidR="008E3555" w:rsidRPr="00220038">
        <w:rPr>
          <w:lang w:val="en-US"/>
        </w:rPr>
        <w:t>)</w:t>
      </w:r>
      <w:r w:rsidRPr="00220038">
        <w:rPr>
          <w:lang w:val="en-US"/>
        </w:rPr>
        <w:t>. In doing so, we present three important innovations. First, we develop a novel measure that allows us to track potential individual exposure to political advertisements. Second, we make use of an extensive dataset of political advertisements gathered in 50 important regional and supraregional newspapers,</w:t>
      </w:r>
      <w:r w:rsidR="003B6782" w:rsidRPr="00220038">
        <w:rPr>
          <w:lang w:val="en-US"/>
        </w:rPr>
        <w:t xml:space="preserve"> for the first time</w:t>
      </w:r>
      <w:r w:rsidRPr="00220038">
        <w:rPr>
          <w:lang w:val="en-US"/>
        </w:rPr>
        <w:t xml:space="preserve"> allowing us to examine campaign effects in all 26 Swiss cantons. </w:t>
      </w:r>
      <w:r w:rsidRPr="00220038">
        <w:rPr>
          <w:color w:val="000000" w:themeColor="text1"/>
          <w:lang w:val="en-US"/>
        </w:rPr>
        <w:t xml:space="preserve">Third, </w:t>
      </w:r>
      <w:r w:rsidR="00085326" w:rsidRPr="00220038">
        <w:rPr>
          <w:color w:val="000000" w:themeColor="text1"/>
          <w:lang w:val="en-US"/>
        </w:rPr>
        <w:t xml:space="preserve">we </w:t>
      </w:r>
      <w:r w:rsidRPr="00220038">
        <w:rPr>
          <w:color w:val="000000" w:themeColor="text1"/>
          <w:lang w:val="en-US"/>
        </w:rPr>
        <w:t xml:space="preserve">capture effects of issue-specific political advertisements in the </w:t>
      </w:r>
      <w:r w:rsidR="00085326" w:rsidRPr="00220038">
        <w:rPr>
          <w:color w:val="000000" w:themeColor="text1"/>
          <w:lang w:val="en-US"/>
        </w:rPr>
        <w:t xml:space="preserve">context </w:t>
      </w:r>
      <w:r w:rsidRPr="00220038">
        <w:rPr>
          <w:color w:val="000000" w:themeColor="text1"/>
          <w:lang w:val="en-US"/>
        </w:rPr>
        <w:t xml:space="preserve">of the </w:t>
      </w:r>
      <w:r w:rsidR="00085326" w:rsidRPr="00220038">
        <w:rPr>
          <w:color w:val="000000" w:themeColor="text1"/>
          <w:lang w:val="en-US"/>
        </w:rPr>
        <w:t xml:space="preserve">Swiss </w:t>
      </w:r>
      <w:r w:rsidRPr="00220038">
        <w:rPr>
          <w:color w:val="000000" w:themeColor="text1"/>
          <w:lang w:val="en-US"/>
        </w:rPr>
        <w:t>parliamentary elections.</w:t>
      </w:r>
    </w:p>
    <w:p w14:paraId="72CA8EC7" w14:textId="278A305C" w:rsidR="00094EFE" w:rsidRPr="00220038" w:rsidRDefault="003C3B2B" w:rsidP="009F74E5">
      <w:pPr>
        <w:rPr>
          <w:lang w:val="en-US"/>
        </w:rPr>
      </w:pPr>
      <w:r w:rsidRPr="00220038">
        <w:rPr>
          <w:lang w:val="en-US"/>
        </w:rPr>
        <w:t xml:space="preserve">Overall, our findings point </w:t>
      </w:r>
      <w:r w:rsidR="00E65BA0" w:rsidRPr="00220038">
        <w:rPr>
          <w:lang w:val="en-US"/>
        </w:rPr>
        <w:t>to</w:t>
      </w:r>
      <w:r w:rsidRPr="00220038">
        <w:rPr>
          <w:lang w:val="en-US"/>
        </w:rPr>
        <w:t xml:space="preserve"> limited effects of political advertisements</w:t>
      </w:r>
      <w:r w:rsidR="000A5927">
        <w:rPr>
          <w:lang w:val="en-US"/>
        </w:rPr>
        <w:t>,</w:t>
      </w:r>
      <w:r w:rsidR="00771A92" w:rsidRPr="00220038">
        <w:rPr>
          <w:lang w:val="en-US"/>
        </w:rPr>
        <w:t xml:space="preserve"> which is in line with previous </w:t>
      </w:r>
      <w:r w:rsidR="007B2067" w:rsidRPr="00220038">
        <w:rPr>
          <w:lang w:val="en-US"/>
        </w:rPr>
        <w:t xml:space="preserve">non-experimental </w:t>
      </w:r>
      <w:r w:rsidR="00771A92" w:rsidRPr="00220038">
        <w:rPr>
          <w:lang w:val="en-US"/>
        </w:rPr>
        <w:t>literature</w:t>
      </w:r>
      <w:r w:rsidRPr="00220038">
        <w:rPr>
          <w:lang w:val="en-US"/>
        </w:rPr>
        <w:t>. What we do find is</w:t>
      </w:r>
      <w:r w:rsidR="009F74E5" w:rsidRPr="00220038">
        <w:rPr>
          <w:lang w:val="en-US"/>
        </w:rPr>
        <w:t xml:space="preserve"> a general reinforcement effect for individuals </w:t>
      </w:r>
      <w:r w:rsidR="00E65BA0" w:rsidRPr="00220038">
        <w:rPr>
          <w:lang w:val="en-US"/>
        </w:rPr>
        <w:t xml:space="preserve">who </w:t>
      </w:r>
      <w:r w:rsidR="009F74E5" w:rsidRPr="00220038">
        <w:rPr>
          <w:lang w:val="en-US"/>
        </w:rPr>
        <w:t xml:space="preserve">have been exposed to an intensive political campaign </w:t>
      </w:r>
      <w:r w:rsidR="00E65BA0" w:rsidRPr="00220038">
        <w:rPr>
          <w:lang w:val="en-US"/>
        </w:rPr>
        <w:t>by</w:t>
      </w:r>
      <w:r w:rsidR="009F74E5" w:rsidRPr="00220038">
        <w:rPr>
          <w:lang w:val="en-US"/>
        </w:rPr>
        <w:t xml:space="preserve"> the SVP. No such effects are on display for the FDP. </w:t>
      </w:r>
      <w:r w:rsidR="00E65BA0" w:rsidRPr="00220038">
        <w:rPr>
          <w:lang w:val="en-US"/>
        </w:rPr>
        <w:t>W</w:t>
      </w:r>
      <w:r w:rsidR="009F74E5" w:rsidRPr="00220038">
        <w:rPr>
          <w:lang w:val="en-US"/>
        </w:rPr>
        <w:t xml:space="preserve">e also detect </w:t>
      </w:r>
      <w:r w:rsidR="00E65BA0" w:rsidRPr="00220038">
        <w:rPr>
          <w:lang w:val="en-US"/>
        </w:rPr>
        <w:t xml:space="preserve">a </w:t>
      </w:r>
      <w:r w:rsidR="009F74E5" w:rsidRPr="00220038">
        <w:rPr>
          <w:lang w:val="en-US"/>
        </w:rPr>
        <w:t xml:space="preserve">reinforcement </w:t>
      </w:r>
      <w:r w:rsidR="00E65BA0" w:rsidRPr="00220038">
        <w:rPr>
          <w:lang w:val="en-US"/>
        </w:rPr>
        <w:t>effect of</w:t>
      </w:r>
      <w:r w:rsidR="009F74E5" w:rsidRPr="00220038">
        <w:rPr>
          <w:lang w:val="en-US"/>
        </w:rPr>
        <w:t xml:space="preserve"> the amount of migration ads placed by the SVP, suggesting that perception biases are strongest when the advertised issue is highly contentious (</w:t>
      </w:r>
      <w:proofErr w:type="spellStart"/>
      <w:r w:rsidR="009F74E5" w:rsidRPr="00220038">
        <w:rPr>
          <w:lang w:val="en-US"/>
        </w:rPr>
        <w:t>Slothuus</w:t>
      </w:r>
      <w:proofErr w:type="spellEnd"/>
      <w:r w:rsidR="009F74E5" w:rsidRPr="00220038">
        <w:rPr>
          <w:lang w:val="en-US"/>
        </w:rPr>
        <w:t xml:space="preserve"> and </w:t>
      </w:r>
      <w:r w:rsidR="008610A8" w:rsidRPr="00220038">
        <w:rPr>
          <w:lang w:val="en-US"/>
        </w:rPr>
        <w:t>D</w:t>
      </w:r>
      <w:r w:rsidR="009F74E5" w:rsidRPr="00220038">
        <w:rPr>
          <w:lang w:val="en-US"/>
        </w:rPr>
        <w:t xml:space="preserve">e </w:t>
      </w:r>
      <w:proofErr w:type="spellStart"/>
      <w:r w:rsidR="009F74E5" w:rsidRPr="00220038">
        <w:rPr>
          <w:lang w:val="en-US"/>
        </w:rPr>
        <w:t>Vreese</w:t>
      </w:r>
      <w:proofErr w:type="spellEnd"/>
      <w:r w:rsidR="009F74E5" w:rsidRPr="00220038">
        <w:rPr>
          <w:lang w:val="en-US"/>
        </w:rPr>
        <w:t xml:space="preserve"> 2010). When turning to the question </w:t>
      </w:r>
      <w:r w:rsidR="00E65BA0" w:rsidRPr="00220038">
        <w:rPr>
          <w:lang w:val="en-US"/>
        </w:rPr>
        <w:t xml:space="preserve">of </w:t>
      </w:r>
      <w:r w:rsidR="009F74E5" w:rsidRPr="00220038">
        <w:rPr>
          <w:lang w:val="en-US"/>
        </w:rPr>
        <w:t xml:space="preserve">whether advertisements helped to link existing individual preferences to the positions of a party, </w:t>
      </w:r>
      <w:r w:rsidR="00E65BA0" w:rsidRPr="00220038">
        <w:rPr>
          <w:lang w:val="en-US"/>
        </w:rPr>
        <w:t>our findings</w:t>
      </w:r>
      <w:r w:rsidR="009F74E5" w:rsidRPr="00220038">
        <w:rPr>
          <w:lang w:val="en-US"/>
        </w:rPr>
        <w:t xml:space="preserve"> indicat</w:t>
      </w:r>
      <w:r w:rsidR="00E65BA0" w:rsidRPr="00220038">
        <w:rPr>
          <w:lang w:val="en-US"/>
        </w:rPr>
        <w:t>e</w:t>
      </w:r>
      <w:r w:rsidR="009F74E5" w:rsidRPr="00220038">
        <w:rPr>
          <w:lang w:val="en-US"/>
        </w:rPr>
        <w:t xml:space="preserve"> that FDP advertisements promoting the issue of EU </w:t>
      </w:r>
      <w:r w:rsidR="00EC7731" w:rsidRPr="00220038">
        <w:rPr>
          <w:lang w:val="en-US"/>
        </w:rPr>
        <w:t>policy</w:t>
      </w:r>
      <w:r w:rsidR="00E4380B" w:rsidRPr="00220038">
        <w:rPr>
          <w:lang w:val="en-US"/>
        </w:rPr>
        <w:t xml:space="preserve"> </w:t>
      </w:r>
      <w:r w:rsidR="009F74E5" w:rsidRPr="00220038">
        <w:rPr>
          <w:lang w:val="en-US"/>
        </w:rPr>
        <w:t xml:space="preserve">succeeded in </w:t>
      </w:r>
      <w:r w:rsidR="001A3773" w:rsidRPr="00220038">
        <w:rPr>
          <w:lang w:val="en-US"/>
        </w:rPr>
        <w:t>activating</w:t>
      </w:r>
      <w:r w:rsidR="009F74E5" w:rsidRPr="00220038">
        <w:rPr>
          <w:lang w:val="en-US"/>
        </w:rPr>
        <w:t xml:space="preserve"> voters. Furthermore, we identify a reinforcement effect for SVP </w:t>
      </w:r>
      <w:r w:rsidR="00E65BA0" w:rsidRPr="00220038">
        <w:rPr>
          <w:lang w:val="en-US"/>
        </w:rPr>
        <w:t xml:space="preserve">supporters </w:t>
      </w:r>
      <w:r w:rsidR="009F74E5" w:rsidRPr="00220038">
        <w:rPr>
          <w:lang w:val="en-US"/>
        </w:rPr>
        <w:t>that favor the strengthening of the economy</w:t>
      </w:r>
      <w:r w:rsidR="001B23D8" w:rsidRPr="00220038">
        <w:rPr>
          <w:lang w:val="en-US"/>
        </w:rPr>
        <w:t>,</w:t>
      </w:r>
      <w:r w:rsidRPr="00220038">
        <w:rPr>
          <w:lang w:val="en-US"/>
        </w:rPr>
        <w:t xml:space="preserve"> while no such effect is detected for economy ads sponsored by the </w:t>
      </w:r>
      <w:r w:rsidR="00BA452B" w:rsidRPr="00220038">
        <w:rPr>
          <w:lang w:val="en-US"/>
        </w:rPr>
        <w:t>FDP</w:t>
      </w:r>
      <w:r w:rsidR="009F74E5" w:rsidRPr="00220038">
        <w:rPr>
          <w:lang w:val="en-US"/>
        </w:rPr>
        <w:t xml:space="preserve">. </w:t>
      </w:r>
      <w:r w:rsidRPr="00220038">
        <w:rPr>
          <w:lang w:val="en-US"/>
        </w:rPr>
        <w:t>C</w:t>
      </w:r>
      <w:r w:rsidR="009F74E5" w:rsidRPr="00220038">
        <w:rPr>
          <w:lang w:val="en-US"/>
        </w:rPr>
        <w:t xml:space="preserve">ontrary to our theoretical expectations, </w:t>
      </w:r>
      <w:r w:rsidRPr="00220038">
        <w:rPr>
          <w:lang w:val="en-US"/>
        </w:rPr>
        <w:t>th</w:t>
      </w:r>
      <w:r w:rsidR="001B23D8" w:rsidRPr="00220038">
        <w:rPr>
          <w:lang w:val="en-US"/>
        </w:rPr>
        <w:t xml:space="preserve">is </w:t>
      </w:r>
      <w:r w:rsidR="009F74E5" w:rsidRPr="00220038">
        <w:rPr>
          <w:lang w:val="en-US"/>
        </w:rPr>
        <w:t>result suggest</w:t>
      </w:r>
      <w:r w:rsidR="001B23D8" w:rsidRPr="00220038">
        <w:rPr>
          <w:lang w:val="en-US"/>
        </w:rPr>
        <w:t>s</w:t>
      </w:r>
      <w:r w:rsidR="009F74E5" w:rsidRPr="00220038">
        <w:rPr>
          <w:lang w:val="en-US"/>
        </w:rPr>
        <w:t xml:space="preserve"> that campaign effects are more </w:t>
      </w:r>
      <w:r w:rsidR="001B23D8" w:rsidRPr="00220038">
        <w:rPr>
          <w:lang w:val="en-US"/>
        </w:rPr>
        <w:t xml:space="preserve">likely </w:t>
      </w:r>
      <w:r w:rsidR="009F74E5" w:rsidRPr="00220038">
        <w:rPr>
          <w:lang w:val="en-US"/>
        </w:rPr>
        <w:t xml:space="preserve">to be observed on issues that are not clearly owned by </w:t>
      </w:r>
      <w:r w:rsidRPr="00220038">
        <w:rPr>
          <w:lang w:val="en-US"/>
        </w:rPr>
        <w:t xml:space="preserve">that </w:t>
      </w:r>
      <w:r w:rsidR="009F74E5" w:rsidRPr="00220038">
        <w:rPr>
          <w:lang w:val="en-US"/>
        </w:rPr>
        <w:t xml:space="preserve">party. In other words, campaigns may help shed light on a party’s issue position previously rather unknown to the voter. </w:t>
      </w:r>
      <w:r w:rsidR="00F07CFA" w:rsidRPr="00220038">
        <w:rPr>
          <w:lang w:val="en-US"/>
        </w:rPr>
        <w:t>Such</w:t>
      </w:r>
      <w:r w:rsidR="009F74E5" w:rsidRPr="00220038">
        <w:rPr>
          <w:lang w:val="en-US"/>
        </w:rPr>
        <w:t xml:space="preserve"> new information may persuade some voters </w:t>
      </w:r>
      <w:r w:rsidR="00F07CFA" w:rsidRPr="00220038">
        <w:rPr>
          <w:lang w:val="en-US"/>
        </w:rPr>
        <w:t xml:space="preserve">who </w:t>
      </w:r>
      <w:r w:rsidR="009F74E5" w:rsidRPr="00220038">
        <w:rPr>
          <w:lang w:val="en-US"/>
        </w:rPr>
        <w:t>hold strong views on that matter to vote for that party. This conclusion is supported by additional analyses</w:t>
      </w:r>
      <w:r w:rsidR="001B23D8" w:rsidRPr="00220038">
        <w:rPr>
          <w:lang w:val="en-US"/>
        </w:rPr>
        <w:t>,</w:t>
      </w:r>
      <w:r w:rsidR="009F74E5" w:rsidRPr="00220038">
        <w:rPr>
          <w:lang w:val="en-US"/>
        </w:rPr>
        <w:t xml:space="preserve"> wh</w:t>
      </w:r>
      <w:r w:rsidR="00F07CFA" w:rsidRPr="00220038">
        <w:rPr>
          <w:lang w:val="en-US"/>
        </w:rPr>
        <w:t>ich</w:t>
      </w:r>
      <w:r w:rsidR="009F74E5" w:rsidRPr="00220038">
        <w:rPr>
          <w:lang w:val="en-US"/>
        </w:rPr>
        <w:t xml:space="preserve"> demonstrate that campaigns may help boost the perceived competence issue ownership</w:t>
      </w:r>
      <w:r w:rsidR="002229F9" w:rsidRPr="00220038">
        <w:rPr>
          <w:lang w:val="en-US"/>
        </w:rPr>
        <w:t xml:space="preserve">, including </w:t>
      </w:r>
      <w:r w:rsidR="009F74E5" w:rsidRPr="00220038">
        <w:rPr>
          <w:lang w:val="en-US"/>
        </w:rPr>
        <w:t xml:space="preserve">on </w:t>
      </w:r>
      <w:r w:rsidR="00F07CFA" w:rsidRPr="00220038">
        <w:rPr>
          <w:lang w:val="en-US"/>
        </w:rPr>
        <w:t>issue</w:t>
      </w:r>
      <w:r w:rsidR="002229F9" w:rsidRPr="00220038">
        <w:rPr>
          <w:lang w:val="en-US"/>
        </w:rPr>
        <w:t>s</w:t>
      </w:r>
      <w:r w:rsidR="00F07CFA" w:rsidRPr="00220038">
        <w:rPr>
          <w:lang w:val="en-US"/>
        </w:rPr>
        <w:t xml:space="preserve"> </w:t>
      </w:r>
      <w:r w:rsidR="009F74E5" w:rsidRPr="00220038">
        <w:rPr>
          <w:lang w:val="en-US"/>
        </w:rPr>
        <w:t xml:space="preserve">that </w:t>
      </w:r>
      <w:r w:rsidR="002229F9" w:rsidRPr="00220038">
        <w:rPr>
          <w:lang w:val="en-US"/>
        </w:rPr>
        <w:t>are</w:t>
      </w:r>
      <w:r w:rsidR="009F74E5" w:rsidRPr="00220038">
        <w:rPr>
          <w:lang w:val="en-US"/>
        </w:rPr>
        <w:t xml:space="preserve"> not already </w:t>
      </w:r>
      <w:r w:rsidR="009F74E5" w:rsidRPr="00220038">
        <w:rPr>
          <w:lang w:val="en-US"/>
        </w:rPr>
        <w:lastRenderedPageBreak/>
        <w:t xml:space="preserve">owned by </w:t>
      </w:r>
      <w:r w:rsidRPr="00220038">
        <w:rPr>
          <w:lang w:val="en-US"/>
        </w:rPr>
        <w:t xml:space="preserve">that </w:t>
      </w:r>
      <w:r w:rsidR="009F74E5" w:rsidRPr="00220038">
        <w:rPr>
          <w:lang w:val="en-US"/>
        </w:rPr>
        <w:t>party.</w:t>
      </w:r>
      <w:r w:rsidRPr="00220038">
        <w:rPr>
          <w:lang w:val="en-US"/>
        </w:rPr>
        <w:t xml:space="preserve"> Overall, however, our results do not attribute an important role to political advertisements when it comes to explain</w:t>
      </w:r>
      <w:r w:rsidR="00F07CFA" w:rsidRPr="00220038">
        <w:rPr>
          <w:lang w:val="en-US"/>
        </w:rPr>
        <w:t>ing</w:t>
      </w:r>
      <w:r w:rsidRPr="00220038">
        <w:rPr>
          <w:lang w:val="en-US"/>
        </w:rPr>
        <w:t xml:space="preserve"> changes in competence issue ownership. </w:t>
      </w:r>
    </w:p>
    <w:p w14:paraId="416B80E8" w14:textId="56CC10E0" w:rsidR="009F74E5" w:rsidRPr="00220038" w:rsidRDefault="00664868" w:rsidP="009F74E5">
      <w:pPr>
        <w:rPr>
          <w:lang w:val="en-US"/>
        </w:rPr>
      </w:pPr>
      <w:r w:rsidRPr="00220038">
        <w:rPr>
          <w:lang w:val="en-US"/>
        </w:rPr>
        <w:t>W</w:t>
      </w:r>
      <w:r w:rsidR="009F74E5" w:rsidRPr="00220038">
        <w:rPr>
          <w:lang w:val="en-US"/>
        </w:rPr>
        <w:t xml:space="preserve">e observe no </w:t>
      </w:r>
      <w:r w:rsidR="001A3773" w:rsidRPr="00220038">
        <w:rPr>
          <w:lang w:val="en-US"/>
        </w:rPr>
        <w:t xml:space="preserve">activating </w:t>
      </w:r>
      <w:r w:rsidR="009F74E5" w:rsidRPr="00220038">
        <w:rPr>
          <w:lang w:val="en-US"/>
        </w:rPr>
        <w:t>effects for political advertisements placed by the SVP</w:t>
      </w:r>
      <w:r w:rsidR="00D56455" w:rsidRPr="00220038">
        <w:rPr>
          <w:lang w:val="en-US"/>
        </w:rPr>
        <w:t>, meaning that an intense political campaign by the SVP did not entice people to vote for that party</w:t>
      </w:r>
      <w:r w:rsidR="009F74E5" w:rsidRPr="00220038">
        <w:rPr>
          <w:lang w:val="en-US"/>
        </w:rPr>
        <w:t xml:space="preserve">. Quite </w:t>
      </w:r>
      <w:r w:rsidR="00DD3601" w:rsidRPr="00220038">
        <w:rPr>
          <w:lang w:val="en-US"/>
        </w:rPr>
        <w:t>on</w:t>
      </w:r>
      <w:r w:rsidR="009F74E5" w:rsidRPr="00220038">
        <w:rPr>
          <w:lang w:val="en-US"/>
        </w:rPr>
        <w:t xml:space="preserve"> the contrary, our results suggest that people who initially did not display </w:t>
      </w:r>
      <w:r w:rsidR="00D56455" w:rsidRPr="00220038">
        <w:rPr>
          <w:lang w:val="en-US"/>
        </w:rPr>
        <w:t>an</w:t>
      </w:r>
      <w:r w:rsidR="009F74E5" w:rsidRPr="00220038">
        <w:rPr>
          <w:lang w:val="en-US"/>
        </w:rPr>
        <w:t xml:space="preserve"> intention to </w:t>
      </w:r>
      <w:r w:rsidR="00D56455" w:rsidRPr="00220038">
        <w:rPr>
          <w:lang w:val="en-US"/>
        </w:rPr>
        <w:t xml:space="preserve">vote </w:t>
      </w:r>
      <w:r w:rsidR="009F74E5" w:rsidRPr="00220038">
        <w:rPr>
          <w:lang w:val="en-US"/>
        </w:rPr>
        <w:t>are rather repulsed by the party’s intensive issue-specific campaign</w:t>
      </w:r>
      <w:r w:rsidR="00DD3601" w:rsidRPr="00220038">
        <w:rPr>
          <w:lang w:val="en-US"/>
        </w:rPr>
        <w:t>,</w:t>
      </w:r>
      <w:r w:rsidR="009F74E5" w:rsidRPr="00220038">
        <w:rPr>
          <w:lang w:val="en-US"/>
        </w:rPr>
        <w:t xml:space="preserve"> even when holding preferences that are in line with demands issued by the SVP. At the moment, we can only speculate about this finding. One might argue that the party has already gathered a stable voter clientele by other means before the campaign, most probably by launching (and winning) popular initiatives on these subjects, and </w:t>
      </w:r>
      <w:r w:rsidR="00C411FD" w:rsidRPr="00220038">
        <w:rPr>
          <w:lang w:val="en-US"/>
        </w:rPr>
        <w:t>therefore</w:t>
      </w:r>
      <w:r w:rsidR="009F74E5" w:rsidRPr="00220038">
        <w:rPr>
          <w:lang w:val="en-US"/>
        </w:rPr>
        <w:t xml:space="preserve"> </w:t>
      </w:r>
      <w:r w:rsidR="00C411FD" w:rsidRPr="00220038">
        <w:rPr>
          <w:lang w:val="en-US"/>
        </w:rPr>
        <w:t>having reached</w:t>
      </w:r>
      <w:r w:rsidR="00D56455" w:rsidRPr="00220038">
        <w:rPr>
          <w:lang w:val="en-US"/>
        </w:rPr>
        <w:t xml:space="preserve"> its</w:t>
      </w:r>
      <w:r w:rsidR="009F74E5" w:rsidRPr="00220038">
        <w:rPr>
          <w:lang w:val="en-US"/>
        </w:rPr>
        <w:t xml:space="preserve"> full voter potential.</w:t>
      </w:r>
      <w:r w:rsidR="00D56455" w:rsidRPr="00220038">
        <w:rPr>
          <w:lang w:val="en-US"/>
        </w:rPr>
        <w:t xml:space="preserve"> This could indicate that r</w:t>
      </w:r>
      <w:r w:rsidR="009F74E5" w:rsidRPr="00220038">
        <w:rPr>
          <w:lang w:val="en-US"/>
        </w:rPr>
        <w:t xml:space="preserve">einforcing </w:t>
      </w:r>
      <w:r w:rsidR="00D56455" w:rsidRPr="00220038">
        <w:rPr>
          <w:lang w:val="en-US"/>
        </w:rPr>
        <w:t xml:space="preserve">its supporters </w:t>
      </w:r>
      <w:r w:rsidR="009F74E5" w:rsidRPr="00220038">
        <w:rPr>
          <w:lang w:val="en-US"/>
        </w:rPr>
        <w:t xml:space="preserve">remains the party’s main task. On the other hand, political advertisements might not have been the main </w:t>
      </w:r>
      <w:r w:rsidR="00D56455" w:rsidRPr="00220038">
        <w:rPr>
          <w:lang w:val="en-US"/>
        </w:rPr>
        <w:t xml:space="preserve">means through which </w:t>
      </w:r>
      <w:r w:rsidR="009F74E5" w:rsidRPr="00220038">
        <w:rPr>
          <w:lang w:val="en-US"/>
        </w:rPr>
        <w:t>to</w:t>
      </w:r>
      <w:r w:rsidR="00C935C4" w:rsidRPr="00220038">
        <w:rPr>
          <w:lang w:val="en-US"/>
        </w:rPr>
        <w:t xml:space="preserve"> gain</w:t>
      </w:r>
      <w:r w:rsidR="009F74E5" w:rsidRPr="00220038">
        <w:rPr>
          <w:lang w:val="en-US"/>
        </w:rPr>
        <w:t xml:space="preserve"> new voters. The SVP may have profited from a strong association with the migration issue in newspapers – the policy </w:t>
      </w:r>
      <w:r w:rsidR="00E465C4" w:rsidRPr="00220038">
        <w:rPr>
          <w:lang w:val="en-US"/>
        </w:rPr>
        <w:t xml:space="preserve">issue </w:t>
      </w:r>
      <w:r w:rsidR="009F74E5" w:rsidRPr="00220038">
        <w:rPr>
          <w:lang w:val="en-US"/>
        </w:rPr>
        <w:t>that received</w:t>
      </w:r>
      <w:r w:rsidR="00E465C4" w:rsidRPr="00220038">
        <w:rPr>
          <w:lang w:val="en-US"/>
        </w:rPr>
        <w:t xml:space="preserve"> </w:t>
      </w:r>
      <w:r w:rsidR="009F74E5" w:rsidRPr="00220038">
        <w:rPr>
          <w:lang w:val="en-US"/>
        </w:rPr>
        <w:t xml:space="preserve">the </w:t>
      </w:r>
      <w:r w:rsidR="00E465C4" w:rsidRPr="00220038">
        <w:rPr>
          <w:lang w:val="en-US"/>
        </w:rPr>
        <w:t xml:space="preserve">greatest media </w:t>
      </w:r>
      <w:r w:rsidR="009F74E5" w:rsidRPr="00220038">
        <w:rPr>
          <w:lang w:val="en-US"/>
        </w:rPr>
        <w:t>attention at that time (</w:t>
      </w:r>
      <w:proofErr w:type="spellStart"/>
      <w:r w:rsidR="009F74E5" w:rsidRPr="00220038">
        <w:rPr>
          <w:lang w:val="en-US"/>
        </w:rPr>
        <w:t>Fög</w:t>
      </w:r>
      <w:proofErr w:type="spellEnd"/>
      <w:r w:rsidR="009F74E5" w:rsidRPr="00220038">
        <w:rPr>
          <w:lang w:val="en-US"/>
        </w:rPr>
        <w:t xml:space="preserve"> 2015). Hence, the </w:t>
      </w:r>
      <w:r w:rsidR="00E465C4" w:rsidRPr="00220038">
        <w:rPr>
          <w:lang w:val="en-US"/>
        </w:rPr>
        <w:t xml:space="preserve">great </w:t>
      </w:r>
      <w:r w:rsidR="009F74E5" w:rsidRPr="00220038">
        <w:rPr>
          <w:lang w:val="en-US"/>
        </w:rPr>
        <w:t xml:space="preserve">success of the party in 2015 may either have external roots, i.e. rest on events that occurred independently of the political campaign (see also </w:t>
      </w:r>
      <w:proofErr w:type="spellStart"/>
      <w:r w:rsidR="009F74E5" w:rsidRPr="00220038">
        <w:rPr>
          <w:lang w:val="en-US"/>
        </w:rPr>
        <w:t>Sciarini</w:t>
      </w:r>
      <w:proofErr w:type="spellEnd"/>
      <w:r w:rsidR="009F74E5" w:rsidRPr="00220038">
        <w:rPr>
          <w:lang w:val="en-US"/>
        </w:rPr>
        <w:t xml:space="preserve"> and </w:t>
      </w:r>
      <w:proofErr w:type="spellStart"/>
      <w:r w:rsidR="009F74E5" w:rsidRPr="00220038">
        <w:rPr>
          <w:lang w:val="en-US"/>
        </w:rPr>
        <w:t>Kriesi</w:t>
      </w:r>
      <w:proofErr w:type="spellEnd"/>
      <w:r w:rsidR="009F74E5" w:rsidRPr="00220038">
        <w:rPr>
          <w:lang w:val="en-US"/>
        </w:rPr>
        <w:t xml:space="preserve"> 2003: 442), and/or result from the SVP successfully influencing the tone of media reporting, for example through the introduction of the term </w:t>
      </w:r>
      <w:r w:rsidR="00595C8C" w:rsidRPr="00220038">
        <w:rPr>
          <w:lang w:val="en-US"/>
        </w:rPr>
        <w:t>“</w:t>
      </w:r>
      <w:proofErr w:type="spellStart"/>
      <w:r w:rsidR="009F74E5" w:rsidRPr="00220038">
        <w:rPr>
          <w:lang w:val="en-US"/>
        </w:rPr>
        <w:t>Asylchaos</w:t>
      </w:r>
      <w:proofErr w:type="spellEnd"/>
      <w:r w:rsidR="00595C8C" w:rsidRPr="00220038">
        <w:rPr>
          <w:lang w:val="en-US"/>
        </w:rPr>
        <w:t>” (asylum chaos)</w:t>
      </w:r>
      <w:r w:rsidR="009F74E5" w:rsidRPr="00220038">
        <w:rPr>
          <w:lang w:val="en-US"/>
        </w:rPr>
        <w:t xml:space="preserve"> (Lutz 2016: 45). </w:t>
      </w:r>
    </w:p>
    <w:p w14:paraId="18C59EDD" w14:textId="097C1433" w:rsidR="00972A82" w:rsidRPr="00220038" w:rsidRDefault="00AD2381" w:rsidP="009F74E5">
      <w:pPr>
        <w:rPr>
          <w:lang w:val="en-US"/>
        </w:rPr>
      </w:pPr>
      <w:r w:rsidRPr="00220038">
        <w:rPr>
          <w:lang w:val="en-US"/>
        </w:rPr>
        <w:t>O</w:t>
      </w:r>
      <w:r w:rsidR="009F74E5" w:rsidRPr="00220038">
        <w:rPr>
          <w:lang w:val="en-US"/>
        </w:rPr>
        <w:t xml:space="preserve">ur study is not without limitations. </w:t>
      </w:r>
      <w:r w:rsidR="00962CA0" w:rsidRPr="00220038">
        <w:rPr>
          <w:lang w:val="en-US"/>
        </w:rPr>
        <w:t>First, t</w:t>
      </w:r>
      <w:r w:rsidR="009F74E5" w:rsidRPr="00220038">
        <w:rPr>
          <w:lang w:val="en-US"/>
        </w:rPr>
        <w:t>he findings presented here are strongly bound to a context in which</w:t>
      </w:r>
      <w:r w:rsidR="00795BE2" w:rsidRPr="00220038">
        <w:rPr>
          <w:lang w:val="en-US"/>
        </w:rPr>
        <w:t xml:space="preserve"> only a small number of issues were seen as salient, </w:t>
      </w:r>
      <w:r w:rsidR="009F74E5" w:rsidRPr="00220038">
        <w:rPr>
          <w:lang w:val="en-US"/>
        </w:rPr>
        <w:t>and discussions revolving around the</w:t>
      </w:r>
      <w:r w:rsidR="00153282" w:rsidRPr="00220038">
        <w:rPr>
          <w:lang w:val="en-US"/>
        </w:rPr>
        <w:t>se</w:t>
      </w:r>
      <w:r w:rsidR="009F74E5" w:rsidRPr="00220038">
        <w:rPr>
          <w:lang w:val="en-US"/>
        </w:rPr>
        <w:t xml:space="preserve"> issues </w:t>
      </w:r>
      <w:r w:rsidR="00AC3A1F" w:rsidRPr="00220038">
        <w:rPr>
          <w:lang w:val="en-US"/>
        </w:rPr>
        <w:t>had</w:t>
      </w:r>
      <w:r w:rsidR="009F74E5" w:rsidRPr="00220038">
        <w:rPr>
          <w:lang w:val="en-US"/>
        </w:rPr>
        <w:t xml:space="preserve"> </w:t>
      </w:r>
      <w:r w:rsidR="00AC3A1F" w:rsidRPr="00220038">
        <w:rPr>
          <w:lang w:val="en-US"/>
        </w:rPr>
        <w:t>been</w:t>
      </w:r>
      <w:r w:rsidR="009F74E5" w:rsidRPr="00220038">
        <w:rPr>
          <w:lang w:val="en-US"/>
        </w:rPr>
        <w:t xml:space="preserve"> ongoing for </w:t>
      </w:r>
      <w:r w:rsidR="00AC3A1F" w:rsidRPr="00220038">
        <w:rPr>
          <w:lang w:val="en-US"/>
        </w:rPr>
        <w:t>several months</w:t>
      </w:r>
      <w:r w:rsidR="009F74E5" w:rsidRPr="00220038">
        <w:rPr>
          <w:lang w:val="en-US"/>
        </w:rPr>
        <w:t>.</w:t>
      </w:r>
      <w:r w:rsidR="00CE7928" w:rsidRPr="00220038">
        <w:rPr>
          <w:lang w:val="en-US"/>
        </w:rPr>
        <w:t xml:space="preserve"> This may have contributed to </w:t>
      </w:r>
      <w:r w:rsidR="00AC3A1F" w:rsidRPr="00220038">
        <w:rPr>
          <w:lang w:val="en-US"/>
        </w:rPr>
        <w:t xml:space="preserve">the </w:t>
      </w:r>
      <w:r w:rsidR="00CE7928" w:rsidRPr="00220038">
        <w:rPr>
          <w:lang w:val="en-US"/>
        </w:rPr>
        <w:t>stabiliz</w:t>
      </w:r>
      <w:r w:rsidR="00AC3A1F" w:rsidRPr="00220038">
        <w:rPr>
          <w:lang w:val="en-US"/>
        </w:rPr>
        <w:t>ation of</w:t>
      </w:r>
      <w:r w:rsidR="00CE7928" w:rsidRPr="00220038">
        <w:rPr>
          <w:lang w:val="en-US"/>
        </w:rPr>
        <w:t xml:space="preserve"> party and issue preferences well in advance of the electoral campaign, reducing the chances for political advertisements to activate latent preferences or reinforce existing views.</w:t>
      </w:r>
    </w:p>
    <w:p w14:paraId="44ED9D23" w14:textId="2AEBAF6B" w:rsidR="00CE7928" w:rsidRPr="00220038" w:rsidRDefault="00962CA0" w:rsidP="009F74E5">
      <w:pPr>
        <w:rPr>
          <w:rFonts w:cs="Times New Roman (Corps CS)"/>
          <w:strike/>
          <w:lang w:val="en-US"/>
        </w:rPr>
      </w:pPr>
      <w:r w:rsidRPr="00220038">
        <w:rPr>
          <w:lang w:val="en-US"/>
        </w:rPr>
        <w:t>Second</w:t>
      </w:r>
      <w:r w:rsidR="00F57A3C" w:rsidRPr="00220038">
        <w:rPr>
          <w:lang w:val="en-US"/>
        </w:rPr>
        <w:t xml:space="preserve">, linkage analyses are not unimpeachable. Results may be sensitive to the choice of the measure of media exposure and to the way media content is operationalized </w:t>
      </w:r>
      <w:r w:rsidR="00666376" w:rsidRPr="00220038">
        <w:rPr>
          <w:lang w:val="en-US"/>
        </w:rPr>
        <w:t>(D</w:t>
      </w:r>
      <w:r w:rsidR="00F57A3C" w:rsidRPr="00220038">
        <w:rPr>
          <w:lang w:val="en-US"/>
        </w:rPr>
        <w:t xml:space="preserve">e </w:t>
      </w:r>
      <w:proofErr w:type="spellStart"/>
      <w:r w:rsidR="00F57A3C" w:rsidRPr="00220038">
        <w:rPr>
          <w:lang w:val="en-US"/>
        </w:rPr>
        <w:t>Vreese</w:t>
      </w:r>
      <w:proofErr w:type="spellEnd"/>
      <w:r w:rsidR="00F57A3C" w:rsidRPr="00220038">
        <w:rPr>
          <w:lang w:val="en-US"/>
        </w:rPr>
        <w:t xml:space="preserve"> et al. 2017). The robustness checks conducted </w:t>
      </w:r>
      <w:r w:rsidR="009F54C2" w:rsidRPr="00220038">
        <w:rPr>
          <w:lang w:val="en-US"/>
        </w:rPr>
        <w:t>with</w:t>
      </w:r>
      <w:r w:rsidR="00666376" w:rsidRPr="00220038">
        <w:rPr>
          <w:lang w:val="en-US"/>
        </w:rPr>
        <w:t xml:space="preserve">in the framework of this study </w:t>
      </w:r>
      <w:r w:rsidR="00F57A3C" w:rsidRPr="00220038">
        <w:rPr>
          <w:lang w:val="en-US"/>
        </w:rPr>
        <w:t xml:space="preserve">did not indicate that we might have </w:t>
      </w:r>
      <w:r w:rsidR="00CE7928" w:rsidRPr="00220038">
        <w:rPr>
          <w:lang w:val="en-US"/>
        </w:rPr>
        <w:t xml:space="preserve">substantially </w:t>
      </w:r>
      <w:r w:rsidR="00F57A3C" w:rsidRPr="00220038">
        <w:rPr>
          <w:lang w:val="en-US"/>
        </w:rPr>
        <w:t>under</w:t>
      </w:r>
      <w:r w:rsidR="00666376" w:rsidRPr="00220038">
        <w:rPr>
          <w:lang w:val="en-US"/>
        </w:rPr>
        <w:t>- or over</w:t>
      </w:r>
      <w:r w:rsidR="00F57A3C" w:rsidRPr="00220038">
        <w:rPr>
          <w:lang w:val="en-US"/>
        </w:rPr>
        <w:t>estimated the effects of campaign advertisements by the choice of our campaign variable.</w:t>
      </w:r>
      <w:r w:rsidR="000F40A6" w:rsidRPr="00220038">
        <w:rPr>
          <w:rStyle w:val="Appelnotedebasdep"/>
          <w:lang w:val="en-US"/>
        </w:rPr>
        <w:footnoteReference w:id="18"/>
      </w:r>
      <w:r w:rsidR="00F57A3C" w:rsidRPr="00220038">
        <w:rPr>
          <w:lang w:val="en-US"/>
        </w:rPr>
        <w:t xml:space="preserve"> </w:t>
      </w:r>
      <w:r w:rsidR="00666376" w:rsidRPr="00220038">
        <w:rPr>
          <w:lang w:val="en-US"/>
        </w:rPr>
        <w:t xml:space="preserve">However, future studies might want to give </w:t>
      </w:r>
      <w:r w:rsidR="00BC2AD6" w:rsidRPr="00220038">
        <w:rPr>
          <w:lang w:val="en-US"/>
        </w:rPr>
        <w:t xml:space="preserve">greater </w:t>
      </w:r>
      <w:r w:rsidR="00666376" w:rsidRPr="00220038">
        <w:rPr>
          <w:lang w:val="en-US"/>
        </w:rPr>
        <w:t>weight to more recently published advertisements</w:t>
      </w:r>
      <w:r w:rsidR="007753C1" w:rsidRPr="00220038">
        <w:rPr>
          <w:lang w:val="en-US"/>
        </w:rPr>
        <w:t xml:space="preserve">, </w:t>
      </w:r>
      <w:r w:rsidR="00666376" w:rsidRPr="00220038">
        <w:rPr>
          <w:lang w:val="en-US"/>
        </w:rPr>
        <w:t xml:space="preserve">consider factors that might increase the visibility of political advertisements </w:t>
      </w:r>
      <w:r w:rsidR="007753C1" w:rsidRPr="00220038">
        <w:rPr>
          <w:lang w:val="en-US"/>
        </w:rPr>
        <w:t xml:space="preserve">or </w:t>
      </w:r>
      <w:r w:rsidR="00F4370D" w:rsidRPr="00220038">
        <w:rPr>
          <w:lang w:val="en-US"/>
        </w:rPr>
        <w:t xml:space="preserve">include </w:t>
      </w:r>
      <w:r w:rsidR="00CE7928" w:rsidRPr="00220038">
        <w:rPr>
          <w:lang w:val="en-US"/>
        </w:rPr>
        <w:t>an analysis of frames</w:t>
      </w:r>
      <w:r w:rsidR="00666376" w:rsidRPr="00220038">
        <w:rPr>
          <w:lang w:val="en-US"/>
        </w:rPr>
        <w:t xml:space="preserve">. </w:t>
      </w:r>
      <w:r w:rsidR="00F57A3C" w:rsidRPr="00220038">
        <w:rPr>
          <w:lang w:val="en-US"/>
        </w:rPr>
        <w:t xml:space="preserve">In addition, survey participants </w:t>
      </w:r>
      <w:r w:rsidR="00094EFE" w:rsidRPr="00220038">
        <w:rPr>
          <w:lang w:val="en-US"/>
        </w:rPr>
        <w:t xml:space="preserve">in general </w:t>
      </w:r>
      <w:r w:rsidR="00F57A3C" w:rsidRPr="00220038">
        <w:rPr>
          <w:lang w:val="en-US"/>
        </w:rPr>
        <w:t>are prone to over</w:t>
      </w:r>
      <w:r w:rsidR="009F54C2" w:rsidRPr="00220038">
        <w:rPr>
          <w:lang w:val="en-US"/>
        </w:rPr>
        <w:t>-</w:t>
      </w:r>
      <w:r w:rsidR="00F57A3C" w:rsidRPr="00220038">
        <w:rPr>
          <w:lang w:val="en-US"/>
        </w:rPr>
        <w:t>report</w:t>
      </w:r>
      <w:r w:rsidR="00266615" w:rsidRPr="00220038">
        <w:rPr>
          <w:lang w:val="en-US"/>
        </w:rPr>
        <w:t>ing</w:t>
      </w:r>
      <w:r w:rsidR="00F57A3C" w:rsidRPr="00220038">
        <w:rPr>
          <w:lang w:val="en-US"/>
        </w:rPr>
        <w:t xml:space="preserve"> their media use and the reliability of such measures is only deemed moderate, leading to the </w:t>
      </w:r>
      <w:r w:rsidR="009F54C2" w:rsidRPr="00220038">
        <w:rPr>
          <w:lang w:val="en-US"/>
        </w:rPr>
        <w:t xml:space="preserve">weakening </w:t>
      </w:r>
      <w:r w:rsidR="00F57A3C" w:rsidRPr="00220038">
        <w:rPr>
          <w:lang w:val="en-US"/>
        </w:rPr>
        <w:t xml:space="preserve">of true media effects (see </w:t>
      </w:r>
      <w:proofErr w:type="spellStart"/>
      <w:r w:rsidR="00F57A3C" w:rsidRPr="00220038">
        <w:rPr>
          <w:lang w:val="en-US"/>
        </w:rPr>
        <w:t>Scharkow</w:t>
      </w:r>
      <w:proofErr w:type="spellEnd"/>
      <w:r w:rsidR="00F57A3C" w:rsidRPr="00220038">
        <w:rPr>
          <w:lang w:val="en-US"/>
        </w:rPr>
        <w:t xml:space="preserve"> and </w:t>
      </w:r>
      <w:proofErr w:type="spellStart"/>
      <w:r w:rsidR="00F57A3C" w:rsidRPr="00220038">
        <w:rPr>
          <w:lang w:val="en-US"/>
        </w:rPr>
        <w:t>Bachl</w:t>
      </w:r>
      <w:proofErr w:type="spellEnd"/>
      <w:r w:rsidR="00F57A3C" w:rsidRPr="00220038">
        <w:rPr>
          <w:lang w:val="en-US"/>
        </w:rPr>
        <w:t xml:space="preserve"> 2017 for an overview). </w:t>
      </w:r>
      <w:r w:rsidR="00531BFA" w:rsidRPr="00220038">
        <w:rPr>
          <w:lang w:val="en-US"/>
        </w:rPr>
        <w:t>While incorporating additional and finer grained questions on the use of informational sources in opinion surveys may help to create more reliable measures of exposure (</w:t>
      </w:r>
      <w:r w:rsidR="00B3174B">
        <w:rPr>
          <w:lang w:val="en-US"/>
        </w:rPr>
        <w:t>D</w:t>
      </w:r>
      <w:r w:rsidR="00531BFA" w:rsidRPr="00220038">
        <w:rPr>
          <w:lang w:val="en-US"/>
        </w:rPr>
        <w:t xml:space="preserve">e </w:t>
      </w:r>
      <w:proofErr w:type="spellStart"/>
      <w:r w:rsidR="00531BFA" w:rsidRPr="00220038">
        <w:rPr>
          <w:lang w:val="en-US"/>
        </w:rPr>
        <w:t>Vreese</w:t>
      </w:r>
      <w:proofErr w:type="spellEnd"/>
      <w:r w:rsidR="00531BFA" w:rsidRPr="00220038">
        <w:rPr>
          <w:lang w:val="en-US"/>
        </w:rPr>
        <w:t xml:space="preserve"> et al. 2017: 225), a comprehensive study of information </w:t>
      </w:r>
      <w:r w:rsidR="00531BFA" w:rsidRPr="00220038">
        <w:rPr>
          <w:lang w:val="en-US"/>
        </w:rPr>
        <w:lastRenderedPageBreak/>
        <w:t xml:space="preserve">reception and acceptance might want to rely on experimental designs (see </w:t>
      </w:r>
      <w:proofErr w:type="spellStart"/>
      <w:r w:rsidR="00531BFA" w:rsidRPr="00220038">
        <w:rPr>
          <w:lang w:val="en-US"/>
        </w:rPr>
        <w:t>Iyengar</w:t>
      </w:r>
      <w:proofErr w:type="spellEnd"/>
      <w:r w:rsidR="00531BFA" w:rsidRPr="00220038">
        <w:rPr>
          <w:lang w:val="en-US"/>
        </w:rPr>
        <w:t xml:space="preserve"> and Simon 2000: 151)</w:t>
      </w:r>
      <w:r w:rsidR="009F54C2" w:rsidRPr="00220038">
        <w:rPr>
          <w:lang w:val="en-US"/>
        </w:rPr>
        <w:t>.</w:t>
      </w:r>
    </w:p>
    <w:p w14:paraId="6AB21770" w14:textId="0D4DDF02" w:rsidR="00CE7928" w:rsidRPr="00220038" w:rsidRDefault="009F74E5" w:rsidP="009F74E5">
      <w:pPr>
        <w:rPr>
          <w:lang w:val="en-US"/>
        </w:rPr>
      </w:pPr>
      <w:r w:rsidRPr="00220038">
        <w:rPr>
          <w:lang w:val="en-US"/>
        </w:rPr>
        <w:t>Third</w:t>
      </w:r>
      <w:r w:rsidR="00CA0482" w:rsidRPr="00220038">
        <w:rPr>
          <w:lang w:val="en-US"/>
        </w:rPr>
        <w:t>,</w:t>
      </w:r>
      <w:r w:rsidRPr="00220038">
        <w:rPr>
          <w:lang w:val="en-US"/>
        </w:rPr>
        <w:t xml:space="preserve"> and related to the former, we rely on a thin database – both with regard to exposure to issue-specific ads as well as survey participants who indicated in the pre-campaign </w:t>
      </w:r>
      <w:r w:rsidR="0084006C" w:rsidRPr="00220038">
        <w:rPr>
          <w:lang w:val="en-US"/>
        </w:rPr>
        <w:t>wave</w:t>
      </w:r>
      <w:r w:rsidR="00CA0482" w:rsidRPr="00220038">
        <w:rPr>
          <w:lang w:val="en-US"/>
        </w:rPr>
        <w:t xml:space="preserve"> </w:t>
      </w:r>
      <w:r w:rsidRPr="00220038">
        <w:rPr>
          <w:lang w:val="en-US"/>
        </w:rPr>
        <w:t xml:space="preserve">that they are unlikely to participate. Results thus have to be interpreted cautiously and we propose to speak of trends </w:t>
      </w:r>
      <w:r w:rsidR="00CA0482" w:rsidRPr="00220038">
        <w:rPr>
          <w:lang w:val="en-US"/>
        </w:rPr>
        <w:t xml:space="preserve">rather </w:t>
      </w:r>
      <w:r w:rsidRPr="00220038">
        <w:rPr>
          <w:lang w:val="en-US"/>
        </w:rPr>
        <w:t xml:space="preserve">than of established facts. </w:t>
      </w:r>
    </w:p>
    <w:p w14:paraId="4D3A07B7" w14:textId="607D94A7" w:rsidR="009F74E5" w:rsidRPr="00220038" w:rsidRDefault="001B6666" w:rsidP="009F74E5">
      <w:pPr>
        <w:rPr>
          <w:lang w:val="en-US"/>
        </w:rPr>
      </w:pPr>
      <w:r w:rsidRPr="00220038">
        <w:rPr>
          <w:lang w:val="en-US"/>
        </w:rPr>
        <w:t>Finally</w:t>
      </w:r>
      <w:r w:rsidR="009F74E5" w:rsidRPr="00220038">
        <w:rPr>
          <w:lang w:val="en-US"/>
        </w:rPr>
        <w:t xml:space="preserve">, </w:t>
      </w:r>
      <w:r w:rsidR="009F74E5" w:rsidRPr="00220038">
        <w:rPr>
          <w:rFonts w:cs="Times New Roman"/>
          <w:szCs w:val="22"/>
          <w:lang w:val="en-US"/>
        </w:rPr>
        <w:t xml:space="preserve">due to data availability and our interest in capturing campaign exposure, our study limits itself to the analysis of the influence of political advertisements in print media. We are therefore not in a position to draw general conclusions on the influence of the overall campaign, since it neglects alternative means of campaigning, </w:t>
      </w:r>
      <w:r w:rsidR="009F74E5" w:rsidRPr="00220038">
        <w:rPr>
          <w:lang w:val="en-US"/>
        </w:rPr>
        <w:t xml:space="preserve">such as the use of Facebook or Twitter or the distribution of flyers in the streets. </w:t>
      </w:r>
      <w:r w:rsidR="009F74E5" w:rsidRPr="00220038">
        <w:rPr>
          <w:rFonts w:cs="Times New Roman"/>
          <w:szCs w:val="22"/>
          <w:lang w:val="en-US"/>
        </w:rPr>
        <w:t>Yet</w:t>
      </w:r>
      <w:r w:rsidR="000A5927">
        <w:rPr>
          <w:rFonts w:cs="Times New Roman"/>
          <w:szCs w:val="22"/>
          <w:lang w:val="en-US"/>
        </w:rPr>
        <w:t>,</w:t>
      </w:r>
      <w:r w:rsidR="009F74E5" w:rsidRPr="00220038">
        <w:rPr>
          <w:rFonts w:cs="Times New Roman"/>
          <w:szCs w:val="22"/>
          <w:lang w:val="en-US"/>
        </w:rPr>
        <w:t xml:space="preserve"> by focusing on political advertisements, we do follow an established path of campaign research conducted in a country where parties are not obliged to reveal their funding (e.g., </w:t>
      </w:r>
      <w:r w:rsidR="00E9758A" w:rsidRPr="00220038">
        <w:rPr>
          <w:rFonts w:cs="Times New Roman"/>
          <w:szCs w:val="22"/>
          <w:lang w:val="en-US"/>
        </w:rPr>
        <w:t xml:space="preserve">Gerber and </w:t>
      </w:r>
      <w:proofErr w:type="spellStart"/>
      <w:r w:rsidR="00E9758A" w:rsidRPr="00220038">
        <w:rPr>
          <w:rFonts w:cs="Times New Roman"/>
          <w:szCs w:val="22"/>
          <w:lang w:val="en-US"/>
        </w:rPr>
        <w:t>Bühlmann</w:t>
      </w:r>
      <w:proofErr w:type="spellEnd"/>
      <w:r w:rsidR="00E9758A" w:rsidRPr="00220038">
        <w:rPr>
          <w:rFonts w:cs="Times New Roman"/>
          <w:szCs w:val="22"/>
          <w:lang w:val="en-US"/>
        </w:rPr>
        <w:t xml:space="preserve"> 2014</w:t>
      </w:r>
      <w:r w:rsidR="00E9758A">
        <w:rPr>
          <w:rFonts w:cs="Times New Roman"/>
          <w:szCs w:val="22"/>
          <w:lang w:val="en-US"/>
        </w:rPr>
        <w:t xml:space="preserve">; </w:t>
      </w:r>
      <w:proofErr w:type="spellStart"/>
      <w:r w:rsidR="00E9758A" w:rsidRPr="00220038">
        <w:rPr>
          <w:rFonts w:cs="Times New Roman"/>
          <w:szCs w:val="22"/>
          <w:lang w:val="en-US"/>
        </w:rPr>
        <w:t>Kriesi</w:t>
      </w:r>
      <w:proofErr w:type="spellEnd"/>
      <w:r w:rsidR="00E9758A" w:rsidRPr="00220038">
        <w:rPr>
          <w:rFonts w:cs="Times New Roman"/>
          <w:szCs w:val="22"/>
          <w:lang w:val="en-US"/>
        </w:rPr>
        <w:t xml:space="preserve"> 2009</w:t>
      </w:r>
      <w:r w:rsidR="00E9758A">
        <w:rPr>
          <w:rFonts w:cs="Times New Roman"/>
          <w:szCs w:val="22"/>
          <w:lang w:val="en-US"/>
        </w:rPr>
        <w:t xml:space="preserve">; </w:t>
      </w:r>
      <w:proofErr w:type="spellStart"/>
      <w:r w:rsidR="00E9758A" w:rsidRPr="00220038">
        <w:rPr>
          <w:rFonts w:cs="Times New Roman"/>
          <w:szCs w:val="22"/>
          <w:lang w:val="en-US"/>
        </w:rPr>
        <w:t>Lanz</w:t>
      </w:r>
      <w:proofErr w:type="spellEnd"/>
      <w:r w:rsidR="00E9758A" w:rsidRPr="00220038">
        <w:rPr>
          <w:rFonts w:cs="Times New Roman"/>
          <w:szCs w:val="22"/>
          <w:lang w:val="en-US"/>
        </w:rPr>
        <w:t xml:space="preserve"> and </w:t>
      </w:r>
      <w:proofErr w:type="spellStart"/>
      <w:r w:rsidR="00E9758A" w:rsidRPr="00220038">
        <w:rPr>
          <w:rFonts w:cs="Times New Roman"/>
          <w:szCs w:val="22"/>
          <w:lang w:val="en-US"/>
        </w:rPr>
        <w:t>Nai</w:t>
      </w:r>
      <w:proofErr w:type="spellEnd"/>
      <w:r w:rsidR="00E9758A" w:rsidRPr="00220038">
        <w:rPr>
          <w:rFonts w:cs="Times New Roman"/>
          <w:szCs w:val="22"/>
          <w:lang w:val="en-US"/>
        </w:rPr>
        <w:t xml:space="preserve"> 2015</w:t>
      </w:r>
      <w:r w:rsidR="00E9758A">
        <w:rPr>
          <w:rFonts w:cs="Times New Roman"/>
          <w:szCs w:val="22"/>
          <w:lang w:val="en-US"/>
        </w:rPr>
        <w:t>;</w:t>
      </w:r>
      <w:r w:rsidR="00E9758A" w:rsidRPr="00E9758A">
        <w:rPr>
          <w:rFonts w:cs="Times New Roman"/>
          <w:szCs w:val="22"/>
          <w:lang w:val="en-US"/>
        </w:rPr>
        <w:t xml:space="preserve"> </w:t>
      </w:r>
      <w:r w:rsidR="00E9758A" w:rsidRPr="00220038">
        <w:rPr>
          <w:rFonts w:cs="Times New Roman"/>
          <w:szCs w:val="22"/>
          <w:lang w:val="en-US"/>
        </w:rPr>
        <w:t>Marquis 2006</w:t>
      </w:r>
      <w:r w:rsidR="00E9758A">
        <w:rPr>
          <w:rFonts w:cs="Times New Roman"/>
          <w:szCs w:val="22"/>
          <w:lang w:val="en-US"/>
        </w:rPr>
        <w:t xml:space="preserve">; </w:t>
      </w:r>
      <w:proofErr w:type="spellStart"/>
      <w:r w:rsidR="00E9758A" w:rsidRPr="00220038">
        <w:rPr>
          <w:rFonts w:cs="Times New Roman"/>
          <w:szCs w:val="22"/>
          <w:lang w:val="en-US"/>
        </w:rPr>
        <w:t>Nai</w:t>
      </w:r>
      <w:proofErr w:type="spellEnd"/>
      <w:r w:rsidR="00E9758A" w:rsidRPr="00220038">
        <w:rPr>
          <w:rFonts w:cs="Times New Roman"/>
          <w:szCs w:val="22"/>
          <w:lang w:val="en-US"/>
        </w:rPr>
        <w:t xml:space="preserve"> 2013</w:t>
      </w:r>
      <w:r w:rsidR="00E9758A">
        <w:rPr>
          <w:rFonts w:cs="Times New Roman"/>
          <w:szCs w:val="22"/>
          <w:lang w:val="en-US"/>
        </w:rPr>
        <w:t xml:space="preserve">; </w:t>
      </w:r>
      <w:proofErr w:type="spellStart"/>
      <w:r w:rsidR="009F74E5" w:rsidRPr="00220038">
        <w:rPr>
          <w:rFonts w:cs="Times New Roman"/>
          <w:szCs w:val="22"/>
          <w:lang w:val="en-US"/>
        </w:rPr>
        <w:t>Sciarini</w:t>
      </w:r>
      <w:proofErr w:type="spellEnd"/>
      <w:r w:rsidR="009F74E5" w:rsidRPr="00220038">
        <w:rPr>
          <w:rFonts w:cs="Times New Roman"/>
          <w:szCs w:val="22"/>
          <w:lang w:val="en-US"/>
        </w:rPr>
        <w:t xml:space="preserve"> and </w:t>
      </w:r>
      <w:proofErr w:type="spellStart"/>
      <w:r w:rsidR="009F74E5" w:rsidRPr="00220038">
        <w:rPr>
          <w:rFonts w:cs="Times New Roman"/>
          <w:szCs w:val="22"/>
          <w:lang w:val="en-US"/>
        </w:rPr>
        <w:t>Kriesi</w:t>
      </w:r>
      <w:proofErr w:type="spellEnd"/>
      <w:r w:rsidR="009F74E5" w:rsidRPr="00220038">
        <w:rPr>
          <w:rFonts w:cs="Times New Roman"/>
          <w:szCs w:val="22"/>
          <w:lang w:val="en-US"/>
        </w:rPr>
        <w:t xml:space="preserve"> 2003). While the use of social media in the context of politics is not negligible, empirical studies have demonstrated that digitization has not (yet) gained momentum (</w:t>
      </w:r>
      <w:proofErr w:type="spellStart"/>
      <w:r w:rsidR="009F74E5" w:rsidRPr="00220038">
        <w:rPr>
          <w:rFonts w:cs="Times New Roman"/>
          <w:szCs w:val="22"/>
          <w:lang w:val="en-US"/>
        </w:rPr>
        <w:t>Bütikofer</w:t>
      </w:r>
      <w:proofErr w:type="spellEnd"/>
      <w:r w:rsidR="009F74E5" w:rsidRPr="00220038">
        <w:rPr>
          <w:rFonts w:cs="Times New Roman"/>
          <w:szCs w:val="22"/>
          <w:lang w:val="en-US"/>
        </w:rPr>
        <w:t xml:space="preserve"> and Willi 2017; Lutz and </w:t>
      </w:r>
      <w:proofErr w:type="spellStart"/>
      <w:r w:rsidR="009F74E5" w:rsidRPr="00220038">
        <w:rPr>
          <w:rFonts w:cs="Times New Roman"/>
          <w:szCs w:val="22"/>
          <w:lang w:val="en-US"/>
        </w:rPr>
        <w:t>Lebert</w:t>
      </w:r>
      <w:proofErr w:type="spellEnd"/>
      <w:r w:rsidR="009F74E5" w:rsidRPr="00220038">
        <w:rPr>
          <w:rFonts w:cs="Times New Roman"/>
          <w:szCs w:val="22"/>
          <w:lang w:val="en-US"/>
        </w:rPr>
        <w:t xml:space="preserve"> 2017). </w:t>
      </w:r>
      <w:r w:rsidR="009F74E5" w:rsidRPr="00220038">
        <w:rPr>
          <w:lang w:val="en-US"/>
        </w:rPr>
        <w:t xml:space="preserve">Future research may want to establish the role and impact of alternative communication channels in the framework of electoral campaigning in Switzerland. </w:t>
      </w:r>
    </w:p>
    <w:p w14:paraId="4646E420" w14:textId="191C7DBB" w:rsidR="00666376" w:rsidRPr="00220038" w:rsidRDefault="00666376" w:rsidP="00666376">
      <w:pPr>
        <w:rPr>
          <w:lang w:val="en-US"/>
        </w:rPr>
      </w:pPr>
      <w:r w:rsidRPr="00220038">
        <w:rPr>
          <w:lang w:val="en-US"/>
        </w:rPr>
        <w:t xml:space="preserve">Despite these weaknesses, this study combined media content data with panel data and thus offers “more leverage with regard to change and causality” compared to other linkage studies that rely on descriptive, cross-sectional or RCS survey data (De </w:t>
      </w:r>
      <w:proofErr w:type="spellStart"/>
      <w:r w:rsidRPr="00220038">
        <w:rPr>
          <w:lang w:val="en-US"/>
        </w:rPr>
        <w:t>Vreese</w:t>
      </w:r>
      <w:proofErr w:type="spellEnd"/>
      <w:r w:rsidRPr="00220038">
        <w:rPr>
          <w:lang w:val="en-US"/>
        </w:rPr>
        <w:t xml:space="preserve"> et al. 2017: 223). Moreover</w:t>
      </w:r>
      <w:r w:rsidR="00B13F99" w:rsidRPr="00220038">
        <w:rPr>
          <w:lang w:val="en-US"/>
        </w:rPr>
        <w:t>,</w:t>
      </w:r>
      <w:r w:rsidRPr="00220038">
        <w:rPr>
          <w:lang w:val="en-US"/>
        </w:rPr>
        <w:t xml:space="preserve"> and to the best of the authors’ knowledge, it did so for the first time </w:t>
      </w:r>
      <w:r w:rsidR="00644D7B">
        <w:rPr>
          <w:lang w:val="en-US"/>
        </w:rPr>
        <w:t>to study campaign effects on vote intentions</w:t>
      </w:r>
      <w:r w:rsidRPr="00220038">
        <w:rPr>
          <w:lang w:val="en-US"/>
        </w:rPr>
        <w:t xml:space="preserve"> in Switzerland. </w:t>
      </w:r>
    </w:p>
    <w:p w14:paraId="28AA8800" w14:textId="77777777" w:rsidR="00666376" w:rsidRPr="00220038" w:rsidRDefault="00666376" w:rsidP="009F74E5">
      <w:pPr>
        <w:rPr>
          <w:lang w:val="en-US"/>
        </w:rPr>
      </w:pPr>
    </w:p>
    <w:p w14:paraId="313042D0" w14:textId="77777777" w:rsidR="00C0066A" w:rsidRPr="00220038" w:rsidRDefault="00C0066A">
      <w:pPr>
        <w:spacing w:after="0" w:line="240" w:lineRule="auto"/>
        <w:jc w:val="left"/>
        <w:rPr>
          <w:lang w:val="en-US"/>
        </w:rPr>
      </w:pPr>
      <w:r w:rsidRPr="00220038">
        <w:rPr>
          <w:lang w:val="en-US"/>
        </w:rPr>
        <w:br w:type="page"/>
      </w:r>
    </w:p>
    <w:p w14:paraId="23800519" w14:textId="448D2C09" w:rsidR="00C0066A" w:rsidRPr="00220038" w:rsidRDefault="00CC7A56" w:rsidP="00C0066A">
      <w:pPr>
        <w:pStyle w:val="Titre1"/>
        <w:rPr>
          <w:lang w:val="en-US"/>
        </w:rPr>
      </w:pPr>
      <w:r>
        <w:rPr>
          <w:lang w:val="en-US"/>
        </w:rPr>
        <w:lastRenderedPageBreak/>
        <w:t>References</w:t>
      </w:r>
    </w:p>
    <w:p w14:paraId="01505A44"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Alvarez, M. R., J. </w:t>
      </w:r>
      <w:proofErr w:type="spellStart"/>
      <w:r w:rsidRPr="00220038">
        <w:rPr>
          <w:rFonts w:cs="Times New Roman"/>
          <w:szCs w:val="22"/>
          <w:lang w:val="en-US"/>
        </w:rPr>
        <w:t>Nagler</w:t>
      </w:r>
      <w:proofErr w:type="spellEnd"/>
      <w:r w:rsidRPr="00220038">
        <w:rPr>
          <w:rFonts w:cs="Times New Roman"/>
          <w:szCs w:val="22"/>
          <w:lang w:val="en-US"/>
        </w:rPr>
        <w:t xml:space="preserve"> and S. Bowler (2000). Issues, Economics, and the Dynamics of Multiparty Elections: The British 1987 General Election. </w:t>
      </w:r>
      <w:r w:rsidRPr="00220038">
        <w:rPr>
          <w:rFonts w:cs="Times New Roman"/>
          <w:i/>
          <w:szCs w:val="22"/>
          <w:lang w:val="en-US"/>
        </w:rPr>
        <w:t>American Political Science Review</w:t>
      </w:r>
      <w:r w:rsidRPr="00220038">
        <w:rPr>
          <w:rFonts w:cs="Times New Roman"/>
          <w:szCs w:val="22"/>
          <w:lang w:val="en-US"/>
        </w:rPr>
        <w:t xml:space="preserve"> 94:131–149. </w:t>
      </w:r>
    </w:p>
    <w:p w14:paraId="02A38F70" w14:textId="77777777" w:rsidR="004634E4" w:rsidRPr="00220038" w:rsidRDefault="004634E4"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Ansolabehere</w:t>
      </w:r>
      <w:proofErr w:type="spellEnd"/>
      <w:r w:rsidRPr="00220038">
        <w:rPr>
          <w:rFonts w:cs="Times New Roman"/>
          <w:szCs w:val="22"/>
          <w:lang w:val="en-US"/>
        </w:rPr>
        <w:t xml:space="preserve">, S. and S. </w:t>
      </w:r>
      <w:proofErr w:type="spellStart"/>
      <w:r w:rsidRPr="00220038">
        <w:rPr>
          <w:rFonts w:cs="Times New Roman"/>
          <w:szCs w:val="22"/>
          <w:lang w:val="en-US"/>
        </w:rPr>
        <w:t>Iyengar</w:t>
      </w:r>
      <w:proofErr w:type="spellEnd"/>
      <w:r w:rsidRPr="00220038">
        <w:rPr>
          <w:rFonts w:cs="Times New Roman"/>
          <w:szCs w:val="22"/>
          <w:lang w:val="en-US"/>
        </w:rPr>
        <w:t xml:space="preserve"> (1996). </w:t>
      </w:r>
      <w:r w:rsidRPr="00220038">
        <w:rPr>
          <w:rFonts w:cs="Times New Roman"/>
          <w:i/>
          <w:lang w:val="en-US"/>
        </w:rPr>
        <w:t xml:space="preserve">Going Negative: How Political Advertisements Shrink and Polarize the Electorate. </w:t>
      </w:r>
      <w:r w:rsidRPr="00220038">
        <w:rPr>
          <w:rFonts w:cs="Times New Roman"/>
          <w:lang w:val="en-US"/>
        </w:rPr>
        <w:t>New York: The Free Press.</w:t>
      </w:r>
    </w:p>
    <w:p w14:paraId="57C28006"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APS (2016). Database: Political advertisements in the 2015 Federal Elections. Année Politique Suisse, Institute of Political Science, University of Bern.</w:t>
      </w:r>
    </w:p>
    <w:p w14:paraId="5BB63E54" w14:textId="6D63BCB8"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Arcen</w:t>
      </w:r>
      <w:r w:rsidR="00CC7A56">
        <w:rPr>
          <w:rFonts w:cs="Times New Roman"/>
          <w:szCs w:val="22"/>
          <w:lang w:val="en-US"/>
        </w:rPr>
        <w:t>e</w:t>
      </w:r>
      <w:r w:rsidRPr="00220038">
        <w:rPr>
          <w:rFonts w:cs="Times New Roman"/>
          <w:szCs w:val="22"/>
          <w:lang w:val="en-US"/>
        </w:rPr>
        <w:t xml:space="preserve">aux, K. (2006). Do Campaigns Help Voters Learn? A Cross-National Analysis. </w:t>
      </w:r>
      <w:r w:rsidRPr="00220038">
        <w:rPr>
          <w:rFonts w:cs="Times New Roman"/>
          <w:i/>
          <w:szCs w:val="22"/>
          <w:lang w:val="en-US"/>
        </w:rPr>
        <w:t>British Journal of Political Science</w:t>
      </w:r>
      <w:r w:rsidRPr="00220038">
        <w:rPr>
          <w:rFonts w:cs="Times New Roman"/>
          <w:szCs w:val="22"/>
          <w:lang w:val="en-US"/>
        </w:rPr>
        <w:t xml:space="preserve"> 36: 159–173.</w:t>
      </w:r>
    </w:p>
    <w:p w14:paraId="79820D6E" w14:textId="345CB111" w:rsidR="00C0066A" w:rsidRPr="00220038" w:rsidRDefault="00C02093" w:rsidP="00C0066A">
      <w:pPr>
        <w:pStyle w:val="Literaturverzeichnis2"/>
        <w:spacing w:after="60" w:line="240" w:lineRule="auto"/>
        <w:jc w:val="both"/>
        <w:rPr>
          <w:rFonts w:ascii="Times New Roman" w:hAnsi="Times New Roman" w:cs="Times New Roman"/>
          <w:sz w:val="22"/>
          <w:szCs w:val="22"/>
          <w:lang w:val="en-US"/>
        </w:rPr>
      </w:pPr>
      <w:r>
        <w:rPr>
          <w:rFonts w:ascii="Times New Roman" w:hAnsi="Times New Roman" w:cs="Times New Roman"/>
          <w:sz w:val="22"/>
          <w:szCs w:val="22"/>
        </w:rPr>
        <w:t>Bechtel, M. M.</w:t>
      </w:r>
      <w:r w:rsidR="00C0066A" w:rsidRPr="00220038">
        <w:rPr>
          <w:rFonts w:ascii="Times New Roman" w:hAnsi="Times New Roman" w:cs="Times New Roman"/>
          <w:sz w:val="22"/>
          <w:szCs w:val="22"/>
        </w:rPr>
        <w:t xml:space="preserve"> J. </w:t>
      </w:r>
      <w:proofErr w:type="spellStart"/>
      <w:r w:rsidR="00C0066A" w:rsidRPr="00220038">
        <w:rPr>
          <w:rFonts w:ascii="Times New Roman" w:hAnsi="Times New Roman" w:cs="Times New Roman"/>
          <w:sz w:val="22"/>
          <w:szCs w:val="22"/>
        </w:rPr>
        <w:t>Hainmueller</w:t>
      </w:r>
      <w:proofErr w:type="spellEnd"/>
      <w:r w:rsidR="00C0066A" w:rsidRPr="00220038">
        <w:rPr>
          <w:rFonts w:ascii="Times New Roman" w:hAnsi="Times New Roman" w:cs="Times New Roman"/>
          <w:sz w:val="22"/>
          <w:szCs w:val="22"/>
        </w:rPr>
        <w:t xml:space="preserve">, D. </w:t>
      </w:r>
      <w:proofErr w:type="spellStart"/>
      <w:r w:rsidR="00C0066A" w:rsidRPr="00220038">
        <w:rPr>
          <w:rFonts w:ascii="Times New Roman" w:hAnsi="Times New Roman" w:cs="Times New Roman"/>
          <w:sz w:val="22"/>
          <w:szCs w:val="22"/>
        </w:rPr>
        <w:t>Hangartner</w:t>
      </w:r>
      <w:proofErr w:type="spellEnd"/>
      <w:r w:rsidR="00C0066A" w:rsidRPr="00220038">
        <w:rPr>
          <w:rFonts w:ascii="Times New Roman" w:hAnsi="Times New Roman" w:cs="Times New Roman"/>
          <w:sz w:val="22"/>
          <w:szCs w:val="22"/>
        </w:rPr>
        <w:t xml:space="preserve"> </w:t>
      </w:r>
      <w:proofErr w:type="spellStart"/>
      <w:r w:rsidR="00C0066A" w:rsidRPr="00220038">
        <w:rPr>
          <w:rFonts w:ascii="Times New Roman" w:hAnsi="Times New Roman" w:cs="Times New Roman"/>
          <w:sz w:val="22"/>
          <w:szCs w:val="22"/>
        </w:rPr>
        <w:t>and</w:t>
      </w:r>
      <w:proofErr w:type="spellEnd"/>
      <w:r w:rsidR="00C0066A" w:rsidRPr="00220038">
        <w:rPr>
          <w:rFonts w:ascii="Times New Roman" w:hAnsi="Times New Roman" w:cs="Times New Roman"/>
          <w:sz w:val="22"/>
          <w:szCs w:val="22"/>
        </w:rPr>
        <w:t xml:space="preserve"> M. Helbling (2015). </w:t>
      </w:r>
      <w:r w:rsidR="00C0066A" w:rsidRPr="00220038">
        <w:rPr>
          <w:rFonts w:ascii="Times New Roman" w:hAnsi="Times New Roman" w:cs="Times New Roman"/>
          <w:sz w:val="22"/>
          <w:szCs w:val="22"/>
          <w:lang w:val="en-US"/>
        </w:rPr>
        <w:t xml:space="preserve">Reality Bites: The Limits of Framing Effects for Salient and Contested Policy Issues. </w:t>
      </w:r>
      <w:r w:rsidR="00C0066A" w:rsidRPr="00220038">
        <w:rPr>
          <w:rFonts w:ascii="Times New Roman" w:hAnsi="Times New Roman" w:cs="Times New Roman"/>
          <w:i/>
          <w:iCs/>
          <w:sz w:val="22"/>
          <w:szCs w:val="22"/>
          <w:lang w:val="en-US"/>
        </w:rPr>
        <w:t>Political Science Research and Methods</w:t>
      </w:r>
      <w:r w:rsidR="00C0066A" w:rsidRPr="00220038">
        <w:rPr>
          <w:rFonts w:ascii="Times New Roman" w:hAnsi="Times New Roman" w:cs="Times New Roman"/>
          <w:sz w:val="22"/>
          <w:szCs w:val="22"/>
          <w:lang w:val="en-US"/>
        </w:rPr>
        <w:t xml:space="preserve"> </w:t>
      </w:r>
      <w:r w:rsidR="00C0066A" w:rsidRPr="00220038">
        <w:rPr>
          <w:rFonts w:ascii="Times New Roman" w:hAnsi="Times New Roman" w:cs="Times New Roman"/>
          <w:i/>
          <w:iCs/>
          <w:sz w:val="22"/>
          <w:szCs w:val="22"/>
          <w:lang w:val="en-US"/>
        </w:rPr>
        <w:t>3</w:t>
      </w:r>
      <w:r w:rsidR="00C0066A" w:rsidRPr="00220038">
        <w:rPr>
          <w:rFonts w:ascii="Times New Roman" w:hAnsi="Times New Roman" w:cs="Times New Roman"/>
          <w:sz w:val="22"/>
          <w:szCs w:val="22"/>
          <w:lang w:val="en-US"/>
        </w:rPr>
        <w:t>(3): 683–695.</w:t>
      </w:r>
    </w:p>
    <w:p w14:paraId="0D4A2AE7" w14:textId="77777777" w:rsidR="00642481" w:rsidRPr="00220038" w:rsidRDefault="00642481" w:rsidP="00C0066A">
      <w:pPr>
        <w:pStyle w:val="Literaturverzeichnis2"/>
        <w:spacing w:after="60" w:line="240" w:lineRule="auto"/>
        <w:jc w:val="both"/>
        <w:rPr>
          <w:rFonts w:ascii="Times New Roman" w:hAnsi="Times New Roman" w:cs="Times New Roman"/>
          <w:sz w:val="22"/>
          <w:szCs w:val="22"/>
          <w:lang w:val="en-US"/>
        </w:rPr>
      </w:pPr>
      <w:proofErr w:type="spellStart"/>
      <w:r w:rsidRPr="00220038">
        <w:rPr>
          <w:rFonts w:ascii="Times New Roman" w:hAnsi="Times New Roman" w:cs="Times New Roman"/>
          <w:sz w:val="22"/>
          <w:szCs w:val="22"/>
          <w:lang w:val="en-US"/>
        </w:rPr>
        <w:t>Bélanger</w:t>
      </w:r>
      <w:proofErr w:type="spellEnd"/>
      <w:r w:rsidRPr="00220038">
        <w:rPr>
          <w:rFonts w:ascii="Times New Roman" w:hAnsi="Times New Roman" w:cs="Times New Roman"/>
          <w:sz w:val="22"/>
          <w:szCs w:val="22"/>
          <w:lang w:val="en-US"/>
        </w:rPr>
        <w:t xml:space="preserve">, E. (2003). Issue Ownership by Canadian Political Parties 1953-2001. </w:t>
      </w:r>
      <w:r w:rsidRPr="00220038">
        <w:rPr>
          <w:rFonts w:ascii="Times New Roman" w:hAnsi="Times New Roman" w:cs="Times New Roman"/>
          <w:i/>
          <w:sz w:val="22"/>
          <w:szCs w:val="22"/>
          <w:lang w:val="en-US"/>
        </w:rPr>
        <w:t>Canadian Journal of Political Science</w:t>
      </w:r>
      <w:r w:rsidRPr="00220038">
        <w:rPr>
          <w:rFonts w:ascii="Times New Roman" w:hAnsi="Times New Roman" w:cs="Times New Roman"/>
          <w:sz w:val="22"/>
          <w:szCs w:val="22"/>
          <w:lang w:val="en-US"/>
        </w:rPr>
        <w:t xml:space="preserve"> 36: 539-558.</w:t>
      </w:r>
    </w:p>
    <w:p w14:paraId="715C8FCB" w14:textId="27F28278" w:rsidR="00C0066A"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Bélanger</w:t>
      </w:r>
      <w:proofErr w:type="spellEnd"/>
      <w:r w:rsidRPr="00220038">
        <w:rPr>
          <w:rFonts w:cs="Times New Roman"/>
          <w:szCs w:val="22"/>
          <w:lang w:val="en-US"/>
        </w:rPr>
        <w:t xml:space="preserve">, E. and B. M. </w:t>
      </w:r>
      <w:proofErr w:type="spellStart"/>
      <w:r w:rsidRPr="00220038">
        <w:rPr>
          <w:rFonts w:cs="Times New Roman"/>
          <w:szCs w:val="22"/>
          <w:lang w:val="en-US"/>
        </w:rPr>
        <w:t>Meguid</w:t>
      </w:r>
      <w:proofErr w:type="spellEnd"/>
      <w:r w:rsidRPr="00220038">
        <w:rPr>
          <w:rFonts w:cs="Times New Roman"/>
          <w:szCs w:val="22"/>
          <w:lang w:val="en-US"/>
        </w:rPr>
        <w:t xml:space="preserve"> (2008). Issue Salience, Issue Ownership, and Issue-Based Vote Choice. </w:t>
      </w:r>
      <w:r w:rsidRPr="00220038">
        <w:rPr>
          <w:rFonts w:cs="Times New Roman"/>
          <w:i/>
          <w:szCs w:val="22"/>
          <w:lang w:val="en-US"/>
        </w:rPr>
        <w:t>Electoral Studies</w:t>
      </w:r>
      <w:r w:rsidRPr="00220038">
        <w:rPr>
          <w:rFonts w:cs="Times New Roman"/>
          <w:szCs w:val="22"/>
          <w:lang w:val="en-US"/>
        </w:rPr>
        <w:t xml:space="preserve"> 27(3): 477–491.</w:t>
      </w:r>
    </w:p>
    <w:p w14:paraId="26DAD263" w14:textId="6EE0E4AC" w:rsidR="001C0B2E" w:rsidRPr="00220038" w:rsidRDefault="001C0B2E" w:rsidP="001C0B2E">
      <w:pPr>
        <w:tabs>
          <w:tab w:val="left" w:pos="709"/>
        </w:tabs>
        <w:spacing w:after="60" w:line="240" w:lineRule="auto"/>
        <w:ind w:left="709" w:hanging="709"/>
        <w:rPr>
          <w:rFonts w:cs="Times New Roman"/>
          <w:szCs w:val="22"/>
          <w:lang w:val="en-US"/>
        </w:rPr>
      </w:pPr>
      <w:proofErr w:type="spellStart"/>
      <w:r>
        <w:rPr>
          <w:rFonts w:cs="Times New Roman"/>
          <w:szCs w:val="22"/>
          <w:lang w:val="en-US"/>
        </w:rPr>
        <w:t>Bochsler</w:t>
      </w:r>
      <w:proofErr w:type="spellEnd"/>
      <w:r>
        <w:rPr>
          <w:rFonts w:cs="Times New Roman"/>
          <w:szCs w:val="22"/>
          <w:lang w:val="en-US"/>
        </w:rPr>
        <w:t xml:space="preserve">, D., M.. Gerber and D. </w:t>
      </w:r>
      <w:proofErr w:type="spellStart"/>
      <w:r>
        <w:rPr>
          <w:rFonts w:cs="Times New Roman"/>
          <w:szCs w:val="22"/>
          <w:lang w:val="en-US"/>
        </w:rPr>
        <w:t>Zumbach</w:t>
      </w:r>
      <w:proofErr w:type="spellEnd"/>
      <w:r>
        <w:rPr>
          <w:rFonts w:cs="Times New Roman"/>
          <w:szCs w:val="22"/>
          <w:lang w:val="en-US"/>
        </w:rPr>
        <w:t xml:space="preserve"> (2016). The 2015 National Elections in Switzerland: Renewed Polarization and Shift to the Right. </w:t>
      </w:r>
      <w:r>
        <w:rPr>
          <w:rFonts w:cs="Times New Roman"/>
          <w:i/>
          <w:szCs w:val="22"/>
          <w:lang w:val="en-US"/>
        </w:rPr>
        <w:t>Regional and Federal Studies</w:t>
      </w:r>
      <w:r>
        <w:rPr>
          <w:rFonts w:cs="Times New Roman"/>
          <w:szCs w:val="22"/>
          <w:lang w:val="en-US"/>
        </w:rPr>
        <w:t xml:space="preserve"> 26(1): 95-106.</w:t>
      </w:r>
    </w:p>
    <w:p w14:paraId="07056193" w14:textId="77777777" w:rsidR="00642481" w:rsidRPr="00220038" w:rsidRDefault="00642481" w:rsidP="00642481">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Brader, T. (2005). Striking a Responsive Chord: How Political Ads Motivate and Persuade Voters by Appealing to Emotions. </w:t>
      </w:r>
      <w:r w:rsidRPr="00220038">
        <w:rPr>
          <w:rFonts w:cs="Times New Roman"/>
          <w:i/>
          <w:szCs w:val="22"/>
          <w:lang w:val="en-US"/>
        </w:rPr>
        <w:t>American Journal of Political Science</w:t>
      </w:r>
      <w:r w:rsidRPr="00220038">
        <w:rPr>
          <w:rFonts w:cs="Times New Roman"/>
          <w:szCs w:val="22"/>
          <w:lang w:val="en-US"/>
        </w:rPr>
        <w:t xml:space="preserve"> 49: 388-405.</w:t>
      </w:r>
    </w:p>
    <w:p w14:paraId="747CFD92" w14:textId="77777777" w:rsidR="00C0066A" w:rsidRPr="00220038" w:rsidRDefault="00C0066A" w:rsidP="00C0066A">
      <w:pPr>
        <w:tabs>
          <w:tab w:val="left" w:pos="709"/>
        </w:tabs>
        <w:spacing w:after="60" w:line="240" w:lineRule="auto"/>
        <w:ind w:left="709" w:hanging="709"/>
        <w:rPr>
          <w:rFonts w:cs="Times New Roman"/>
          <w:szCs w:val="22"/>
          <w:lang w:val="de-CH"/>
        </w:rPr>
      </w:pPr>
      <w:r w:rsidRPr="00220038">
        <w:rPr>
          <w:rFonts w:cs="Times New Roman"/>
          <w:szCs w:val="22"/>
          <w:lang w:val="en-US"/>
        </w:rPr>
        <w:t xml:space="preserve">Brady, H. and R. Johnston (2006). The Rolling Cross Section and Causal Attribution. In H. Brady and R. Johnston (eds.), </w:t>
      </w:r>
      <w:r w:rsidRPr="00220038">
        <w:rPr>
          <w:rFonts w:cs="Times New Roman"/>
          <w:i/>
          <w:szCs w:val="22"/>
          <w:lang w:val="en-US"/>
        </w:rPr>
        <w:t>Capturing Campaign Effects</w:t>
      </w:r>
      <w:r w:rsidRPr="00220038">
        <w:rPr>
          <w:rFonts w:cs="Times New Roman"/>
          <w:szCs w:val="22"/>
          <w:lang w:val="en-US"/>
        </w:rPr>
        <w:t xml:space="preserve">. </w:t>
      </w:r>
      <w:r w:rsidRPr="00220038">
        <w:rPr>
          <w:rFonts w:cs="Times New Roman"/>
          <w:szCs w:val="22"/>
          <w:lang w:val="de-CH"/>
        </w:rPr>
        <w:t xml:space="preserve">Ann Arbor: University </w:t>
      </w:r>
      <w:proofErr w:type="spellStart"/>
      <w:r w:rsidRPr="00220038">
        <w:rPr>
          <w:rFonts w:cs="Times New Roman"/>
          <w:szCs w:val="22"/>
          <w:lang w:val="de-CH"/>
        </w:rPr>
        <w:t>of</w:t>
      </w:r>
      <w:proofErr w:type="spellEnd"/>
      <w:r w:rsidRPr="00220038">
        <w:rPr>
          <w:rFonts w:cs="Times New Roman"/>
          <w:szCs w:val="22"/>
          <w:lang w:val="de-CH"/>
        </w:rPr>
        <w:t xml:space="preserve"> Michigan Press (p. 164–195). </w:t>
      </w:r>
    </w:p>
    <w:p w14:paraId="7A18BA94" w14:textId="25877F45" w:rsidR="00C0066A" w:rsidRPr="00220038" w:rsidRDefault="00C02093" w:rsidP="00C0066A">
      <w:pPr>
        <w:tabs>
          <w:tab w:val="left" w:pos="709"/>
        </w:tabs>
        <w:spacing w:after="60" w:line="240" w:lineRule="auto"/>
        <w:ind w:left="709" w:hanging="709"/>
        <w:rPr>
          <w:rFonts w:cs="Times New Roman"/>
          <w:szCs w:val="22"/>
          <w:lang w:val="en-US"/>
        </w:rPr>
      </w:pPr>
      <w:proofErr w:type="spellStart"/>
      <w:r>
        <w:rPr>
          <w:rFonts w:cs="Times New Roman"/>
          <w:szCs w:val="22"/>
          <w:lang w:val="de-CH"/>
        </w:rPr>
        <w:t>Bühlmann</w:t>
      </w:r>
      <w:proofErr w:type="spellEnd"/>
      <w:r>
        <w:rPr>
          <w:rFonts w:cs="Times New Roman"/>
          <w:szCs w:val="22"/>
          <w:lang w:val="de-CH"/>
        </w:rPr>
        <w:t xml:space="preserve">, M, M. Gerber </w:t>
      </w:r>
      <w:proofErr w:type="spellStart"/>
      <w:r>
        <w:rPr>
          <w:rFonts w:cs="Times New Roman"/>
          <w:szCs w:val="22"/>
          <w:lang w:val="de-CH"/>
        </w:rPr>
        <w:t>and</w:t>
      </w:r>
      <w:proofErr w:type="spellEnd"/>
      <w:r>
        <w:rPr>
          <w:rFonts w:cs="Times New Roman"/>
          <w:szCs w:val="22"/>
          <w:lang w:val="de-CH"/>
        </w:rPr>
        <w:t xml:space="preserve"> D.</w:t>
      </w:r>
      <w:r w:rsidR="00C0066A" w:rsidRPr="00220038">
        <w:rPr>
          <w:rFonts w:cs="Times New Roman"/>
          <w:szCs w:val="22"/>
          <w:lang w:val="de-CH"/>
        </w:rPr>
        <w:t xml:space="preserve"> </w:t>
      </w:r>
      <w:proofErr w:type="spellStart"/>
      <w:r w:rsidR="00C0066A" w:rsidRPr="00220038">
        <w:rPr>
          <w:rFonts w:cs="Times New Roman"/>
          <w:szCs w:val="22"/>
          <w:lang w:val="de-CH"/>
        </w:rPr>
        <w:t>Zumbach</w:t>
      </w:r>
      <w:proofErr w:type="spellEnd"/>
      <w:r w:rsidR="00C0066A" w:rsidRPr="00220038">
        <w:rPr>
          <w:rFonts w:cs="Times New Roman"/>
          <w:szCs w:val="22"/>
          <w:lang w:val="de-CH"/>
        </w:rPr>
        <w:t xml:space="preserve"> (2015a). Wahlkampf 2015: Die Parteien in den Medien. </w:t>
      </w:r>
      <w:r w:rsidR="00C0066A" w:rsidRPr="00220038">
        <w:rPr>
          <w:rFonts w:cs="Times New Roman"/>
          <w:i/>
          <w:iCs/>
          <w:szCs w:val="22"/>
          <w:lang w:val="en-US"/>
        </w:rPr>
        <w:t>Newsletter 38</w:t>
      </w:r>
      <w:r w:rsidR="00C0066A" w:rsidRPr="00220038">
        <w:rPr>
          <w:rFonts w:cs="Times New Roman"/>
          <w:szCs w:val="22"/>
          <w:lang w:val="en-US"/>
        </w:rPr>
        <w:t xml:space="preserve">. </w:t>
      </w:r>
      <w:r w:rsidR="00C0066A" w:rsidRPr="00220038">
        <w:rPr>
          <w:rFonts w:cs="Times New Roman"/>
          <w:color w:val="000000"/>
          <w:szCs w:val="22"/>
          <w:lang w:val="en-US"/>
        </w:rPr>
        <w:t>Available at</w:t>
      </w:r>
      <w:r w:rsidR="00C0066A" w:rsidRPr="00220038">
        <w:rPr>
          <w:rFonts w:cs="Times New Roman"/>
          <w:szCs w:val="22"/>
          <w:lang w:val="en-US"/>
        </w:rPr>
        <w:t xml:space="preserve"> http://chronik-on.eurospider.com/chronik-on-newsletter.20151016.html (last accessed: 15.8.17).</w:t>
      </w:r>
    </w:p>
    <w:p w14:paraId="21BAB960" w14:textId="3E456AE5" w:rsidR="00C0066A" w:rsidRPr="00220038" w:rsidRDefault="00C02093" w:rsidP="00C0066A">
      <w:pPr>
        <w:tabs>
          <w:tab w:val="left" w:pos="709"/>
        </w:tabs>
        <w:spacing w:after="60" w:line="240" w:lineRule="auto"/>
        <w:ind w:left="709" w:hanging="709"/>
        <w:rPr>
          <w:rFonts w:cs="Times New Roman"/>
          <w:szCs w:val="22"/>
          <w:lang w:val="en-US"/>
        </w:rPr>
      </w:pPr>
      <w:proofErr w:type="spellStart"/>
      <w:r>
        <w:rPr>
          <w:rFonts w:cs="Times New Roman"/>
          <w:szCs w:val="22"/>
          <w:lang w:val="de-CH"/>
        </w:rPr>
        <w:t>Bühlmann</w:t>
      </w:r>
      <w:proofErr w:type="spellEnd"/>
      <w:r>
        <w:rPr>
          <w:rFonts w:cs="Times New Roman"/>
          <w:szCs w:val="22"/>
          <w:lang w:val="de-CH"/>
        </w:rPr>
        <w:t xml:space="preserve">, M., M. Gerber </w:t>
      </w:r>
      <w:proofErr w:type="spellStart"/>
      <w:r>
        <w:rPr>
          <w:rFonts w:cs="Times New Roman"/>
          <w:szCs w:val="22"/>
          <w:lang w:val="de-CH"/>
        </w:rPr>
        <w:t>and</w:t>
      </w:r>
      <w:proofErr w:type="spellEnd"/>
      <w:r>
        <w:rPr>
          <w:rFonts w:cs="Times New Roman"/>
          <w:szCs w:val="22"/>
          <w:lang w:val="de-CH"/>
        </w:rPr>
        <w:t xml:space="preserve"> D.</w:t>
      </w:r>
      <w:r w:rsidR="00C0066A" w:rsidRPr="00220038">
        <w:rPr>
          <w:rFonts w:cs="Times New Roman"/>
          <w:szCs w:val="22"/>
          <w:lang w:val="de-CH"/>
        </w:rPr>
        <w:t xml:space="preserve"> </w:t>
      </w:r>
      <w:proofErr w:type="spellStart"/>
      <w:r w:rsidR="00C0066A" w:rsidRPr="00220038">
        <w:rPr>
          <w:rFonts w:cs="Times New Roman"/>
          <w:szCs w:val="22"/>
          <w:lang w:val="de-CH"/>
        </w:rPr>
        <w:t>Zumbach</w:t>
      </w:r>
      <w:proofErr w:type="spellEnd"/>
      <w:r w:rsidR="00C0066A" w:rsidRPr="00220038">
        <w:rPr>
          <w:rFonts w:cs="Times New Roman"/>
          <w:szCs w:val="22"/>
          <w:lang w:val="de-CH"/>
        </w:rPr>
        <w:t xml:space="preserve"> (2015b). Wahlkampf 2015: Die Parteien in den Medien. </w:t>
      </w:r>
      <w:r w:rsidR="00C0066A" w:rsidRPr="00220038">
        <w:rPr>
          <w:rFonts w:cs="Times New Roman"/>
          <w:i/>
          <w:iCs/>
          <w:szCs w:val="22"/>
          <w:lang w:val="en-US"/>
        </w:rPr>
        <w:t>Newsletter 28</w:t>
      </w:r>
      <w:r w:rsidR="00C0066A" w:rsidRPr="00220038">
        <w:rPr>
          <w:rFonts w:cs="Times New Roman"/>
          <w:szCs w:val="22"/>
          <w:lang w:val="en-US"/>
        </w:rPr>
        <w:t xml:space="preserve">. </w:t>
      </w:r>
      <w:r w:rsidR="00C0066A" w:rsidRPr="00220038">
        <w:rPr>
          <w:rFonts w:cs="Times New Roman"/>
          <w:color w:val="000000"/>
          <w:szCs w:val="22"/>
          <w:lang w:val="en-US"/>
        </w:rPr>
        <w:t>Available at</w:t>
      </w:r>
      <w:r w:rsidR="00C0066A" w:rsidRPr="00220038">
        <w:rPr>
          <w:rFonts w:cs="Times New Roman"/>
          <w:szCs w:val="22"/>
          <w:lang w:val="en-US"/>
        </w:rPr>
        <w:t xml:space="preserve"> http://chronik-on.eurospider.com/chronik-on-newsletter.20150803.html (last accessed: 15.8.17)</w:t>
      </w:r>
    </w:p>
    <w:p w14:paraId="13666A39"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Bühlmann</w:t>
      </w:r>
      <w:proofErr w:type="spellEnd"/>
      <w:r w:rsidRPr="00220038">
        <w:rPr>
          <w:rFonts w:cs="Times New Roman"/>
          <w:szCs w:val="22"/>
          <w:lang w:val="en-US"/>
        </w:rPr>
        <w:t xml:space="preserve">, M., D. </w:t>
      </w:r>
      <w:proofErr w:type="spellStart"/>
      <w:r w:rsidRPr="00220038">
        <w:rPr>
          <w:rFonts w:cs="Times New Roman"/>
          <w:szCs w:val="22"/>
          <w:lang w:val="en-US"/>
        </w:rPr>
        <w:t>Zumbach</w:t>
      </w:r>
      <w:proofErr w:type="spellEnd"/>
      <w:r w:rsidRPr="00220038">
        <w:rPr>
          <w:rFonts w:cs="Times New Roman"/>
          <w:szCs w:val="22"/>
          <w:lang w:val="en-US"/>
        </w:rPr>
        <w:t xml:space="preserve">, M. Gerber and A. Heidelberger (2016) </w:t>
      </w:r>
      <w:r w:rsidRPr="00220038">
        <w:rPr>
          <w:rFonts w:cs="Times New Roman"/>
          <w:i/>
          <w:szCs w:val="22"/>
          <w:lang w:val="en-US"/>
        </w:rPr>
        <w:t xml:space="preserve">Cherry Picking at the 2015 Swiss Federal Elections: The Influence of Electoral Campaigning on </w:t>
      </w:r>
      <w:proofErr w:type="spellStart"/>
      <w:r w:rsidRPr="00220038">
        <w:rPr>
          <w:rFonts w:cs="Times New Roman"/>
          <w:i/>
          <w:szCs w:val="22"/>
          <w:lang w:val="en-US"/>
        </w:rPr>
        <w:t>Panachage</w:t>
      </w:r>
      <w:proofErr w:type="spellEnd"/>
      <w:r w:rsidRPr="00220038">
        <w:rPr>
          <w:rFonts w:cs="Times New Roman"/>
          <w:i/>
          <w:szCs w:val="22"/>
          <w:lang w:val="en-US"/>
        </w:rPr>
        <w:t xml:space="preserve"> and Cumulation</w:t>
      </w:r>
      <w:r w:rsidRPr="00220038">
        <w:rPr>
          <w:rFonts w:cs="Times New Roman"/>
          <w:szCs w:val="22"/>
          <w:lang w:val="en-US"/>
        </w:rPr>
        <w:t>. Paper presented at the 10</w:t>
      </w:r>
      <w:r w:rsidRPr="00220038">
        <w:rPr>
          <w:rFonts w:cs="Times New Roman"/>
          <w:szCs w:val="22"/>
          <w:vertAlign w:val="superscript"/>
          <w:lang w:val="en-US"/>
        </w:rPr>
        <w:t>th</w:t>
      </w:r>
      <w:r w:rsidRPr="00220038">
        <w:rPr>
          <w:rFonts w:cs="Times New Roman"/>
          <w:szCs w:val="22"/>
          <w:lang w:val="en-US"/>
        </w:rPr>
        <w:t xml:space="preserve"> </w:t>
      </w:r>
      <w:proofErr w:type="spellStart"/>
      <w:r w:rsidRPr="00220038">
        <w:rPr>
          <w:rFonts w:cs="Times New Roman"/>
          <w:szCs w:val="22"/>
          <w:lang w:val="en-US"/>
        </w:rPr>
        <w:t>ECPR</w:t>
      </w:r>
      <w:proofErr w:type="spellEnd"/>
      <w:r w:rsidRPr="00220038">
        <w:rPr>
          <w:rFonts w:cs="Times New Roman"/>
          <w:szCs w:val="22"/>
          <w:lang w:val="en-US"/>
        </w:rPr>
        <w:t xml:space="preserve"> General Conference, Prague. </w:t>
      </w:r>
    </w:p>
    <w:p w14:paraId="5B05D815"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Bütikofer</w:t>
      </w:r>
      <w:proofErr w:type="spellEnd"/>
      <w:r w:rsidRPr="00220038">
        <w:rPr>
          <w:rFonts w:cs="Times New Roman"/>
          <w:szCs w:val="22"/>
          <w:lang w:val="en-US"/>
        </w:rPr>
        <w:t xml:space="preserve">, S. and T. Willi (2017). </w:t>
      </w:r>
      <w:r w:rsidRPr="00220038">
        <w:rPr>
          <w:rFonts w:cs="Times New Roman"/>
          <w:szCs w:val="22"/>
          <w:lang w:val="de-CH"/>
        </w:rPr>
        <w:t xml:space="preserve">Mit dem richtigen Hashtag die Abstimmung gewinnen? </w:t>
      </w:r>
      <w:r w:rsidRPr="00220038">
        <w:rPr>
          <w:rFonts w:cs="Times New Roman"/>
          <w:szCs w:val="22"/>
          <w:lang w:val="en-US"/>
        </w:rPr>
        <w:t xml:space="preserve">In A. </w:t>
      </w:r>
      <w:proofErr w:type="spellStart"/>
      <w:r w:rsidRPr="00220038">
        <w:rPr>
          <w:rFonts w:cs="Times New Roman"/>
          <w:szCs w:val="22"/>
          <w:lang w:val="en-US"/>
        </w:rPr>
        <w:t>Fiechter</w:t>
      </w:r>
      <w:proofErr w:type="spellEnd"/>
      <w:r w:rsidRPr="00220038">
        <w:rPr>
          <w:rFonts w:cs="Times New Roman"/>
          <w:szCs w:val="22"/>
          <w:lang w:val="en-US"/>
        </w:rPr>
        <w:t xml:space="preserve"> (ed.) Smartphone-</w:t>
      </w:r>
      <w:proofErr w:type="spellStart"/>
      <w:r w:rsidRPr="00220038">
        <w:rPr>
          <w:rFonts w:cs="Times New Roman"/>
          <w:szCs w:val="22"/>
          <w:lang w:val="en-US"/>
        </w:rPr>
        <w:t>Demokratie</w:t>
      </w:r>
      <w:proofErr w:type="spellEnd"/>
      <w:r w:rsidRPr="00220038">
        <w:rPr>
          <w:rFonts w:cs="Times New Roman"/>
          <w:szCs w:val="22"/>
          <w:lang w:val="en-US"/>
        </w:rPr>
        <w:t xml:space="preserve">. Zürich: </w:t>
      </w:r>
      <w:proofErr w:type="spellStart"/>
      <w:r w:rsidRPr="00220038">
        <w:rPr>
          <w:rFonts w:cs="Times New Roman"/>
          <w:szCs w:val="22"/>
          <w:lang w:val="en-US"/>
        </w:rPr>
        <w:t>NZZ</w:t>
      </w:r>
      <w:proofErr w:type="spellEnd"/>
      <w:r w:rsidRPr="00220038">
        <w:rPr>
          <w:rFonts w:cs="Times New Roman"/>
          <w:szCs w:val="22"/>
          <w:lang w:val="en-US"/>
        </w:rPr>
        <w:t xml:space="preserve"> Libro (pg. 80–90). </w:t>
      </w:r>
    </w:p>
    <w:p w14:paraId="440A17E6" w14:textId="77777777" w:rsidR="00C0066A" w:rsidRPr="00220038" w:rsidRDefault="00C0066A" w:rsidP="00C0066A">
      <w:pPr>
        <w:pStyle w:val="Literaturverzeichnis2"/>
        <w:spacing w:after="60" w:line="240" w:lineRule="auto"/>
        <w:jc w:val="both"/>
        <w:rPr>
          <w:rFonts w:ascii="Times New Roman" w:hAnsi="Times New Roman" w:cs="Times New Roman"/>
          <w:sz w:val="22"/>
          <w:szCs w:val="22"/>
          <w:lang w:val="en-US"/>
        </w:rPr>
      </w:pPr>
      <w:r w:rsidRPr="00220038">
        <w:rPr>
          <w:rFonts w:ascii="Times New Roman" w:hAnsi="Times New Roman" w:cs="Times New Roman"/>
          <w:sz w:val="22"/>
          <w:szCs w:val="22"/>
          <w:lang w:val="en-US"/>
        </w:rPr>
        <w:t xml:space="preserve">Chong, D. and J. N. </w:t>
      </w:r>
      <w:proofErr w:type="spellStart"/>
      <w:r w:rsidRPr="00220038">
        <w:rPr>
          <w:rFonts w:ascii="Times New Roman" w:hAnsi="Times New Roman" w:cs="Times New Roman"/>
          <w:sz w:val="22"/>
          <w:szCs w:val="22"/>
          <w:lang w:val="en-US"/>
        </w:rPr>
        <w:t>Druckman</w:t>
      </w:r>
      <w:proofErr w:type="spellEnd"/>
      <w:r w:rsidRPr="00220038">
        <w:rPr>
          <w:rFonts w:ascii="Times New Roman" w:hAnsi="Times New Roman" w:cs="Times New Roman"/>
          <w:sz w:val="22"/>
          <w:szCs w:val="22"/>
          <w:lang w:val="en-US"/>
        </w:rPr>
        <w:t xml:space="preserve"> (2007). Framing Theory. Annual Review of Political Science 10: 103–126.</w:t>
      </w:r>
    </w:p>
    <w:p w14:paraId="5243A533" w14:textId="77777777" w:rsidR="00F407D6" w:rsidRPr="00220038" w:rsidRDefault="00F407D6" w:rsidP="00F407D6">
      <w:pPr>
        <w:tabs>
          <w:tab w:val="left" w:pos="709"/>
        </w:tabs>
        <w:spacing w:after="120" w:line="240" w:lineRule="auto"/>
        <w:ind w:left="709" w:hanging="709"/>
        <w:rPr>
          <w:rFonts w:cs="Times New Roman"/>
          <w:lang w:val="en-US"/>
        </w:rPr>
      </w:pPr>
      <w:r w:rsidRPr="00220038">
        <w:rPr>
          <w:rFonts w:cs="Times New Roman"/>
          <w:lang w:val="en-US"/>
        </w:rPr>
        <w:t xml:space="preserve">Clarke, H., D. Sanders, M. Stewart and P. </w:t>
      </w:r>
      <w:proofErr w:type="spellStart"/>
      <w:r w:rsidRPr="00220038">
        <w:rPr>
          <w:rFonts w:cs="Times New Roman"/>
          <w:lang w:val="en-US"/>
        </w:rPr>
        <w:t>Whiteley</w:t>
      </w:r>
      <w:proofErr w:type="spellEnd"/>
      <w:r w:rsidRPr="00220038">
        <w:rPr>
          <w:rFonts w:cs="Times New Roman"/>
          <w:lang w:val="en-US"/>
        </w:rPr>
        <w:t xml:space="preserve"> (2011). Valence Politics and Electoral Choice in Britain, 2010. </w:t>
      </w:r>
      <w:r w:rsidRPr="00220038">
        <w:rPr>
          <w:rFonts w:cs="Times New Roman"/>
          <w:i/>
          <w:lang w:val="en-US"/>
        </w:rPr>
        <w:t xml:space="preserve">Journal of Elections, Public Opinions and Parties </w:t>
      </w:r>
      <w:r w:rsidRPr="00220038">
        <w:rPr>
          <w:rFonts w:cs="Times New Roman"/>
          <w:lang w:val="en-US"/>
        </w:rPr>
        <w:t>21(2): 237-253.</w:t>
      </w:r>
    </w:p>
    <w:p w14:paraId="2130C3AC"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Da Silveira, B. S. and J. M. De Mello (2011). Campaign Advertising and Election Outcomes: Quasi-Natural Experiment Evidence from Gubernatorial Elections in Brazil. </w:t>
      </w:r>
      <w:r w:rsidRPr="00220038">
        <w:rPr>
          <w:rFonts w:cs="Times New Roman"/>
          <w:i/>
          <w:szCs w:val="22"/>
          <w:lang w:val="en-US"/>
        </w:rPr>
        <w:t>The Review of Economic Studies</w:t>
      </w:r>
      <w:r w:rsidRPr="00220038">
        <w:rPr>
          <w:rFonts w:cs="Times New Roman"/>
          <w:szCs w:val="22"/>
          <w:lang w:val="en-US"/>
        </w:rPr>
        <w:t>, 78: 590-612.</w:t>
      </w:r>
    </w:p>
    <w:p w14:paraId="66CF6E1B" w14:textId="77777777" w:rsidR="000F79D1" w:rsidRPr="00220038" w:rsidRDefault="000F79D1"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De </w:t>
      </w:r>
      <w:proofErr w:type="spellStart"/>
      <w:r w:rsidRPr="00220038">
        <w:rPr>
          <w:rFonts w:cs="Times New Roman"/>
          <w:szCs w:val="22"/>
          <w:lang w:val="en-US"/>
        </w:rPr>
        <w:t>Vreese</w:t>
      </w:r>
      <w:proofErr w:type="spellEnd"/>
      <w:r w:rsidRPr="00220038">
        <w:rPr>
          <w:rFonts w:cs="Times New Roman"/>
          <w:szCs w:val="22"/>
          <w:lang w:val="en-US"/>
        </w:rPr>
        <w:t xml:space="preserve">, C. H., M. </w:t>
      </w:r>
      <w:proofErr w:type="spellStart"/>
      <w:r w:rsidRPr="00220038">
        <w:rPr>
          <w:rFonts w:cs="Times New Roman"/>
          <w:szCs w:val="22"/>
          <w:lang w:val="en-US"/>
        </w:rPr>
        <w:t>Boukes</w:t>
      </w:r>
      <w:proofErr w:type="spellEnd"/>
      <w:r w:rsidRPr="00220038">
        <w:rPr>
          <w:rFonts w:cs="Times New Roman"/>
          <w:szCs w:val="22"/>
          <w:lang w:val="en-US"/>
        </w:rPr>
        <w:t xml:space="preserve">, A. Schuck, R. </w:t>
      </w:r>
      <w:proofErr w:type="spellStart"/>
      <w:r w:rsidRPr="00220038">
        <w:rPr>
          <w:rFonts w:cs="Times New Roman"/>
          <w:szCs w:val="22"/>
          <w:lang w:val="en-US"/>
        </w:rPr>
        <w:t>Vliegenthart</w:t>
      </w:r>
      <w:proofErr w:type="spellEnd"/>
      <w:r w:rsidRPr="00220038">
        <w:rPr>
          <w:rFonts w:cs="Times New Roman"/>
          <w:szCs w:val="22"/>
          <w:lang w:val="en-US"/>
        </w:rPr>
        <w:t xml:space="preserve">, L. Bos and Y. </w:t>
      </w:r>
      <w:proofErr w:type="spellStart"/>
      <w:r w:rsidRPr="00220038">
        <w:rPr>
          <w:rFonts w:cs="Times New Roman"/>
          <w:szCs w:val="22"/>
          <w:lang w:val="en-US"/>
        </w:rPr>
        <w:t>Lelkes</w:t>
      </w:r>
      <w:proofErr w:type="spellEnd"/>
      <w:r w:rsidRPr="00220038">
        <w:rPr>
          <w:rFonts w:cs="Times New Roman"/>
          <w:szCs w:val="22"/>
          <w:lang w:val="en-US"/>
        </w:rPr>
        <w:t xml:space="preserve"> (2017). Linking </w:t>
      </w:r>
      <w:proofErr w:type="spellStart"/>
      <w:r w:rsidRPr="00220038">
        <w:rPr>
          <w:rFonts w:cs="Times New Roman"/>
          <w:szCs w:val="22"/>
          <w:lang w:val="en-US"/>
        </w:rPr>
        <w:t>Surve</w:t>
      </w:r>
      <w:proofErr w:type="spellEnd"/>
      <w:r w:rsidRPr="00220038">
        <w:rPr>
          <w:rFonts w:cs="Times New Roman"/>
          <w:szCs w:val="22"/>
          <w:lang w:val="en-US"/>
        </w:rPr>
        <w:t xml:space="preserve"> and Media Content Data: Opportunities, Considerations, and Pitfalls. </w:t>
      </w:r>
      <w:r w:rsidRPr="00220038">
        <w:rPr>
          <w:rFonts w:cs="Times New Roman"/>
          <w:i/>
          <w:szCs w:val="22"/>
          <w:lang w:val="en-US"/>
        </w:rPr>
        <w:t>Communication Methods and Measures</w:t>
      </w:r>
      <w:r w:rsidRPr="00220038">
        <w:rPr>
          <w:rFonts w:cs="Times New Roman"/>
          <w:szCs w:val="22"/>
          <w:lang w:val="en-US"/>
        </w:rPr>
        <w:t xml:space="preserve"> 11(4): 221–244.</w:t>
      </w:r>
    </w:p>
    <w:p w14:paraId="3EBFECBB" w14:textId="77777777" w:rsidR="008610A8" w:rsidRPr="00220038" w:rsidRDefault="008610A8" w:rsidP="008610A8">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De </w:t>
      </w:r>
      <w:proofErr w:type="spellStart"/>
      <w:r w:rsidRPr="00220038">
        <w:rPr>
          <w:rFonts w:cs="Times New Roman"/>
          <w:szCs w:val="22"/>
          <w:lang w:val="en-US"/>
        </w:rPr>
        <w:t>Vreese</w:t>
      </w:r>
      <w:proofErr w:type="spellEnd"/>
      <w:r w:rsidRPr="00220038">
        <w:rPr>
          <w:rFonts w:cs="Times New Roman"/>
          <w:szCs w:val="22"/>
          <w:lang w:val="en-US"/>
        </w:rPr>
        <w:t xml:space="preserve">, C. H. and H. A. </w:t>
      </w:r>
      <w:proofErr w:type="spellStart"/>
      <w:r w:rsidRPr="00220038">
        <w:rPr>
          <w:rFonts w:cs="Times New Roman"/>
          <w:szCs w:val="22"/>
          <w:lang w:val="en-US"/>
        </w:rPr>
        <w:t>Semetko</w:t>
      </w:r>
      <w:proofErr w:type="spellEnd"/>
      <w:r w:rsidRPr="00220038">
        <w:rPr>
          <w:rFonts w:cs="Times New Roman"/>
          <w:szCs w:val="22"/>
          <w:lang w:val="en-US"/>
        </w:rPr>
        <w:t xml:space="preserve"> (2004). News Matters: Influences on the vote in the Danish 2000 Euro referendum campaign. </w:t>
      </w:r>
      <w:r w:rsidRPr="00220038">
        <w:rPr>
          <w:rFonts w:cs="Times New Roman"/>
          <w:i/>
          <w:szCs w:val="22"/>
          <w:lang w:val="en-US"/>
        </w:rPr>
        <w:t>European Journal of Political Research</w:t>
      </w:r>
      <w:r w:rsidRPr="00220038">
        <w:rPr>
          <w:rFonts w:cs="Times New Roman"/>
          <w:szCs w:val="22"/>
          <w:lang w:val="en-US"/>
        </w:rPr>
        <w:t xml:space="preserve"> 43(5): 699–722.</w:t>
      </w:r>
    </w:p>
    <w:p w14:paraId="1531DF49" w14:textId="77777777" w:rsidR="00C0066A" w:rsidRPr="00220038" w:rsidRDefault="00C0066A" w:rsidP="00C0066A">
      <w:pPr>
        <w:tabs>
          <w:tab w:val="left" w:pos="709"/>
        </w:tabs>
        <w:spacing w:after="60" w:line="240" w:lineRule="auto"/>
        <w:ind w:left="709" w:hanging="709"/>
        <w:rPr>
          <w:rFonts w:cs="Times New Roman"/>
          <w:szCs w:val="22"/>
          <w:lang w:val="en-US"/>
        </w:rPr>
      </w:pPr>
      <w:r w:rsidRPr="00F401B7">
        <w:rPr>
          <w:rFonts w:cs="Times New Roman"/>
          <w:szCs w:val="22"/>
          <w:lang w:val="en-US"/>
        </w:rPr>
        <w:t xml:space="preserve">Durante, R. and E. Gutierrez (2014). </w:t>
      </w:r>
      <w:r w:rsidRPr="00220038">
        <w:rPr>
          <w:rFonts w:cs="Times New Roman"/>
          <w:i/>
          <w:szCs w:val="22"/>
          <w:lang w:val="en-US"/>
        </w:rPr>
        <w:t>Political Advertising and Voting Intentions: Evidence from Exogenous Variation in Ads Viewership</w:t>
      </w:r>
      <w:r w:rsidRPr="00220038">
        <w:rPr>
          <w:rFonts w:cs="Times New Roman"/>
          <w:szCs w:val="22"/>
          <w:lang w:val="en-US"/>
        </w:rPr>
        <w:t>. Working Paper Sciences Po.</w:t>
      </w:r>
    </w:p>
    <w:p w14:paraId="354FA413" w14:textId="77777777" w:rsidR="00C0066A" w:rsidRPr="00220038" w:rsidRDefault="00C0066A" w:rsidP="00C0066A">
      <w:pPr>
        <w:pStyle w:val="Literaturverzeichnis2"/>
        <w:spacing w:after="60" w:line="240" w:lineRule="auto"/>
        <w:jc w:val="both"/>
        <w:rPr>
          <w:rFonts w:ascii="Times New Roman" w:hAnsi="Times New Roman" w:cs="Times New Roman"/>
          <w:sz w:val="22"/>
          <w:szCs w:val="22"/>
          <w:lang w:val="en-US"/>
        </w:rPr>
      </w:pPr>
      <w:r w:rsidRPr="00220038">
        <w:rPr>
          <w:rFonts w:ascii="Times New Roman" w:hAnsi="Times New Roman" w:cs="Times New Roman"/>
          <w:sz w:val="22"/>
          <w:szCs w:val="22"/>
          <w:lang w:val="en-US"/>
        </w:rPr>
        <w:t xml:space="preserve">Fiske, S. T. and S. E. Taylor (1991). </w:t>
      </w:r>
      <w:r w:rsidRPr="00220038">
        <w:rPr>
          <w:rFonts w:ascii="Times New Roman" w:hAnsi="Times New Roman" w:cs="Times New Roman"/>
          <w:i/>
          <w:iCs/>
          <w:sz w:val="22"/>
          <w:szCs w:val="22"/>
          <w:lang w:val="en-US"/>
        </w:rPr>
        <w:t>Social Cognition</w:t>
      </w:r>
      <w:r w:rsidRPr="00220038">
        <w:rPr>
          <w:rFonts w:ascii="Times New Roman" w:hAnsi="Times New Roman" w:cs="Times New Roman"/>
          <w:sz w:val="22"/>
          <w:szCs w:val="22"/>
          <w:lang w:val="en-US"/>
        </w:rPr>
        <w:t>. New York: McGraw-Hill.</w:t>
      </w:r>
    </w:p>
    <w:p w14:paraId="4B563B5A" w14:textId="77777777" w:rsidR="00C0066A" w:rsidRPr="00220038" w:rsidRDefault="00C0066A" w:rsidP="00C0066A">
      <w:pPr>
        <w:tabs>
          <w:tab w:val="left" w:pos="709"/>
        </w:tabs>
        <w:spacing w:after="60" w:line="240" w:lineRule="auto"/>
        <w:ind w:left="709" w:hanging="709"/>
        <w:rPr>
          <w:rFonts w:cs="Times New Roman"/>
          <w:szCs w:val="22"/>
          <w:lang w:val="de-CH"/>
        </w:rPr>
      </w:pPr>
      <w:proofErr w:type="spellStart"/>
      <w:r w:rsidRPr="00220038">
        <w:rPr>
          <w:rFonts w:cs="Times New Roman"/>
          <w:szCs w:val="22"/>
          <w:lang w:val="de-CH"/>
        </w:rPr>
        <w:lastRenderedPageBreak/>
        <w:t>Fög</w:t>
      </w:r>
      <w:proofErr w:type="spellEnd"/>
      <w:r w:rsidRPr="00220038">
        <w:rPr>
          <w:rFonts w:cs="Times New Roman"/>
          <w:szCs w:val="22"/>
          <w:lang w:val="de-CH"/>
        </w:rPr>
        <w:t xml:space="preserve"> (2015). Reputationsmonitor Politik: SVP dominiert im Wahljahr die Medienagenda. Report 1/2015. Forschungsinstitut Öffentlichkeit und Gesellschaft, University </w:t>
      </w:r>
      <w:proofErr w:type="spellStart"/>
      <w:r w:rsidRPr="00220038">
        <w:rPr>
          <w:rFonts w:cs="Times New Roman"/>
          <w:szCs w:val="22"/>
          <w:lang w:val="de-CH"/>
        </w:rPr>
        <w:t>of</w:t>
      </w:r>
      <w:proofErr w:type="spellEnd"/>
      <w:r w:rsidRPr="00220038">
        <w:rPr>
          <w:rFonts w:cs="Times New Roman"/>
          <w:szCs w:val="22"/>
          <w:lang w:val="de-CH"/>
        </w:rPr>
        <w:t xml:space="preserve"> </w:t>
      </w:r>
      <w:proofErr w:type="spellStart"/>
      <w:r w:rsidRPr="00220038">
        <w:rPr>
          <w:rFonts w:cs="Times New Roman"/>
          <w:szCs w:val="22"/>
          <w:lang w:val="de-CH"/>
        </w:rPr>
        <w:t>Zurich</w:t>
      </w:r>
      <w:proofErr w:type="spellEnd"/>
      <w:r w:rsidRPr="00220038">
        <w:rPr>
          <w:rFonts w:cs="Times New Roman"/>
          <w:szCs w:val="22"/>
          <w:lang w:val="de-CH"/>
        </w:rPr>
        <w:t>.</w:t>
      </w:r>
    </w:p>
    <w:p w14:paraId="462FCC5A" w14:textId="244B661F" w:rsidR="00C0066A" w:rsidRDefault="00C0066A" w:rsidP="00C0066A">
      <w:pPr>
        <w:tabs>
          <w:tab w:val="left" w:pos="709"/>
        </w:tabs>
        <w:spacing w:after="60" w:line="240" w:lineRule="auto"/>
        <w:ind w:left="709" w:hanging="709"/>
        <w:rPr>
          <w:rFonts w:cs="Times New Roman"/>
          <w:szCs w:val="22"/>
          <w:lang w:val="de-CH"/>
        </w:rPr>
      </w:pPr>
      <w:proofErr w:type="spellStart"/>
      <w:r w:rsidRPr="00220038">
        <w:rPr>
          <w:rFonts w:cs="Times New Roman"/>
          <w:szCs w:val="22"/>
          <w:lang w:val="de-CH"/>
        </w:rPr>
        <w:t>Fög</w:t>
      </w:r>
      <w:proofErr w:type="spellEnd"/>
      <w:r w:rsidRPr="00220038">
        <w:rPr>
          <w:rFonts w:cs="Times New Roman"/>
          <w:szCs w:val="22"/>
          <w:lang w:val="de-CH"/>
        </w:rPr>
        <w:t xml:space="preserve"> (2017). Reputationsmonitor Politik: SVP dominiert auch 2016 die Medienarena. Report 1/2017. Forschungsinstitut Öffentlichkeit und Gesellschaft, University </w:t>
      </w:r>
      <w:proofErr w:type="spellStart"/>
      <w:r w:rsidRPr="00220038">
        <w:rPr>
          <w:rFonts w:cs="Times New Roman"/>
          <w:szCs w:val="22"/>
          <w:lang w:val="de-CH"/>
        </w:rPr>
        <w:t>of</w:t>
      </w:r>
      <w:proofErr w:type="spellEnd"/>
      <w:r w:rsidRPr="00220038">
        <w:rPr>
          <w:rFonts w:cs="Times New Roman"/>
          <w:szCs w:val="22"/>
          <w:lang w:val="de-CH"/>
        </w:rPr>
        <w:t xml:space="preserve"> </w:t>
      </w:r>
      <w:proofErr w:type="spellStart"/>
      <w:r w:rsidRPr="00220038">
        <w:rPr>
          <w:rFonts w:cs="Times New Roman"/>
          <w:szCs w:val="22"/>
          <w:lang w:val="de-CH"/>
        </w:rPr>
        <w:t>Zurich</w:t>
      </w:r>
      <w:proofErr w:type="spellEnd"/>
      <w:r w:rsidRPr="00220038">
        <w:rPr>
          <w:rFonts w:cs="Times New Roman"/>
          <w:szCs w:val="22"/>
          <w:lang w:val="de-CH"/>
        </w:rPr>
        <w:t>.</w:t>
      </w:r>
    </w:p>
    <w:p w14:paraId="2E75B700" w14:textId="244D7BF7" w:rsidR="005A0C03" w:rsidRPr="00220038" w:rsidRDefault="006655A9" w:rsidP="006655A9">
      <w:pPr>
        <w:tabs>
          <w:tab w:val="left" w:pos="709"/>
        </w:tabs>
        <w:spacing w:after="60" w:line="240" w:lineRule="auto"/>
        <w:ind w:left="709" w:hanging="709"/>
        <w:rPr>
          <w:rFonts w:cs="Times New Roman"/>
          <w:szCs w:val="22"/>
          <w:lang w:val="de-CH"/>
        </w:rPr>
      </w:pPr>
      <w:r>
        <w:rPr>
          <w:szCs w:val="22"/>
          <w:lang w:val="de-CH"/>
        </w:rPr>
        <w:t xml:space="preserve">Geers, S. </w:t>
      </w:r>
      <w:proofErr w:type="spellStart"/>
      <w:r>
        <w:rPr>
          <w:szCs w:val="22"/>
          <w:lang w:val="de-CH"/>
        </w:rPr>
        <w:t>and</w:t>
      </w:r>
      <w:proofErr w:type="spellEnd"/>
      <w:r>
        <w:rPr>
          <w:szCs w:val="22"/>
          <w:lang w:val="de-CH"/>
        </w:rPr>
        <w:t xml:space="preserve"> L. Bos (2017). </w:t>
      </w:r>
      <w:proofErr w:type="spellStart"/>
      <w:r>
        <w:rPr>
          <w:szCs w:val="22"/>
          <w:lang w:val="de-CH"/>
        </w:rPr>
        <w:t>Priming</w:t>
      </w:r>
      <w:proofErr w:type="spellEnd"/>
      <w:r>
        <w:rPr>
          <w:szCs w:val="22"/>
          <w:lang w:val="de-CH"/>
        </w:rPr>
        <w:t xml:space="preserve"> </w:t>
      </w:r>
      <w:proofErr w:type="spellStart"/>
      <w:r>
        <w:rPr>
          <w:szCs w:val="22"/>
          <w:lang w:val="de-CH"/>
        </w:rPr>
        <w:t>Issues</w:t>
      </w:r>
      <w:proofErr w:type="spellEnd"/>
      <w:r>
        <w:rPr>
          <w:szCs w:val="22"/>
          <w:lang w:val="de-CH"/>
        </w:rPr>
        <w:t xml:space="preserve">, Party </w:t>
      </w:r>
      <w:proofErr w:type="spellStart"/>
      <w:r>
        <w:rPr>
          <w:szCs w:val="22"/>
          <w:lang w:val="de-CH"/>
        </w:rPr>
        <w:t>Visibility</w:t>
      </w:r>
      <w:proofErr w:type="spellEnd"/>
      <w:r>
        <w:rPr>
          <w:szCs w:val="22"/>
          <w:lang w:val="de-CH"/>
        </w:rPr>
        <w:t xml:space="preserve">, </w:t>
      </w:r>
      <w:proofErr w:type="spellStart"/>
      <w:r>
        <w:rPr>
          <w:szCs w:val="22"/>
          <w:lang w:val="de-CH"/>
        </w:rPr>
        <w:t>and</w:t>
      </w:r>
      <w:proofErr w:type="spellEnd"/>
      <w:r>
        <w:rPr>
          <w:szCs w:val="22"/>
          <w:lang w:val="de-CH"/>
        </w:rPr>
        <w:t xml:space="preserve"> Party Evaluations: The Impact on </w:t>
      </w:r>
      <w:proofErr w:type="spellStart"/>
      <w:r>
        <w:rPr>
          <w:szCs w:val="22"/>
          <w:lang w:val="de-CH"/>
        </w:rPr>
        <w:t>Vote</w:t>
      </w:r>
      <w:proofErr w:type="spellEnd"/>
      <w:r>
        <w:rPr>
          <w:szCs w:val="22"/>
          <w:lang w:val="de-CH"/>
        </w:rPr>
        <w:t xml:space="preserve"> </w:t>
      </w:r>
      <w:proofErr w:type="spellStart"/>
      <w:r>
        <w:rPr>
          <w:szCs w:val="22"/>
          <w:lang w:val="de-CH"/>
        </w:rPr>
        <w:t>Switching</w:t>
      </w:r>
      <w:proofErr w:type="spellEnd"/>
      <w:r>
        <w:rPr>
          <w:szCs w:val="22"/>
          <w:lang w:val="de-CH"/>
        </w:rPr>
        <w:t xml:space="preserve">. </w:t>
      </w:r>
      <w:r>
        <w:rPr>
          <w:i/>
          <w:szCs w:val="22"/>
          <w:lang w:val="de-CH"/>
        </w:rPr>
        <w:t>Political Communication</w:t>
      </w:r>
      <w:r>
        <w:rPr>
          <w:szCs w:val="22"/>
          <w:lang w:val="de-CH"/>
        </w:rPr>
        <w:t>, 3</w:t>
      </w:r>
      <w:r>
        <w:rPr>
          <w:rFonts w:cs="Times New Roman"/>
          <w:szCs w:val="22"/>
          <w:lang w:val="de-CH"/>
        </w:rPr>
        <w:t>4(3): 344-366.</w:t>
      </w:r>
    </w:p>
    <w:p w14:paraId="32BF7EAD" w14:textId="77777777" w:rsidR="00C0066A" w:rsidRPr="00220038" w:rsidRDefault="00C0066A" w:rsidP="00C0066A">
      <w:pPr>
        <w:spacing w:after="0" w:line="276" w:lineRule="auto"/>
        <w:ind w:left="709" w:hanging="709"/>
        <w:jc w:val="left"/>
        <w:rPr>
          <w:rFonts w:cs="Times New Roman"/>
          <w:szCs w:val="22"/>
          <w:lang w:val="de-CH"/>
        </w:rPr>
      </w:pPr>
      <w:proofErr w:type="spellStart"/>
      <w:r w:rsidRPr="00220038">
        <w:rPr>
          <w:rFonts w:cs="Times New Roman"/>
          <w:szCs w:val="22"/>
          <w:lang w:val="de-CH"/>
        </w:rPr>
        <w:t>Gelman</w:t>
      </w:r>
      <w:proofErr w:type="spellEnd"/>
      <w:r w:rsidRPr="00220038">
        <w:rPr>
          <w:rFonts w:cs="Times New Roman"/>
          <w:szCs w:val="22"/>
          <w:lang w:val="de-CH"/>
        </w:rPr>
        <w:t xml:space="preserve">, A. </w:t>
      </w:r>
      <w:proofErr w:type="spellStart"/>
      <w:r w:rsidRPr="00220038">
        <w:rPr>
          <w:rFonts w:cs="Times New Roman"/>
          <w:szCs w:val="22"/>
          <w:lang w:val="de-CH"/>
        </w:rPr>
        <w:t>and</w:t>
      </w:r>
      <w:proofErr w:type="spellEnd"/>
      <w:r w:rsidRPr="00220038">
        <w:rPr>
          <w:rFonts w:cs="Times New Roman"/>
          <w:szCs w:val="22"/>
          <w:lang w:val="de-CH"/>
        </w:rPr>
        <w:t xml:space="preserve"> G. King (1993). </w:t>
      </w:r>
      <w:r w:rsidRPr="00220038">
        <w:rPr>
          <w:rFonts w:cs="Times New Roman"/>
          <w:szCs w:val="22"/>
          <w:lang w:val="en-US"/>
        </w:rPr>
        <w:t xml:space="preserve">Why are American Presidential Election Campaign Polls so Variable when Votes are so Predictable? </w:t>
      </w:r>
      <w:r w:rsidRPr="00220038">
        <w:rPr>
          <w:i/>
          <w:lang w:val="de-CH"/>
        </w:rPr>
        <w:t xml:space="preserve">British Journal </w:t>
      </w:r>
      <w:proofErr w:type="spellStart"/>
      <w:r w:rsidRPr="00220038">
        <w:rPr>
          <w:i/>
          <w:lang w:val="de-CH"/>
        </w:rPr>
        <w:t>of</w:t>
      </w:r>
      <w:proofErr w:type="spellEnd"/>
      <w:r w:rsidRPr="00220038">
        <w:rPr>
          <w:i/>
          <w:lang w:val="de-CH"/>
        </w:rPr>
        <w:t xml:space="preserve"> Political Science</w:t>
      </w:r>
      <w:r w:rsidRPr="00220038">
        <w:rPr>
          <w:lang w:val="de-CH"/>
        </w:rPr>
        <w:t xml:space="preserve"> 23: 409–451.</w:t>
      </w:r>
    </w:p>
    <w:p w14:paraId="4E9B4133"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Gerber, A., J. G. </w:t>
      </w:r>
      <w:proofErr w:type="spellStart"/>
      <w:r w:rsidRPr="00220038">
        <w:rPr>
          <w:rFonts w:cs="Times New Roman"/>
          <w:szCs w:val="22"/>
          <w:lang w:val="en-US"/>
        </w:rPr>
        <w:t>Gimpel</w:t>
      </w:r>
      <w:proofErr w:type="spellEnd"/>
      <w:r w:rsidRPr="00220038">
        <w:rPr>
          <w:rFonts w:cs="Times New Roman"/>
          <w:szCs w:val="22"/>
          <w:lang w:val="en-US"/>
        </w:rPr>
        <w:t xml:space="preserve">, D. P. Green and D. R. Shaw (2007). </w:t>
      </w:r>
      <w:r w:rsidRPr="00220038">
        <w:rPr>
          <w:rFonts w:cs="Times New Roman"/>
          <w:i/>
          <w:szCs w:val="22"/>
          <w:lang w:val="en-US"/>
        </w:rPr>
        <w:t>The Influence of Television and Radio Advertising on Candidate Evaluation: Results from a Large Scale Randomized Experiment</w:t>
      </w:r>
      <w:r w:rsidRPr="00220038">
        <w:rPr>
          <w:rFonts w:cs="Times New Roman"/>
          <w:szCs w:val="22"/>
          <w:lang w:val="en-US"/>
        </w:rPr>
        <w:t xml:space="preserve">. Working paper, Yale University. </w:t>
      </w:r>
    </w:p>
    <w:p w14:paraId="35211945"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Gerber, M. and M. </w:t>
      </w:r>
      <w:proofErr w:type="spellStart"/>
      <w:r w:rsidRPr="00220038">
        <w:rPr>
          <w:rFonts w:cs="Times New Roman"/>
          <w:szCs w:val="22"/>
          <w:lang w:val="en-US"/>
        </w:rPr>
        <w:t>Bühlmann</w:t>
      </w:r>
      <w:proofErr w:type="spellEnd"/>
      <w:r w:rsidRPr="00220038">
        <w:rPr>
          <w:rFonts w:cs="Times New Roman"/>
          <w:szCs w:val="22"/>
          <w:lang w:val="en-US"/>
        </w:rPr>
        <w:t xml:space="preserve"> (2014). Do Ads Add Up? The Impact of Parties' Advertisements on the Stability of Vote Choice at the Swiss National Elections 2011. </w:t>
      </w:r>
      <w:r w:rsidRPr="00220038">
        <w:rPr>
          <w:rFonts w:cs="Times New Roman"/>
          <w:i/>
          <w:szCs w:val="22"/>
          <w:lang w:val="en-US"/>
        </w:rPr>
        <w:t>Swiss Political Science Review</w:t>
      </w:r>
      <w:r w:rsidRPr="00220038">
        <w:rPr>
          <w:rFonts w:cs="Times New Roman"/>
          <w:szCs w:val="22"/>
          <w:lang w:val="en-US"/>
        </w:rPr>
        <w:t xml:space="preserve"> 20(4): 632–650.</w:t>
      </w:r>
    </w:p>
    <w:p w14:paraId="51D33A71"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Gerber, M. and S. Mueller (2016). The Parliamentary and Executive Elections in Switzerland, 2015. </w:t>
      </w:r>
      <w:r w:rsidRPr="00220038">
        <w:rPr>
          <w:rFonts w:cs="Times New Roman"/>
          <w:i/>
          <w:szCs w:val="22"/>
          <w:lang w:val="en-US"/>
        </w:rPr>
        <w:t>Electoral Studies</w:t>
      </w:r>
      <w:r w:rsidRPr="00220038">
        <w:rPr>
          <w:rFonts w:cs="Times New Roman"/>
          <w:szCs w:val="22"/>
          <w:lang w:val="en-US"/>
        </w:rPr>
        <w:t xml:space="preserve"> 43(3): 194–197.</w:t>
      </w:r>
    </w:p>
    <w:p w14:paraId="2F75DABE"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Goldstein, K. and P. Freedman (2000). New Evidence for New Arguments: Money and Advertising in the 1996 Senate Elections. </w:t>
      </w:r>
      <w:r w:rsidRPr="00220038">
        <w:rPr>
          <w:rFonts w:cs="Times New Roman"/>
          <w:i/>
          <w:szCs w:val="22"/>
          <w:lang w:val="en-US"/>
        </w:rPr>
        <w:t xml:space="preserve">Journal of Politics </w:t>
      </w:r>
      <w:r w:rsidRPr="00220038">
        <w:rPr>
          <w:rFonts w:cs="Times New Roman"/>
          <w:szCs w:val="22"/>
          <w:lang w:val="en-US"/>
        </w:rPr>
        <w:t xml:space="preserve">62(4): 1087–1108. </w:t>
      </w:r>
    </w:p>
    <w:p w14:paraId="57556EC2" w14:textId="1B232A95" w:rsidR="00C0066A"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Gordon, B. R. and W. R. Hartmann (2013). Advertising Effects in Presidential Elections</w:t>
      </w:r>
      <w:r w:rsidRPr="00220038">
        <w:rPr>
          <w:rFonts w:cs="Times New Roman"/>
          <w:i/>
          <w:iCs/>
          <w:szCs w:val="22"/>
          <w:lang w:val="en-US"/>
        </w:rPr>
        <w:t>. Marketing Science</w:t>
      </w:r>
      <w:r w:rsidRPr="00220038">
        <w:rPr>
          <w:rFonts w:cs="Times New Roman"/>
          <w:szCs w:val="22"/>
          <w:lang w:val="en-US"/>
        </w:rPr>
        <w:t xml:space="preserve">, 32(1): 19–35. </w:t>
      </w:r>
    </w:p>
    <w:p w14:paraId="2F2566D4" w14:textId="586BF2B5" w:rsidR="00E57966" w:rsidRPr="00E57966" w:rsidRDefault="00E57966" w:rsidP="00E57966">
      <w:pPr>
        <w:pStyle w:val="Literaturverzeichnis1"/>
        <w:spacing w:after="60"/>
        <w:rPr>
          <w:rFonts w:ascii="Times New Roman" w:hAnsi="Times New Roman" w:cs="Times New Roman"/>
          <w:lang w:val="en-US"/>
        </w:rPr>
      </w:pPr>
      <w:r w:rsidRPr="00220038">
        <w:rPr>
          <w:rFonts w:ascii="Times New Roman" w:hAnsi="Times New Roman" w:cs="Times New Roman"/>
          <w:lang w:val="de-CH"/>
        </w:rPr>
        <w:t xml:space="preserve">Hermann, M. (2012). </w:t>
      </w:r>
      <w:r w:rsidRPr="00220038">
        <w:rPr>
          <w:rFonts w:ascii="Times New Roman" w:hAnsi="Times New Roman" w:cs="Times New Roman"/>
          <w:i/>
          <w:iCs/>
          <w:lang w:val="de-CH"/>
        </w:rPr>
        <w:t>Das politische Profil des Geldes: Wahl- und Abstimmungswerbung in der Schweiz</w:t>
      </w:r>
      <w:r w:rsidRPr="00220038">
        <w:rPr>
          <w:rFonts w:ascii="Times New Roman" w:hAnsi="Times New Roman" w:cs="Times New Roman"/>
          <w:lang w:val="de-CH"/>
        </w:rPr>
        <w:t xml:space="preserve">. </w:t>
      </w:r>
      <w:r w:rsidRPr="00220038">
        <w:rPr>
          <w:rFonts w:ascii="Times New Roman" w:hAnsi="Times New Roman" w:cs="Times New Roman"/>
          <w:lang w:val="en-US"/>
        </w:rPr>
        <w:t xml:space="preserve">Zürich: </w:t>
      </w:r>
      <w:proofErr w:type="spellStart"/>
      <w:r w:rsidRPr="00220038">
        <w:rPr>
          <w:rFonts w:ascii="Times New Roman" w:hAnsi="Times New Roman" w:cs="Times New Roman"/>
          <w:lang w:val="en-US"/>
        </w:rPr>
        <w:t>Forschungsstelle</w:t>
      </w:r>
      <w:proofErr w:type="spellEnd"/>
      <w:r w:rsidRPr="00220038">
        <w:rPr>
          <w:rFonts w:ascii="Times New Roman" w:hAnsi="Times New Roman" w:cs="Times New Roman"/>
          <w:lang w:val="en-US"/>
        </w:rPr>
        <w:t xml:space="preserve"> </w:t>
      </w:r>
      <w:proofErr w:type="spellStart"/>
      <w:r w:rsidRPr="00220038">
        <w:rPr>
          <w:rFonts w:ascii="Times New Roman" w:hAnsi="Times New Roman" w:cs="Times New Roman"/>
          <w:lang w:val="en-US"/>
        </w:rPr>
        <w:t>sotomo</w:t>
      </w:r>
      <w:proofErr w:type="spellEnd"/>
      <w:r w:rsidRPr="00220038">
        <w:rPr>
          <w:rFonts w:ascii="Times New Roman" w:hAnsi="Times New Roman" w:cs="Times New Roman"/>
          <w:lang w:val="en-US"/>
        </w:rPr>
        <w:t xml:space="preserve"> am </w:t>
      </w:r>
      <w:proofErr w:type="spellStart"/>
      <w:r w:rsidRPr="00220038">
        <w:rPr>
          <w:rFonts w:ascii="Times New Roman" w:hAnsi="Times New Roman" w:cs="Times New Roman"/>
          <w:lang w:val="en-US"/>
        </w:rPr>
        <w:t>Geographischen</w:t>
      </w:r>
      <w:proofErr w:type="spellEnd"/>
      <w:r w:rsidRPr="00220038">
        <w:rPr>
          <w:rFonts w:ascii="Times New Roman" w:hAnsi="Times New Roman" w:cs="Times New Roman"/>
          <w:lang w:val="en-US"/>
        </w:rPr>
        <w:t xml:space="preserve"> </w:t>
      </w:r>
      <w:proofErr w:type="spellStart"/>
      <w:r w:rsidRPr="00220038">
        <w:rPr>
          <w:rFonts w:ascii="Times New Roman" w:hAnsi="Times New Roman" w:cs="Times New Roman"/>
          <w:lang w:val="en-US"/>
        </w:rPr>
        <w:t>Institut</w:t>
      </w:r>
      <w:proofErr w:type="spellEnd"/>
      <w:r w:rsidRPr="00220038">
        <w:rPr>
          <w:rFonts w:ascii="Times New Roman" w:hAnsi="Times New Roman" w:cs="Times New Roman"/>
          <w:lang w:val="en-US"/>
        </w:rPr>
        <w:t xml:space="preserve"> </w:t>
      </w:r>
      <w:proofErr w:type="spellStart"/>
      <w:r w:rsidRPr="00220038">
        <w:rPr>
          <w:rFonts w:ascii="Times New Roman" w:hAnsi="Times New Roman" w:cs="Times New Roman"/>
          <w:lang w:val="en-US"/>
        </w:rPr>
        <w:t>UZH</w:t>
      </w:r>
      <w:proofErr w:type="spellEnd"/>
      <w:r w:rsidRPr="00220038">
        <w:rPr>
          <w:rFonts w:ascii="Times New Roman" w:hAnsi="Times New Roman" w:cs="Times New Roman"/>
          <w:lang w:val="en-US"/>
        </w:rPr>
        <w:t>.</w:t>
      </w:r>
    </w:p>
    <w:p w14:paraId="0386EA1D" w14:textId="404ADD26" w:rsidR="00C0066A"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Huber, G. and K. Arceneaux (2007). Identifying the Persuasive Effects of Presidential Advertising. </w:t>
      </w:r>
      <w:r w:rsidRPr="00220038">
        <w:rPr>
          <w:rFonts w:cs="Times New Roman"/>
          <w:i/>
          <w:szCs w:val="22"/>
          <w:lang w:val="en-US"/>
        </w:rPr>
        <w:t xml:space="preserve">American Journal of Political Science, </w:t>
      </w:r>
      <w:r w:rsidRPr="00220038">
        <w:rPr>
          <w:rFonts w:cs="Times New Roman"/>
          <w:szCs w:val="22"/>
          <w:lang w:val="en-US"/>
        </w:rPr>
        <w:t>51: 777-798.</w:t>
      </w:r>
    </w:p>
    <w:p w14:paraId="1312DB04" w14:textId="34177C22" w:rsidR="00E57966" w:rsidRPr="00220038" w:rsidRDefault="00E57966" w:rsidP="00E57966">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Iyengar</w:t>
      </w:r>
      <w:proofErr w:type="spellEnd"/>
      <w:r w:rsidRPr="00220038">
        <w:rPr>
          <w:rFonts w:cs="Times New Roman"/>
          <w:szCs w:val="22"/>
          <w:lang w:val="en-US"/>
        </w:rPr>
        <w:t xml:space="preserve">, S. and A. F. Simon (2000). New Perspectives and Evidence on Political Communication and Campaign Effects. </w:t>
      </w:r>
      <w:r w:rsidRPr="00220038">
        <w:rPr>
          <w:rFonts w:cs="Times New Roman"/>
          <w:i/>
          <w:szCs w:val="22"/>
          <w:lang w:val="en-US"/>
        </w:rPr>
        <w:t xml:space="preserve">Annual Review of Psychology </w:t>
      </w:r>
      <w:r w:rsidRPr="00220038">
        <w:rPr>
          <w:rFonts w:cs="Times New Roman"/>
          <w:szCs w:val="22"/>
          <w:lang w:val="en-US"/>
        </w:rPr>
        <w:t>51: 149–169.</w:t>
      </w:r>
    </w:p>
    <w:p w14:paraId="69D001A5" w14:textId="77777777" w:rsidR="00C0066A" w:rsidRPr="00220038" w:rsidRDefault="00C0066A" w:rsidP="00C0066A">
      <w:pPr>
        <w:pStyle w:val="Literaturverzeichnis2"/>
        <w:spacing w:after="60" w:line="240" w:lineRule="auto"/>
        <w:jc w:val="both"/>
        <w:rPr>
          <w:rFonts w:ascii="Times New Roman" w:hAnsi="Times New Roman" w:cs="Times New Roman"/>
          <w:sz w:val="22"/>
          <w:szCs w:val="22"/>
          <w:lang w:val="en-US"/>
        </w:rPr>
      </w:pPr>
      <w:proofErr w:type="spellStart"/>
      <w:r w:rsidRPr="00220038">
        <w:rPr>
          <w:rFonts w:ascii="Times New Roman" w:hAnsi="Times New Roman" w:cs="Times New Roman"/>
          <w:sz w:val="22"/>
          <w:szCs w:val="22"/>
          <w:lang w:val="en-US"/>
        </w:rPr>
        <w:t>Jerit</w:t>
      </w:r>
      <w:proofErr w:type="spellEnd"/>
      <w:r w:rsidRPr="00220038">
        <w:rPr>
          <w:rFonts w:ascii="Times New Roman" w:hAnsi="Times New Roman" w:cs="Times New Roman"/>
          <w:sz w:val="22"/>
          <w:szCs w:val="22"/>
          <w:lang w:val="en-US"/>
        </w:rPr>
        <w:t xml:space="preserve">, J. and J. </w:t>
      </w:r>
      <w:proofErr w:type="spellStart"/>
      <w:r w:rsidRPr="00220038">
        <w:rPr>
          <w:rFonts w:ascii="Times New Roman" w:hAnsi="Times New Roman" w:cs="Times New Roman"/>
          <w:sz w:val="22"/>
          <w:szCs w:val="22"/>
          <w:lang w:val="en-US"/>
        </w:rPr>
        <w:t>Barabas</w:t>
      </w:r>
      <w:proofErr w:type="spellEnd"/>
      <w:r w:rsidRPr="00220038">
        <w:rPr>
          <w:rFonts w:ascii="Times New Roman" w:hAnsi="Times New Roman" w:cs="Times New Roman"/>
          <w:sz w:val="22"/>
          <w:szCs w:val="22"/>
          <w:lang w:val="en-US"/>
        </w:rPr>
        <w:t xml:space="preserve"> (2012). Partisan Perceptual Bias and the Information Environment. </w:t>
      </w:r>
      <w:r w:rsidRPr="00220038">
        <w:rPr>
          <w:rFonts w:ascii="Times New Roman" w:hAnsi="Times New Roman" w:cs="Times New Roman"/>
          <w:i/>
          <w:iCs/>
          <w:sz w:val="22"/>
          <w:szCs w:val="22"/>
          <w:lang w:val="en-US"/>
        </w:rPr>
        <w:t>The Journal of Politics</w:t>
      </w:r>
      <w:r w:rsidRPr="00220038">
        <w:rPr>
          <w:rFonts w:ascii="Times New Roman" w:hAnsi="Times New Roman" w:cs="Times New Roman"/>
          <w:sz w:val="22"/>
          <w:szCs w:val="22"/>
          <w:lang w:val="en-US"/>
        </w:rPr>
        <w:t xml:space="preserve">  </w:t>
      </w:r>
      <w:r w:rsidRPr="00220038">
        <w:rPr>
          <w:rFonts w:ascii="Times New Roman" w:hAnsi="Times New Roman" w:cs="Times New Roman"/>
          <w:i/>
          <w:iCs/>
          <w:sz w:val="22"/>
          <w:szCs w:val="22"/>
          <w:lang w:val="en-US"/>
        </w:rPr>
        <w:t>74</w:t>
      </w:r>
      <w:r w:rsidRPr="00220038">
        <w:rPr>
          <w:rFonts w:ascii="Times New Roman" w:hAnsi="Times New Roman" w:cs="Times New Roman"/>
          <w:sz w:val="22"/>
          <w:szCs w:val="22"/>
          <w:lang w:val="en-US"/>
        </w:rPr>
        <w:t xml:space="preserve">(3): 672–684. </w:t>
      </w:r>
    </w:p>
    <w:p w14:paraId="6BDC1019"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en-US"/>
        </w:rPr>
        <w:t xml:space="preserve">Kendall, C., T. </w:t>
      </w:r>
      <w:proofErr w:type="spellStart"/>
      <w:r w:rsidRPr="00220038">
        <w:rPr>
          <w:rFonts w:cs="Times New Roman"/>
          <w:szCs w:val="22"/>
          <w:lang w:val="en-US"/>
        </w:rPr>
        <w:t>Nannicini</w:t>
      </w:r>
      <w:proofErr w:type="spellEnd"/>
      <w:r w:rsidRPr="00220038">
        <w:rPr>
          <w:rFonts w:cs="Times New Roman"/>
          <w:szCs w:val="22"/>
          <w:lang w:val="en-US"/>
        </w:rPr>
        <w:t xml:space="preserve"> and F. </w:t>
      </w:r>
      <w:proofErr w:type="spellStart"/>
      <w:r w:rsidRPr="00220038">
        <w:rPr>
          <w:rFonts w:cs="Times New Roman"/>
          <w:szCs w:val="22"/>
          <w:lang w:val="en-US"/>
        </w:rPr>
        <w:t>Trebbi</w:t>
      </w:r>
      <w:proofErr w:type="spellEnd"/>
      <w:r w:rsidRPr="00220038">
        <w:rPr>
          <w:rFonts w:cs="Times New Roman"/>
          <w:szCs w:val="22"/>
          <w:lang w:val="en-US"/>
        </w:rPr>
        <w:t xml:space="preserve"> (2015). How do Voters Respond to Information Evidence from a Randomized Campaign. </w:t>
      </w:r>
      <w:r w:rsidRPr="00220038">
        <w:rPr>
          <w:rFonts w:cs="Times New Roman"/>
          <w:i/>
          <w:szCs w:val="22"/>
          <w:lang w:val="en-US"/>
        </w:rPr>
        <w:t>American Economic Review</w:t>
      </w:r>
      <w:r w:rsidRPr="00220038">
        <w:rPr>
          <w:rFonts w:cs="Times New Roman"/>
          <w:szCs w:val="22"/>
          <w:lang w:val="en-US"/>
        </w:rPr>
        <w:t>, 105: 322-353.</w:t>
      </w:r>
    </w:p>
    <w:p w14:paraId="02792835"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Kriesi</w:t>
      </w:r>
      <w:proofErr w:type="spellEnd"/>
      <w:r w:rsidRPr="00220038">
        <w:rPr>
          <w:rFonts w:cs="Times New Roman"/>
          <w:szCs w:val="22"/>
          <w:lang w:val="en-US"/>
        </w:rPr>
        <w:t xml:space="preserve"> H. (2009). </w:t>
      </w:r>
      <w:r w:rsidRPr="00220038">
        <w:rPr>
          <w:rFonts w:cs="Times New Roman"/>
          <w:szCs w:val="22"/>
          <w:lang w:val="de-CH"/>
        </w:rPr>
        <w:t xml:space="preserve">Sind Abstimmungsergebnisse käuflich? In: A. Vatter, F. </w:t>
      </w:r>
      <w:proofErr w:type="spellStart"/>
      <w:r w:rsidRPr="00220038">
        <w:rPr>
          <w:rFonts w:cs="Times New Roman"/>
          <w:szCs w:val="22"/>
          <w:lang w:val="de-CH"/>
        </w:rPr>
        <w:t>Varone</w:t>
      </w:r>
      <w:proofErr w:type="spellEnd"/>
      <w:r w:rsidRPr="00220038">
        <w:rPr>
          <w:rFonts w:cs="Times New Roman"/>
          <w:szCs w:val="22"/>
          <w:lang w:val="de-CH"/>
        </w:rPr>
        <w:t xml:space="preserve"> </w:t>
      </w:r>
      <w:proofErr w:type="spellStart"/>
      <w:r w:rsidRPr="00220038">
        <w:rPr>
          <w:rFonts w:cs="Times New Roman"/>
          <w:szCs w:val="22"/>
          <w:lang w:val="de-CH"/>
        </w:rPr>
        <w:t>and</w:t>
      </w:r>
      <w:proofErr w:type="spellEnd"/>
      <w:r w:rsidRPr="00220038">
        <w:rPr>
          <w:rFonts w:cs="Times New Roman"/>
          <w:szCs w:val="22"/>
          <w:lang w:val="de-CH"/>
        </w:rPr>
        <w:t xml:space="preserve"> F. Sager, Demokratie als Leidenschaft (</w:t>
      </w:r>
      <w:proofErr w:type="spellStart"/>
      <w:r w:rsidRPr="00220038">
        <w:rPr>
          <w:rFonts w:cs="Times New Roman"/>
          <w:szCs w:val="22"/>
          <w:lang w:val="de-CH"/>
        </w:rPr>
        <w:t>eds</w:t>
      </w:r>
      <w:proofErr w:type="spellEnd"/>
      <w:r w:rsidRPr="00220038">
        <w:rPr>
          <w:rFonts w:cs="Times New Roman"/>
          <w:szCs w:val="22"/>
          <w:lang w:val="de-CH"/>
        </w:rPr>
        <w:t xml:space="preserve">.). </w:t>
      </w:r>
      <w:r w:rsidRPr="00220038">
        <w:rPr>
          <w:rFonts w:cs="Times New Roman"/>
          <w:szCs w:val="22"/>
          <w:lang w:val="en-US"/>
        </w:rPr>
        <w:t xml:space="preserve">Bern: Haupt (pg. 83-106).  </w:t>
      </w:r>
    </w:p>
    <w:p w14:paraId="7D082456"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Kriesi</w:t>
      </w:r>
      <w:proofErr w:type="spellEnd"/>
      <w:r w:rsidRPr="00220038">
        <w:rPr>
          <w:rFonts w:cs="Times New Roman"/>
          <w:szCs w:val="22"/>
          <w:lang w:val="en-US"/>
        </w:rPr>
        <w:t xml:space="preserve">, H. and P. </w:t>
      </w:r>
      <w:proofErr w:type="spellStart"/>
      <w:r w:rsidRPr="00220038">
        <w:rPr>
          <w:rFonts w:cs="Times New Roman"/>
          <w:szCs w:val="22"/>
          <w:lang w:val="en-US"/>
        </w:rPr>
        <w:t>Sciarini</w:t>
      </w:r>
      <w:proofErr w:type="spellEnd"/>
      <w:r w:rsidRPr="00220038">
        <w:rPr>
          <w:rFonts w:cs="Times New Roman"/>
          <w:szCs w:val="22"/>
          <w:lang w:val="en-US"/>
        </w:rPr>
        <w:t xml:space="preserve"> (2004). The Impact of Issue Preference on the Voting Choices in the Swiss Federal Elections 1999. </w:t>
      </w:r>
      <w:r w:rsidRPr="00220038">
        <w:rPr>
          <w:rFonts w:cs="Times New Roman"/>
          <w:i/>
          <w:szCs w:val="22"/>
          <w:lang w:val="en-US"/>
        </w:rPr>
        <w:t xml:space="preserve">British Journal of Political Science </w:t>
      </w:r>
      <w:r w:rsidRPr="00220038">
        <w:rPr>
          <w:rFonts w:cs="Times New Roman"/>
          <w:szCs w:val="22"/>
          <w:lang w:val="en-US"/>
        </w:rPr>
        <w:t xml:space="preserve">34: 725–759. </w:t>
      </w:r>
    </w:p>
    <w:p w14:paraId="3C66E218" w14:textId="77777777" w:rsidR="00C0066A" w:rsidRPr="00220038" w:rsidRDefault="00C0066A" w:rsidP="00C0066A">
      <w:pPr>
        <w:pStyle w:val="Literaturverzeichnis2"/>
        <w:spacing w:after="60" w:line="240" w:lineRule="auto"/>
        <w:jc w:val="both"/>
        <w:rPr>
          <w:rFonts w:ascii="Times New Roman" w:hAnsi="Times New Roman" w:cs="Times New Roman"/>
          <w:sz w:val="22"/>
          <w:szCs w:val="22"/>
          <w:lang w:val="fr-CH"/>
        </w:rPr>
      </w:pPr>
      <w:proofErr w:type="spellStart"/>
      <w:r w:rsidRPr="00220038">
        <w:rPr>
          <w:rFonts w:ascii="Times New Roman" w:hAnsi="Times New Roman" w:cs="Times New Roman"/>
          <w:sz w:val="22"/>
          <w:szCs w:val="22"/>
          <w:lang w:val="en-US"/>
        </w:rPr>
        <w:t>Kunda</w:t>
      </w:r>
      <w:proofErr w:type="spellEnd"/>
      <w:r w:rsidRPr="00220038">
        <w:rPr>
          <w:rFonts w:ascii="Times New Roman" w:hAnsi="Times New Roman" w:cs="Times New Roman"/>
          <w:sz w:val="22"/>
          <w:szCs w:val="22"/>
          <w:lang w:val="en-US"/>
        </w:rPr>
        <w:t xml:space="preserve">, Z. (1990). The Case for Motivated Reasoning. </w:t>
      </w:r>
      <w:proofErr w:type="spellStart"/>
      <w:r w:rsidRPr="00220038">
        <w:rPr>
          <w:rFonts w:ascii="Times New Roman" w:hAnsi="Times New Roman" w:cs="Times New Roman"/>
          <w:i/>
          <w:iCs/>
          <w:sz w:val="22"/>
          <w:szCs w:val="22"/>
          <w:lang w:val="fr-CH"/>
        </w:rPr>
        <w:t>Psychological</w:t>
      </w:r>
      <w:proofErr w:type="spellEnd"/>
      <w:r w:rsidRPr="00220038">
        <w:rPr>
          <w:rFonts w:ascii="Times New Roman" w:hAnsi="Times New Roman" w:cs="Times New Roman"/>
          <w:i/>
          <w:iCs/>
          <w:sz w:val="22"/>
          <w:szCs w:val="22"/>
          <w:lang w:val="fr-CH"/>
        </w:rPr>
        <w:t xml:space="preserve"> Bulletin</w:t>
      </w:r>
      <w:r w:rsidRPr="00220038">
        <w:rPr>
          <w:rFonts w:ascii="Times New Roman" w:hAnsi="Times New Roman" w:cs="Times New Roman"/>
          <w:sz w:val="22"/>
          <w:szCs w:val="22"/>
          <w:lang w:val="fr-CH"/>
        </w:rPr>
        <w:t xml:space="preserve"> </w:t>
      </w:r>
      <w:r w:rsidRPr="00220038">
        <w:rPr>
          <w:rFonts w:ascii="Times New Roman" w:hAnsi="Times New Roman" w:cs="Times New Roman"/>
          <w:i/>
          <w:iCs/>
          <w:sz w:val="22"/>
          <w:szCs w:val="22"/>
          <w:lang w:val="fr-CH"/>
        </w:rPr>
        <w:t>108</w:t>
      </w:r>
      <w:r w:rsidRPr="00220038">
        <w:rPr>
          <w:rFonts w:ascii="Times New Roman" w:hAnsi="Times New Roman" w:cs="Times New Roman"/>
          <w:sz w:val="22"/>
          <w:szCs w:val="22"/>
          <w:lang w:val="fr-CH"/>
        </w:rPr>
        <w:t xml:space="preserve">(3): 480–498. </w:t>
      </w:r>
    </w:p>
    <w:p w14:paraId="51FC7E05"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fr-CH"/>
        </w:rPr>
        <w:t>Lachat</w:t>
      </w:r>
      <w:proofErr w:type="spellEnd"/>
      <w:r w:rsidRPr="00220038">
        <w:rPr>
          <w:rFonts w:cs="Times New Roman"/>
          <w:szCs w:val="22"/>
          <w:lang w:val="fr-CH"/>
        </w:rPr>
        <w:t xml:space="preserve">, R. (2000). L’influence des campagnes politiques sur le vote: le cas des élections suisses de 1995. </w:t>
      </w:r>
      <w:r w:rsidRPr="00220038">
        <w:rPr>
          <w:rFonts w:cs="Times New Roman"/>
          <w:i/>
          <w:szCs w:val="22"/>
          <w:lang w:val="en-US"/>
        </w:rPr>
        <w:t>Swiss Political Science Review</w:t>
      </w:r>
      <w:r w:rsidRPr="00220038">
        <w:rPr>
          <w:rFonts w:cs="Times New Roman"/>
          <w:szCs w:val="22"/>
          <w:lang w:val="en-US"/>
        </w:rPr>
        <w:t>, 6(4) : 51-73.</w:t>
      </w:r>
    </w:p>
    <w:p w14:paraId="5E7B74B5"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Lachat</w:t>
      </w:r>
      <w:proofErr w:type="spellEnd"/>
      <w:r w:rsidRPr="00220038">
        <w:rPr>
          <w:rFonts w:cs="Times New Roman"/>
          <w:szCs w:val="22"/>
          <w:lang w:val="en-US"/>
        </w:rPr>
        <w:t xml:space="preserve">, R. (2014). Issue Ownership and the Vote: The Effects of Associative and Competence Ownership on Issue Voting. </w:t>
      </w:r>
      <w:r w:rsidRPr="00220038">
        <w:rPr>
          <w:rFonts w:cs="Times New Roman"/>
          <w:i/>
          <w:szCs w:val="22"/>
          <w:lang w:val="en-US"/>
        </w:rPr>
        <w:t xml:space="preserve">Swiss Political Science Review </w:t>
      </w:r>
      <w:r w:rsidRPr="00220038">
        <w:rPr>
          <w:rFonts w:cs="Times New Roman"/>
          <w:szCs w:val="22"/>
          <w:lang w:val="en-US"/>
        </w:rPr>
        <w:t xml:space="preserve">20(4): 727–740. </w:t>
      </w:r>
    </w:p>
    <w:p w14:paraId="41393D5D"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Lachat</w:t>
      </w:r>
      <w:proofErr w:type="spellEnd"/>
      <w:r w:rsidRPr="00220038">
        <w:rPr>
          <w:rFonts w:cs="Times New Roman"/>
          <w:szCs w:val="22"/>
          <w:lang w:val="en-US"/>
        </w:rPr>
        <w:t xml:space="preserve">, R. and P. </w:t>
      </w:r>
      <w:proofErr w:type="spellStart"/>
      <w:r w:rsidRPr="00220038">
        <w:rPr>
          <w:rFonts w:cs="Times New Roman"/>
          <w:szCs w:val="22"/>
          <w:lang w:val="en-US"/>
        </w:rPr>
        <w:t>Sciarini</w:t>
      </w:r>
      <w:proofErr w:type="spellEnd"/>
      <w:r w:rsidRPr="00220038">
        <w:rPr>
          <w:rFonts w:cs="Times New Roman"/>
          <w:szCs w:val="22"/>
          <w:lang w:val="en-US"/>
        </w:rPr>
        <w:t xml:space="preserve"> (2002). When do Elections </w:t>
      </w:r>
      <w:proofErr w:type="spellStart"/>
      <w:r w:rsidRPr="00220038">
        <w:rPr>
          <w:rFonts w:cs="Times New Roman"/>
          <w:szCs w:val="22"/>
          <w:lang w:val="en-US"/>
        </w:rPr>
        <w:t>Campaings</w:t>
      </w:r>
      <w:proofErr w:type="spellEnd"/>
      <w:r w:rsidRPr="00220038">
        <w:rPr>
          <w:rFonts w:cs="Times New Roman"/>
          <w:szCs w:val="22"/>
          <w:lang w:val="en-US"/>
        </w:rPr>
        <w:t xml:space="preserve"> Matter, and to whom? Results from the 1999 Swiss Election Panel Study. In D. M. Farrell and R. Schmitt-Beck (eds.) </w:t>
      </w:r>
      <w:r w:rsidRPr="00220038">
        <w:rPr>
          <w:rFonts w:cs="Times New Roman"/>
          <w:i/>
          <w:szCs w:val="22"/>
          <w:lang w:val="en-US"/>
        </w:rPr>
        <w:t xml:space="preserve">Do Political Campaign Matter?: Campaign Effects in Elections and Referendums. </w:t>
      </w:r>
      <w:r w:rsidRPr="00220038">
        <w:rPr>
          <w:rFonts w:cs="Times New Roman"/>
          <w:szCs w:val="22"/>
          <w:lang w:val="en-US"/>
        </w:rPr>
        <w:t>New York: Psychology Press (pg. 41-57).</w:t>
      </w:r>
    </w:p>
    <w:p w14:paraId="4BF3EB0E" w14:textId="77777777" w:rsidR="00C0066A" w:rsidRPr="00220038" w:rsidRDefault="00C0066A" w:rsidP="00C0066A">
      <w:pPr>
        <w:pStyle w:val="Literaturverzeichnis2"/>
        <w:spacing w:after="60" w:line="240" w:lineRule="auto"/>
        <w:jc w:val="both"/>
        <w:rPr>
          <w:rFonts w:ascii="Times New Roman" w:hAnsi="Times New Roman" w:cs="Times New Roman"/>
          <w:sz w:val="22"/>
          <w:szCs w:val="22"/>
          <w:lang w:val="en-US"/>
        </w:rPr>
      </w:pPr>
      <w:proofErr w:type="spellStart"/>
      <w:r w:rsidRPr="00220038">
        <w:rPr>
          <w:rFonts w:ascii="Times New Roman" w:hAnsi="Times New Roman" w:cs="Times New Roman"/>
          <w:sz w:val="22"/>
          <w:szCs w:val="22"/>
          <w:lang w:val="en-US"/>
        </w:rPr>
        <w:t>Lanz</w:t>
      </w:r>
      <w:proofErr w:type="spellEnd"/>
      <w:r w:rsidRPr="00220038">
        <w:rPr>
          <w:rFonts w:ascii="Times New Roman" w:hAnsi="Times New Roman" w:cs="Times New Roman"/>
          <w:sz w:val="22"/>
          <w:szCs w:val="22"/>
          <w:lang w:val="en-US"/>
        </w:rPr>
        <w:t xml:space="preserve">, S. and A. </w:t>
      </w:r>
      <w:proofErr w:type="spellStart"/>
      <w:r w:rsidRPr="00220038">
        <w:rPr>
          <w:rFonts w:ascii="Times New Roman" w:hAnsi="Times New Roman" w:cs="Times New Roman"/>
          <w:sz w:val="22"/>
          <w:szCs w:val="22"/>
          <w:lang w:val="en-US"/>
        </w:rPr>
        <w:t>Nai</w:t>
      </w:r>
      <w:proofErr w:type="spellEnd"/>
      <w:r w:rsidRPr="00220038">
        <w:rPr>
          <w:rFonts w:ascii="Times New Roman" w:hAnsi="Times New Roman" w:cs="Times New Roman"/>
          <w:sz w:val="22"/>
          <w:szCs w:val="22"/>
          <w:lang w:val="en-US"/>
        </w:rPr>
        <w:t xml:space="preserve"> (2015). Vote as you Think: Determinants of Consistent Decision Making in Direct Democracy. </w:t>
      </w:r>
      <w:r w:rsidRPr="00220038">
        <w:rPr>
          <w:rFonts w:ascii="Times New Roman" w:hAnsi="Times New Roman" w:cs="Times New Roman"/>
          <w:i/>
          <w:iCs/>
          <w:sz w:val="22"/>
          <w:szCs w:val="22"/>
          <w:lang w:val="en-US"/>
        </w:rPr>
        <w:t>Swiss Political Science Review</w:t>
      </w:r>
      <w:r w:rsidRPr="00220038">
        <w:rPr>
          <w:rFonts w:ascii="Times New Roman" w:hAnsi="Times New Roman" w:cs="Times New Roman"/>
          <w:sz w:val="22"/>
          <w:szCs w:val="22"/>
          <w:lang w:val="en-US"/>
        </w:rPr>
        <w:t xml:space="preserve"> </w:t>
      </w:r>
      <w:r w:rsidRPr="00220038">
        <w:rPr>
          <w:rFonts w:ascii="Times New Roman" w:hAnsi="Times New Roman" w:cs="Times New Roman"/>
          <w:i/>
          <w:iCs/>
          <w:sz w:val="22"/>
          <w:szCs w:val="22"/>
          <w:lang w:val="en-US"/>
        </w:rPr>
        <w:t>21</w:t>
      </w:r>
      <w:r w:rsidRPr="00220038">
        <w:rPr>
          <w:rFonts w:ascii="Times New Roman" w:hAnsi="Times New Roman" w:cs="Times New Roman"/>
          <w:sz w:val="22"/>
          <w:szCs w:val="22"/>
          <w:lang w:val="en-US"/>
        </w:rPr>
        <w:t xml:space="preserve">(1): 119–139. </w:t>
      </w:r>
    </w:p>
    <w:p w14:paraId="678D62DB"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Lanz</w:t>
      </w:r>
      <w:proofErr w:type="spellEnd"/>
      <w:r w:rsidRPr="00220038">
        <w:rPr>
          <w:rFonts w:cs="Times New Roman"/>
          <w:szCs w:val="22"/>
          <w:lang w:val="en-US"/>
        </w:rPr>
        <w:t xml:space="preserve">, S. and P. </w:t>
      </w:r>
      <w:proofErr w:type="spellStart"/>
      <w:r w:rsidRPr="00220038">
        <w:rPr>
          <w:rFonts w:cs="Times New Roman"/>
          <w:szCs w:val="22"/>
          <w:lang w:val="en-US"/>
        </w:rPr>
        <w:t>Sciarini</w:t>
      </w:r>
      <w:proofErr w:type="spellEnd"/>
      <w:r w:rsidRPr="00220038">
        <w:rPr>
          <w:rFonts w:cs="Times New Roman"/>
          <w:szCs w:val="22"/>
          <w:lang w:val="en-US"/>
        </w:rPr>
        <w:t xml:space="preserve"> (2016). The Short-Time Dynamics of Issue Ownership and its Impact on the Vote. </w:t>
      </w:r>
      <w:r w:rsidRPr="00220038">
        <w:rPr>
          <w:rFonts w:cs="Times New Roman"/>
          <w:i/>
          <w:szCs w:val="22"/>
          <w:lang w:val="en-US"/>
        </w:rPr>
        <w:t>Journal of Elections, Public Opinion and Parties</w:t>
      </w:r>
      <w:r w:rsidRPr="00220038">
        <w:rPr>
          <w:rFonts w:cs="Times New Roman"/>
          <w:szCs w:val="22"/>
          <w:lang w:val="en-US"/>
        </w:rPr>
        <w:t xml:space="preserve"> 26(2): 212-231.</w:t>
      </w:r>
    </w:p>
    <w:p w14:paraId="3616658B" w14:textId="77777777" w:rsidR="00C0066A" w:rsidRPr="00220038" w:rsidRDefault="00C0066A" w:rsidP="00C0066A">
      <w:pPr>
        <w:tabs>
          <w:tab w:val="left" w:pos="709"/>
        </w:tabs>
        <w:spacing w:after="60" w:line="240" w:lineRule="auto"/>
        <w:ind w:left="709" w:hanging="709"/>
        <w:rPr>
          <w:rFonts w:cs="Times New Roman"/>
          <w:szCs w:val="22"/>
          <w:lang w:val="en-US"/>
        </w:rPr>
      </w:pPr>
      <w:proofErr w:type="spellStart"/>
      <w:r w:rsidRPr="00220038">
        <w:rPr>
          <w:rFonts w:cs="Times New Roman"/>
          <w:szCs w:val="22"/>
          <w:lang w:val="en-US"/>
        </w:rPr>
        <w:t>Larreguy</w:t>
      </w:r>
      <w:proofErr w:type="spellEnd"/>
      <w:r w:rsidRPr="00220038">
        <w:rPr>
          <w:rFonts w:cs="Times New Roman"/>
          <w:szCs w:val="22"/>
          <w:lang w:val="en-US"/>
        </w:rPr>
        <w:t xml:space="preserve">, H., J. Marshall and J. M. Snyder (2014). </w:t>
      </w:r>
      <w:r w:rsidRPr="00220038">
        <w:rPr>
          <w:rFonts w:cs="Times New Roman"/>
          <w:i/>
          <w:szCs w:val="22"/>
          <w:lang w:val="en-US"/>
        </w:rPr>
        <w:t>Political Advertising in Consolidating Democracies: Radio Ads, Clientelism and Political Development in Mexico</w:t>
      </w:r>
      <w:r w:rsidRPr="00220038">
        <w:rPr>
          <w:rFonts w:cs="Times New Roman"/>
          <w:szCs w:val="22"/>
          <w:lang w:val="en-US"/>
        </w:rPr>
        <w:t>. Working Paper, Harvard University.</w:t>
      </w:r>
    </w:p>
    <w:p w14:paraId="14425440" w14:textId="77777777" w:rsidR="00C0066A" w:rsidRPr="00220038" w:rsidRDefault="00C0066A" w:rsidP="00C0066A">
      <w:pPr>
        <w:pStyle w:val="Literaturverzeichnis2"/>
        <w:spacing w:after="60" w:line="240" w:lineRule="auto"/>
        <w:jc w:val="both"/>
        <w:rPr>
          <w:rFonts w:ascii="Times New Roman" w:hAnsi="Times New Roman" w:cs="Times New Roman"/>
          <w:sz w:val="22"/>
          <w:szCs w:val="22"/>
          <w:lang w:val="en-US"/>
        </w:rPr>
      </w:pPr>
      <w:r w:rsidRPr="00220038">
        <w:rPr>
          <w:rFonts w:ascii="Times New Roman" w:hAnsi="Times New Roman" w:cs="Times New Roman"/>
          <w:sz w:val="22"/>
          <w:szCs w:val="22"/>
          <w:lang w:val="en-US"/>
        </w:rPr>
        <w:lastRenderedPageBreak/>
        <w:t xml:space="preserve">Lau, R. R. and D. P. </w:t>
      </w:r>
      <w:proofErr w:type="spellStart"/>
      <w:r w:rsidRPr="00220038">
        <w:rPr>
          <w:rFonts w:ascii="Times New Roman" w:hAnsi="Times New Roman" w:cs="Times New Roman"/>
          <w:sz w:val="22"/>
          <w:szCs w:val="22"/>
          <w:lang w:val="en-US"/>
        </w:rPr>
        <w:t>Redlawsk</w:t>
      </w:r>
      <w:proofErr w:type="spellEnd"/>
      <w:r w:rsidRPr="00220038">
        <w:rPr>
          <w:rFonts w:ascii="Times New Roman" w:hAnsi="Times New Roman" w:cs="Times New Roman"/>
          <w:sz w:val="22"/>
          <w:szCs w:val="22"/>
          <w:lang w:val="en-US"/>
        </w:rPr>
        <w:t xml:space="preserve"> (2006). </w:t>
      </w:r>
      <w:r w:rsidRPr="00220038">
        <w:rPr>
          <w:rFonts w:ascii="Times New Roman" w:hAnsi="Times New Roman" w:cs="Times New Roman"/>
          <w:i/>
          <w:iCs/>
          <w:sz w:val="22"/>
          <w:szCs w:val="22"/>
          <w:lang w:val="en-US"/>
        </w:rPr>
        <w:t>How Voters Decide: Information Processing during Election Campaigns</w:t>
      </w:r>
      <w:r w:rsidRPr="00220038">
        <w:rPr>
          <w:rFonts w:ascii="Times New Roman" w:hAnsi="Times New Roman" w:cs="Times New Roman"/>
          <w:sz w:val="22"/>
          <w:szCs w:val="22"/>
          <w:lang w:val="en-US"/>
        </w:rPr>
        <w:t>. New York: Cambridge University Press.</w:t>
      </w:r>
    </w:p>
    <w:p w14:paraId="4FA6CB0E" w14:textId="7BEADB71" w:rsidR="00C0066A" w:rsidRPr="00220038" w:rsidRDefault="00C02093" w:rsidP="00C0066A">
      <w:pPr>
        <w:pStyle w:val="Literaturverzeichnis2"/>
        <w:spacing w:after="60" w:line="240" w:lineRule="auto"/>
        <w:jc w:val="both"/>
        <w:rPr>
          <w:rFonts w:ascii="Times New Roman" w:hAnsi="Times New Roman" w:cs="Times New Roman"/>
          <w:sz w:val="22"/>
          <w:szCs w:val="22"/>
          <w:lang w:val="en-US"/>
        </w:rPr>
      </w:pPr>
      <w:proofErr w:type="spellStart"/>
      <w:r>
        <w:rPr>
          <w:rFonts w:ascii="Times New Roman" w:hAnsi="Times New Roman" w:cs="Times New Roman"/>
          <w:sz w:val="22"/>
          <w:szCs w:val="22"/>
          <w:lang w:val="en-US"/>
        </w:rPr>
        <w:t>Lazarsfeld</w:t>
      </w:r>
      <w:proofErr w:type="spellEnd"/>
      <w:r>
        <w:rPr>
          <w:rFonts w:ascii="Times New Roman" w:hAnsi="Times New Roman" w:cs="Times New Roman"/>
          <w:sz w:val="22"/>
          <w:szCs w:val="22"/>
          <w:lang w:val="en-US"/>
        </w:rPr>
        <w:t>, P. F., B.</w:t>
      </w:r>
      <w:r w:rsidR="00C0066A" w:rsidRPr="00220038">
        <w:rPr>
          <w:rFonts w:ascii="Times New Roman" w:hAnsi="Times New Roman" w:cs="Times New Roman"/>
          <w:sz w:val="22"/>
          <w:szCs w:val="22"/>
          <w:lang w:val="en-US"/>
        </w:rPr>
        <w:t xml:space="preserve"> </w:t>
      </w:r>
      <w:proofErr w:type="spellStart"/>
      <w:r w:rsidR="00C0066A" w:rsidRPr="00220038">
        <w:rPr>
          <w:rFonts w:ascii="Times New Roman" w:hAnsi="Times New Roman" w:cs="Times New Roman"/>
          <w:sz w:val="22"/>
          <w:szCs w:val="22"/>
          <w:lang w:val="en-US"/>
        </w:rPr>
        <w:t>Berelson</w:t>
      </w:r>
      <w:proofErr w:type="spellEnd"/>
      <w:r w:rsidR="00C0066A" w:rsidRPr="00220038">
        <w:rPr>
          <w:rFonts w:ascii="Times New Roman" w:hAnsi="Times New Roman" w:cs="Times New Roman"/>
          <w:sz w:val="22"/>
          <w:szCs w:val="22"/>
          <w:lang w:val="en-US"/>
        </w:rPr>
        <w:t xml:space="preserve"> and H. </w:t>
      </w:r>
      <w:proofErr w:type="spellStart"/>
      <w:r w:rsidR="00C0066A" w:rsidRPr="00220038">
        <w:rPr>
          <w:rFonts w:ascii="Times New Roman" w:hAnsi="Times New Roman" w:cs="Times New Roman"/>
          <w:sz w:val="22"/>
          <w:szCs w:val="22"/>
          <w:lang w:val="en-US"/>
        </w:rPr>
        <w:t>Gaudet</w:t>
      </w:r>
      <w:proofErr w:type="spellEnd"/>
      <w:r w:rsidR="00C0066A" w:rsidRPr="00220038">
        <w:rPr>
          <w:rFonts w:ascii="Times New Roman" w:hAnsi="Times New Roman" w:cs="Times New Roman"/>
          <w:sz w:val="22"/>
          <w:szCs w:val="22"/>
          <w:lang w:val="en-US"/>
        </w:rPr>
        <w:t xml:space="preserve"> (1968). </w:t>
      </w:r>
      <w:r w:rsidR="00C0066A" w:rsidRPr="00220038">
        <w:rPr>
          <w:rFonts w:ascii="Times New Roman" w:hAnsi="Times New Roman" w:cs="Times New Roman"/>
          <w:i/>
          <w:iCs/>
          <w:sz w:val="22"/>
          <w:szCs w:val="22"/>
          <w:lang w:val="en-US"/>
        </w:rPr>
        <w:t>The People’s Choice: How the Voter Makes Up His Mind in a Presidential Campaign</w:t>
      </w:r>
      <w:r w:rsidR="00C0066A" w:rsidRPr="00220038">
        <w:rPr>
          <w:rFonts w:ascii="Times New Roman" w:hAnsi="Times New Roman" w:cs="Times New Roman"/>
          <w:sz w:val="22"/>
          <w:szCs w:val="22"/>
          <w:lang w:val="en-US"/>
        </w:rPr>
        <w:t xml:space="preserve"> (3rd edition). New York: Columbia University Press.</w:t>
      </w:r>
    </w:p>
    <w:p w14:paraId="4CC8AD94" w14:textId="77777777" w:rsidR="00C0066A" w:rsidRPr="00220038" w:rsidRDefault="00C0066A" w:rsidP="00C0066A">
      <w:pPr>
        <w:autoSpaceDE w:val="0"/>
        <w:autoSpaceDN w:val="0"/>
        <w:adjustRightInd w:val="0"/>
        <w:spacing w:after="60" w:line="240" w:lineRule="auto"/>
        <w:ind w:left="709" w:hanging="709"/>
        <w:rPr>
          <w:rFonts w:cs="Times New Roman"/>
          <w:color w:val="000000"/>
          <w:szCs w:val="22"/>
          <w:lang w:val="en-US"/>
        </w:rPr>
      </w:pPr>
      <w:r w:rsidRPr="00220038">
        <w:rPr>
          <w:rFonts w:cs="Times New Roman"/>
          <w:color w:val="000000"/>
          <w:szCs w:val="22"/>
          <w:lang w:val="en-US"/>
        </w:rPr>
        <w:t xml:space="preserve">Longchamp, C., M. </w:t>
      </w:r>
      <w:proofErr w:type="spellStart"/>
      <w:r w:rsidRPr="00220038">
        <w:rPr>
          <w:rFonts w:cs="Times New Roman"/>
          <w:color w:val="000000"/>
          <w:szCs w:val="22"/>
          <w:lang w:val="en-US"/>
        </w:rPr>
        <w:t>Imfeld</w:t>
      </w:r>
      <w:proofErr w:type="spellEnd"/>
      <w:r w:rsidRPr="00220038">
        <w:rPr>
          <w:rFonts w:cs="Times New Roman"/>
          <w:color w:val="000000"/>
          <w:szCs w:val="22"/>
          <w:lang w:val="en-US"/>
        </w:rPr>
        <w:t xml:space="preserve">, S. </w:t>
      </w:r>
      <w:proofErr w:type="spellStart"/>
      <w:r w:rsidRPr="00220038">
        <w:rPr>
          <w:rFonts w:cs="Times New Roman"/>
          <w:color w:val="000000"/>
          <w:szCs w:val="22"/>
          <w:lang w:val="en-US"/>
        </w:rPr>
        <w:t>Tschöpe</w:t>
      </w:r>
      <w:proofErr w:type="spellEnd"/>
      <w:r w:rsidRPr="00220038">
        <w:rPr>
          <w:rFonts w:cs="Times New Roman"/>
          <w:color w:val="000000"/>
          <w:szCs w:val="22"/>
          <w:lang w:val="en-US"/>
        </w:rPr>
        <w:t xml:space="preserve">, M. Müller, P. </w:t>
      </w:r>
      <w:proofErr w:type="spellStart"/>
      <w:r w:rsidRPr="00220038">
        <w:rPr>
          <w:rFonts w:cs="Times New Roman"/>
          <w:color w:val="000000"/>
          <w:szCs w:val="22"/>
          <w:lang w:val="en-US"/>
        </w:rPr>
        <w:t>Rochat</w:t>
      </w:r>
      <w:proofErr w:type="spellEnd"/>
      <w:r w:rsidRPr="00220038">
        <w:rPr>
          <w:rFonts w:cs="Times New Roman"/>
          <w:color w:val="000000"/>
          <w:szCs w:val="22"/>
          <w:lang w:val="en-US"/>
        </w:rPr>
        <w:t xml:space="preserve">, J. Schwab, A. </w:t>
      </w:r>
      <w:proofErr w:type="spellStart"/>
      <w:r w:rsidRPr="00220038">
        <w:rPr>
          <w:rFonts w:cs="Times New Roman"/>
          <w:color w:val="000000"/>
          <w:szCs w:val="22"/>
          <w:lang w:val="en-US"/>
        </w:rPr>
        <w:t>Venetz</w:t>
      </w:r>
      <w:proofErr w:type="spellEnd"/>
      <w:r w:rsidRPr="00220038">
        <w:rPr>
          <w:rFonts w:cs="Times New Roman"/>
          <w:color w:val="000000"/>
          <w:szCs w:val="22"/>
          <w:lang w:val="en-US"/>
        </w:rPr>
        <w:t xml:space="preserve"> and S. </w:t>
      </w:r>
      <w:proofErr w:type="spellStart"/>
      <w:r w:rsidRPr="00220038">
        <w:rPr>
          <w:rFonts w:cs="Times New Roman"/>
          <w:color w:val="000000"/>
          <w:szCs w:val="22"/>
          <w:lang w:val="en-US"/>
        </w:rPr>
        <w:t>Schüpbach</w:t>
      </w:r>
      <w:proofErr w:type="spellEnd"/>
      <w:r w:rsidRPr="00220038">
        <w:rPr>
          <w:rFonts w:cs="Times New Roman"/>
          <w:color w:val="000000"/>
          <w:szCs w:val="22"/>
          <w:lang w:val="en-US"/>
        </w:rPr>
        <w:t xml:space="preserve"> (2015). </w:t>
      </w:r>
      <w:proofErr w:type="spellStart"/>
      <w:r w:rsidRPr="00220038">
        <w:rPr>
          <w:rFonts w:cs="Times New Roman"/>
          <w:color w:val="000000"/>
          <w:szCs w:val="22"/>
          <w:lang w:val="en-US"/>
        </w:rPr>
        <w:t>Im</w:t>
      </w:r>
      <w:proofErr w:type="spellEnd"/>
      <w:r w:rsidRPr="00220038">
        <w:rPr>
          <w:rFonts w:cs="Times New Roman"/>
          <w:color w:val="000000"/>
          <w:szCs w:val="22"/>
          <w:lang w:val="en-US"/>
        </w:rPr>
        <w:t xml:space="preserve"> </w:t>
      </w:r>
      <w:proofErr w:type="spellStart"/>
      <w:r w:rsidRPr="00220038">
        <w:rPr>
          <w:rFonts w:cs="Times New Roman"/>
          <w:color w:val="000000"/>
          <w:szCs w:val="22"/>
          <w:lang w:val="en-US"/>
        </w:rPr>
        <w:t>Banne</w:t>
      </w:r>
      <w:proofErr w:type="spellEnd"/>
      <w:r w:rsidRPr="00220038">
        <w:rPr>
          <w:rFonts w:cs="Times New Roman"/>
          <w:color w:val="000000"/>
          <w:szCs w:val="22"/>
          <w:lang w:val="en-US"/>
        </w:rPr>
        <w:t xml:space="preserve"> der Migrations- und </w:t>
      </w:r>
      <w:proofErr w:type="spellStart"/>
      <w:r w:rsidRPr="00220038">
        <w:rPr>
          <w:rFonts w:cs="Times New Roman"/>
          <w:color w:val="000000"/>
          <w:szCs w:val="22"/>
          <w:lang w:val="en-US"/>
        </w:rPr>
        <w:t>Europafrage</w:t>
      </w:r>
      <w:proofErr w:type="spellEnd"/>
      <w:r w:rsidRPr="00220038">
        <w:rPr>
          <w:rFonts w:cs="Times New Roman"/>
          <w:color w:val="000000"/>
          <w:szCs w:val="22"/>
          <w:lang w:val="en-US"/>
        </w:rPr>
        <w:t xml:space="preserve">. 2. </w:t>
      </w:r>
      <w:proofErr w:type="spellStart"/>
      <w:r w:rsidRPr="00220038">
        <w:rPr>
          <w:rFonts w:cs="Times New Roman"/>
          <w:color w:val="000000"/>
          <w:szCs w:val="22"/>
          <w:lang w:val="en-US"/>
        </w:rPr>
        <w:t>Welle</w:t>
      </w:r>
      <w:proofErr w:type="spellEnd"/>
      <w:r w:rsidRPr="00220038">
        <w:rPr>
          <w:rFonts w:cs="Times New Roman"/>
          <w:color w:val="000000"/>
          <w:szCs w:val="22"/>
          <w:lang w:val="en-US"/>
        </w:rPr>
        <w:t xml:space="preserve"> des </w:t>
      </w:r>
      <w:proofErr w:type="spellStart"/>
      <w:r w:rsidRPr="00220038">
        <w:rPr>
          <w:rFonts w:cs="Times New Roman"/>
          <w:color w:val="000000"/>
          <w:szCs w:val="22"/>
          <w:lang w:val="en-US"/>
        </w:rPr>
        <w:t>Wahlbarometers</w:t>
      </w:r>
      <w:proofErr w:type="spellEnd"/>
      <w:r w:rsidRPr="00220038">
        <w:rPr>
          <w:rFonts w:cs="Times New Roman"/>
          <w:color w:val="000000"/>
          <w:szCs w:val="22"/>
          <w:lang w:val="en-US"/>
        </w:rPr>
        <w:t xml:space="preserve"> 2015, June 2015, </w:t>
      </w:r>
      <w:proofErr w:type="spellStart"/>
      <w:r w:rsidRPr="00220038">
        <w:rPr>
          <w:rFonts w:cs="Times New Roman"/>
          <w:color w:val="000000"/>
          <w:szCs w:val="22"/>
          <w:lang w:val="en-US"/>
        </w:rPr>
        <w:t>gfs.bern</w:t>
      </w:r>
      <w:proofErr w:type="spellEnd"/>
      <w:r w:rsidRPr="00220038">
        <w:rPr>
          <w:rFonts w:cs="Times New Roman"/>
          <w:color w:val="000000"/>
          <w:szCs w:val="22"/>
          <w:lang w:val="en-US"/>
        </w:rPr>
        <w:t xml:space="preserve">. Available at http://www.gfsbern.ch/de-ch/Detail/2-welle-wahlbarometer-2015 (last accessed: 8.1.16). </w:t>
      </w:r>
    </w:p>
    <w:p w14:paraId="2FA33B4C" w14:textId="77777777" w:rsidR="00C0066A" w:rsidRPr="00220038" w:rsidRDefault="00C0066A" w:rsidP="00C0066A">
      <w:pPr>
        <w:tabs>
          <w:tab w:val="left" w:pos="709"/>
        </w:tabs>
        <w:spacing w:after="60" w:line="240" w:lineRule="auto"/>
        <w:ind w:left="709" w:hanging="709"/>
        <w:rPr>
          <w:rFonts w:cs="Times New Roman"/>
          <w:szCs w:val="22"/>
          <w:lang w:val="de-CH"/>
        </w:rPr>
      </w:pPr>
      <w:r w:rsidRPr="00220038">
        <w:rPr>
          <w:rFonts w:cs="Times New Roman"/>
          <w:szCs w:val="22"/>
          <w:lang w:val="de-CH"/>
        </w:rPr>
        <w:t xml:space="preserve">Lutz, G. (2016). Eidgenössische Wahlen 2015: Wahlteilnahme und Wahlentscheid. </w:t>
      </w:r>
      <w:proofErr w:type="spellStart"/>
      <w:r w:rsidRPr="00220038">
        <w:rPr>
          <w:rFonts w:cs="Times New Roman"/>
          <w:szCs w:val="22"/>
          <w:lang w:val="de-CH"/>
        </w:rPr>
        <w:t>Selects</w:t>
      </w:r>
      <w:proofErr w:type="spellEnd"/>
      <w:r w:rsidRPr="00220038">
        <w:rPr>
          <w:rFonts w:cs="Times New Roman"/>
          <w:szCs w:val="22"/>
          <w:lang w:val="de-CH"/>
        </w:rPr>
        <w:t xml:space="preserve"> – </w:t>
      </w:r>
      <w:proofErr w:type="spellStart"/>
      <w:r w:rsidRPr="00220038">
        <w:rPr>
          <w:rFonts w:cs="Times New Roman"/>
          <w:szCs w:val="22"/>
          <w:lang w:val="de-CH"/>
        </w:rPr>
        <w:t>FORS</w:t>
      </w:r>
      <w:proofErr w:type="spellEnd"/>
      <w:r w:rsidRPr="00220038">
        <w:rPr>
          <w:rFonts w:cs="Times New Roman"/>
          <w:szCs w:val="22"/>
          <w:lang w:val="de-CH"/>
        </w:rPr>
        <w:t>, Lausanne.</w:t>
      </w:r>
    </w:p>
    <w:p w14:paraId="2426B178" w14:textId="65CEF467" w:rsidR="00C0066A" w:rsidRPr="00220038" w:rsidRDefault="00C02093" w:rsidP="00C0066A">
      <w:pPr>
        <w:spacing w:after="60" w:line="240" w:lineRule="auto"/>
        <w:ind w:left="709" w:hanging="709"/>
        <w:jc w:val="left"/>
        <w:rPr>
          <w:rFonts w:eastAsia="Times New Roman" w:cs="Times New Roman"/>
          <w:sz w:val="24"/>
          <w:lang w:val="de-CH" w:eastAsia="de-DE"/>
        </w:rPr>
      </w:pPr>
      <w:r>
        <w:rPr>
          <w:rFonts w:eastAsia="Times New Roman" w:cs="Times New Roman"/>
          <w:szCs w:val="22"/>
          <w:lang w:val="de-CH" w:eastAsia="de-DE"/>
        </w:rPr>
        <w:t xml:space="preserve">Lutz, G. </w:t>
      </w:r>
      <w:proofErr w:type="spellStart"/>
      <w:r>
        <w:rPr>
          <w:rFonts w:eastAsia="Times New Roman" w:cs="Times New Roman"/>
          <w:szCs w:val="22"/>
          <w:lang w:val="de-CH" w:eastAsia="de-DE"/>
        </w:rPr>
        <w:t>and</w:t>
      </w:r>
      <w:proofErr w:type="spellEnd"/>
      <w:r>
        <w:rPr>
          <w:rFonts w:eastAsia="Times New Roman" w:cs="Times New Roman"/>
          <w:szCs w:val="22"/>
          <w:lang w:val="de-CH" w:eastAsia="de-DE"/>
        </w:rPr>
        <w:t xml:space="preserve"> F.</w:t>
      </w:r>
      <w:r w:rsidR="00C0066A" w:rsidRPr="00220038">
        <w:rPr>
          <w:rFonts w:eastAsia="Times New Roman" w:cs="Times New Roman"/>
          <w:szCs w:val="22"/>
          <w:lang w:val="de-CH" w:eastAsia="de-DE"/>
        </w:rPr>
        <w:t xml:space="preserve"> Lebert</w:t>
      </w:r>
      <w:r w:rsidR="00E57966">
        <w:rPr>
          <w:rFonts w:eastAsia="Times New Roman" w:cs="Times New Roman"/>
          <w:szCs w:val="22"/>
          <w:lang w:val="de-CH" w:eastAsia="de-DE"/>
        </w:rPr>
        <w:t xml:space="preserve"> (</w:t>
      </w:r>
      <w:r w:rsidR="00C0066A" w:rsidRPr="00220038">
        <w:rPr>
          <w:rFonts w:eastAsia="Times New Roman" w:cs="Times New Roman"/>
          <w:szCs w:val="22"/>
          <w:lang w:val="de-CH" w:eastAsia="de-DE"/>
        </w:rPr>
        <w:t>2017</w:t>
      </w:r>
      <w:r w:rsidR="00E57966">
        <w:rPr>
          <w:rFonts w:eastAsia="Times New Roman" w:cs="Times New Roman"/>
          <w:szCs w:val="22"/>
          <w:lang w:val="de-CH" w:eastAsia="de-DE"/>
        </w:rPr>
        <w:t>)</w:t>
      </w:r>
      <w:r w:rsidR="00C0066A" w:rsidRPr="00220038">
        <w:rPr>
          <w:rFonts w:eastAsia="Times New Roman" w:cs="Times New Roman"/>
          <w:szCs w:val="22"/>
          <w:lang w:val="de-CH" w:eastAsia="de-DE"/>
        </w:rPr>
        <w:t xml:space="preserve">. </w:t>
      </w:r>
      <w:proofErr w:type="spellStart"/>
      <w:r w:rsidR="00C0066A" w:rsidRPr="00220038">
        <w:rPr>
          <w:rFonts w:eastAsia="Times New Roman" w:cs="Times New Roman"/>
          <w:i/>
          <w:iCs/>
          <w:szCs w:val="22"/>
          <w:lang w:val="de-CH" w:eastAsia="de-DE"/>
        </w:rPr>
        <w:t>VOTO</w:t>
      </w:r>
      <w:proofErr w:type="spellEnd"/>
      <w:r w:rsidR="00C0066A" w:rsidRPr="00220038">
        <w:rPr>
          <w:rFonts w:eastAsia="Times New Roman" w:cs="Times New Roman"/>
          <w:i/>
          <w:iCs/>
          <w:szCs w:val="22"/>
          <w:lang w:val="de-CH" w:eastAsia="de-DE"/>
        </w:rPr>
        <w:t xml:space="preserve">-Studie zur </w:t>
      </w:r>
      <w:proofErr w:type="spellStart"/>
      <w:r w:rsidR="00C0066A" w:rsidRPr="00220038">
        <w:rPr>
          <w:rFonts w:eastAsia="Times New Roman" w:cs="Times New Roman"/>
          <w:i/>
          <w:iCs/>
          <w:szCs w:val="22"/>
          <w:lang w:val="de-CH" w:eastAsia="de-DE"/>
        </w:rPr>
        <w:t>eidgenössischen</w:t>
      </w:r>
      <w:proofErr w:type="spellEnd"/>
      <w:r w:rsidR="00C0066A" w:rsidRPr="00220038">
        <w:rPr>
          <w:rFonts w:eastAsia="Times New Roman" w:cs="Times New Roman"/>
          <w:i/>
          <w:iCs/>
          <w:szCs w:val="22"/>
          <w:lang w:val="de-CH" w:eastAsia="de-DE"/>
        </w:rPr>
        <w:t xml:space="preserve"> Volksabstimmung vom 27. November 2016</w:t>
      </w:r>
      <w:r w:rsidR="00C0066A" w:rsidRPr="00220038">
        <w:rPr>
          <w:rFonts w:eastAsia="Times New Roman" w:cs="Times New Roman"/>
          <w:szCs w:val="22"/>
          <w:lang w:val="de-CH" w:eastAsia="de-DE"/>
        </w:rPr>
        <w:t xml:space="preserve">. </w:t>
      </w:r>
      <w:proofErr w:type="spellStart"/>
      <w:r w:rsidR="00C0066A" w:rsidRPr="00220038">
        <w:rPr>
          <w:rFonts w:eastAsia="Times New Roman" w:cs="Times New Roman"/>
          <w:szCs w:val="22"/>
          <w:lang w:val="de-CH" w:eastAsia="de-DE"/>
        </w:rPr>
        <w:t>FORS</w:t>
      </w:r>
      <w:proofErr w:type="spellEnd"/>
      <w:r w:rsidR="00C0066A" w:rsidRPr="00220038">
        <w:rPr>
          <w:rFonts w:eastAsia="Times New Roman" w:cs="Times New Roman"/>
          <w:szCs w:val="22"/>
          <w:lang w:val="de-CH" w:eastAsia="de-DE"/>
        </w:rPr>
        <w:t xml:space="preserve">, </w:t>
      </w:r>
      <w:proofErr w:type="spellStart"/>
      <w:r w:rsidR="00C0066A" w:rsidRPr="00220038">
        <w:rPr>
          <w:rFonts w:eastAsia="Times New Roman" w:cs="Times New Roman"/>
          <w:szCs w:val="22"/>
          <w:lang w:val="de-CH" w:eastAsia="de-DE"/>
        </w:rPr>
        <w:t>ZDA</w:t>
      </w:r>
      <w:proofErr w:type="spellEnd"/>
      <w:r w:rsidR="00C0066A" w:rsidRPr="00220038">
        <w:rPr>
          <w:rFonts w:eastAsia="Times New Roman" w:cs="Times New Roman"/>
          <w:szCs w:val="22"/>
          <w:lang w:val="de-CH" w:eastAsia="de-DE"/>
        </w:rPr>
        <w:t xml:space="preserve">, LINK: Lausanne/Aarau/Luzern. </w:t>
      </w:r>
    </w:p>
    <w:p w14:paraId="7B7320C8" w14:textId="77777777" w:rsidR="00C0066A" w:rsidRPr="00220038" w:rsidRDefault="00C0066A" w:rsidP="00C0066A">
      <w:pPr>
        <w:tabs>
          <w:tab w:val="left" w:pos="709"/>
        </w:tabs>
        <w:spacing w:after="60" w:line="240" w:lineRule="auto"/>
        <w:ind w:left="709" w:hanging="709"/>
        <w:rPr>
          <w:rFonts w:cs="Times New Roman"/>
          <w:szCs w:val="22"/>
          <w:lang w:val="fr-CH"/>
        </w:rPr>
      </w:pPr>
      <w:r w:rsidRPr="00220038">
        <w:rPr>
          <w:rFonts w:cs="Times New Roman"/>
          <w:szCs w:val="22"/>
          <w:lang w:val="de-CH"/>
        </w:rPr>
        <w:t xml:space="preserve">Lutz, G. </w:t>
      </w:r>
      <w:proofErr w:type="spellStart"/>
      <w:r w:rsidRPr="00220038">
        <w:rPr>
          <w:rFonts w:cs="Times New Roman"/>
          <w:szCs w:val="22"/>
          <w:lang w:val="de-CH"/>
        </w:rPr>
        <w:t>and</w:t>
      </w:r>
      <w:proofErr w:type="spellEnd"/>
      <w:r w:rsidRPr="00220038">
        <w:rPr>
          <w:rFonts w:cs="Times New Roman"/>
          <w:szCs w:val="22"/>
          <w:lang w:val="de-CH"/>
        </w:rPr>
        <w:t xml:space="preserve"> P. </w:t>
      </w:r>
      <w:proofErr w:type="spellStart"/>
      <w:r w:rsidRPr="00220038">
        <w:rPr>
          <w:rFonts w:cs="Times New Roman"/>
          <w:szCs w:val="22"/>
          <w:lang w:val="de-CH"/>
        </w:rPr>
        <w:t>Sciarini</w:t>
      </w:r>
      <w:proofErr w:type="spellEnd"/>
      <w:r w:rsidRPr="00220038">
        <w:rPr>
          <w:rFonts w:cs="Times New Roman"/>
          <w:szCs w:val="22"/>
          <w:lang w:val="de-CH"/>
        </w:rPr>
        <w:t xml:space="preserve"> (2016). </w:t>
      </w:r>
      <w:r w:rsidRPr="00220038">
        <w:rPr>
          <w:rFonts w:cs="Times New Roman"/>
          <w:szCs w:val="22"/>
          <w:lang w:val="en-US"/>
        </w:rPr>
        <w:t>Issue Competence and its Influence on Voting Behavior in the Swiss 2015 Elections</w:t>
      </w:r>
      <w:r w:rsidRPr="00220038">
        <w:rPr>
          <w:rFonts w:cs="Times New Roman"/>
          <w:i/>
          <w:szCs w:val="22"/>
          <w:lang w:val="en-US"/>
        </w:rPr>
        <w:t xml:space="preserve">. </w:t>
      </w:r>
      <w:proofErr w:type="spellStart"/>
      <w:r w:rsidRPr="00220038">
        <w:rPr>
          <w:rFonts w:cs="Times New Roman"/>
          <w:i/>
          <w:szCs w:val="22"/>
          <w:lang w:val="fr-CH"/>
        </w:rPr>
        <w:t>Swiss</w:t>
      </w:r>
      <w:proofErr w:type="spellEnd"/>
      <w:r w:rsidRPr="00220038">
        <w:rPr>
          <w:rFonts w:cs="Times New Roman"/>
          <w:i/>
          <w:szCs w:val="22"/>
          <w:lang w:val="fr-CH"/>
        </w:rPr>
        <w:t xml:space="preserve"> </w:t>
      </w:r>
      <w:proofErr w:type="spellStart"/>
      <w:r w:rsidRPr="00220038">
        <w:rPr>
          <w:rFonts w:cs="Times New Roman"/>
          <w:i/>
          <w:szCs w:val="22"/>
          <w:lang w:val="fr-CH"/>
        </w:rPr>
        <w:t>Political</w:t>
      </w:r>
      <w:proofErr w:type="spellEnd"/>
      <w:r w:rsidRPr="00220038">
        <w:rPr>
          <w:rFonts w:cs="Times New Roman"/>
          <w:i/>
          <w:szCs w:val="22"/>
          <w:lang w:val="fr-CH"/>
        </w:rPr>
        <w:t xml:space="preserve"> Science </w:t>
      </w:r>
      <w:proofErr w:type="spellStart"/>
      <w:r w:rsidRPr="00220038">
        <w:rPr>
          <w:rFonts w:cs="Times New Roman"/>
          <w:i/>
          <w:szCs w:val="22"/>
          <w:lang w:val="fr-CH"/>
        </w:rPr>
        <w:t>Review</w:t>
      </w:r>
      <w:proofErr w:type="spellEnd"/>
      <w:r w:rsidRPr="00220038">
        <w:rPr>
          <w:rFonts w:cs="Times New Roman"/>
          <w:szCs w:val="22"/>
          <w:lang w:val="fr-CH"/>
        </w:rPr>
        <w:t xml:space="preserve"> 22(1): 5–14.</w:t>
      </w:r>
    </w:p>
    <w:p w14:paraId="0ABD90D8" w14:textId="77777777" w:rsidR="00C0066A" w:rsidRPr="00220038" w:rsidRDefault="00C0066A" w:rsidP="00C0066A">
      <w:pPr>
        <w:pStyle w:val="Literaturverzeichnis2"/>
        <w:spacing w:after="60" w:line="240" w:lineRule="auto"/>
        <w:jc w:val="both"/>
        <w:rPr>
          <w:rFonts w:ascii="Times New Roman" w:hAnsi="Times New Roman" w:cs="Times New Roman"/>
          <w:sz w:val="22"/>
          <w:szCs w:val="22"/>
        </w:rPr>
      </w:pPr>
      <w:r w:rsidRPr="00220038">
        <w:rPr>
          <w:rFonts w:ascii="Times New Roman" w:hAnsi="Times New Roman" w:cs="Times New Roman"/>
          <w:sz w:val="22"/>
          <w:szCs w:val="22"/>
          <w:lang w:val="fr-CH"/>
        </w:rPr>
        <w:t xml:space="preserve">Marquis, L. (2006). </w:t>
      </w:r>
      <w:r w:rsidRPr="00220038">
        <w:rPr>
          <w:rFonts w:ascii="Times New Roman" w:hAnsi="Times New Roman" w:cs="Times New Roman"/>
          <w:i/>
          <w:iCs/>
          <w:sz w:val="22"/>
          <w:szCs w:val="22"/>
          <w:lang w:val="fr-CH"/>
        </w:rPr>
        <w:t>La formation de l’opinion publique en démocratie directe: les référendums sur la politique extérieure suisse 1981-1995</w:t>
      </w:r>
      <w:r w:rsidRPr="00220038">
        <w:rPr>
          <w:rFonts w:ascii="Times New Roman" w:hAnsi="Times New Roman" w:cs="Times New Roman"/>
          <w:sz w:val="22"/>
          <w:szCs w:val="22"/>
          <w:lang w:val="fr-CH"/>
        </w:rPr>
        <w:t xml:space="preserve">. </w:t>
      </w:r>
      <w:r w:rsidRPr="00220038">
        <w:rPr>
          <w:rFonts w:ascii="Times New Roman" w:hAnsi="Times New Roman" w:cs="Times New Roman"/>
          <w:sz w:val="22"/>
          <w:szCs w:val="22"/>
        </w:rPr>
        <w:t xml:space="preserve">Zürich: </w:t>
      </w:r>
      <w:proofErr w:type="spellStart"/>
      <w:r w:rsidRPr="00220038">
        <w:rPr>
          <w:rFonts w:ascii="Times New Roman" w:hAnsi="Times New Roman" w:cs="Times New Roman"/>
          <w:sz w:val="22"/>
          <w:szCs w:val="22"/>
        </w:rPr>
        <w:t>Seismo</w:t>
      </w:r>
      <w:proofErr w:type="spellEnd"/>
      <w:r w:rsidRPr="00220038">
        <w:rPr>
          <w:rFonts w:ascii="Times New Roman" w:hAnsi="Times New Roman" w:cs="Times New Roman"/>
          <w:sz w:val="22"/>
          <w:szCs w:val="22"/>
        </w:rPr>
        <w:t>.</w:t>
      </w:r>
    </w:p>
    <w:p w14:paraId="256A6F6F" w14:textId="77777777" w:rsidR="00C0066A" w:rsidRPr="00220038" w:rsidRDefault="00C0066A" w:rsidP="00C0066A">
      <w:pPr>
        <w:tabs>
          <w:tab w:val="left" w:pos="709"/>
        </w:tabs>
        <w:spacing w:after="60" w:line="240" w:lineRule="auto"/>
        <w:ind w:left="709" w:hanging="709"/>
        <w:rPr>
          <w:rFonts w:cs="Times New Roman"/>
          <w:szCs w:val="22"/>
          <w:lang w:val="en-US"/>
        </w:rPr>
      </w:pPr>
      <w:r w:rsidRPr="00220038">
        <w:rPr>
          <w:rFonts w:cs="Times New Roman"/>
          <w:szCs w:val="22"/>
          <w:lang w:val="de-CH"/>
        </w:rPr>
        <w:t xml:space="preserve">Miller, A. H., E. N. Goldenberg </w:t>
      </w:r>
      <w:proofErr w:type="spellStart"/>
      <w:r w:rsidRPr="00220038">
        <w:rPr>
          <w:rFonts w:cs="Times New Roman"/>
          <w:szCs w:val="22"/>
          <w:lang w:val="de-CH"/>
        </w:rPr>
        <w:t>and</w:t>
      </w:r>
      <w:proofErr w:type="spellEnd"/>
      <w:r w:rsidRPr="00220038">
        <w:rPr>
          <w:rFonts w:cs="Times New Roman"/>
          <w:szCs w:val="22"/>
          <w:lang w:val="de-CH"/>
        </w:rPr>
        <w:t xml:space="preserve"> L. Erbring (1979). </w:t>
      </w:r>
      <w:r w:rsidRPr="00220038">
        <w:rPr>
          <w:rFonts w:cs="Times New Roman"/>
          <w:szCs w:val="22"/>
          <w:lang w:val="en-US"/>
        </w:rPr>
        <w:t xml:space="preserve">Type-Set Politics: Impact of Newspapers on Public Confidence. </w:t>
      </w:r>
      <w:r w:rsidRPr="00220038">
        <w:rPr>
          <w:rFonts w:cs="Times New Roman"/>
          <w:i/>
          <w:szCs w:val="22"/>
          <w:lang w:val="en-US"/>
        </w:rPr>
        <w:t>American Political Science Review</w:t>
      </w:r>
      <w:r w:rsidRPr="00220038">
        <w:rPr>
          <w:rFonts w:cs="Times New Roman"/>
          <w:szCs w:val="22"/>
          <w:lang w:val="en-US"/>
        </w:rPr>
        <w:t>, 73(1): 67-84.</w:t>
      </w:r>
    </w:p>
    <w:p w14:paraId="17BB9234" w14:textId="77777777" w:rsidR="00C0066A" w:rsidRPr="00220038" w:rsidRDefault="00C0066A" w:rsidP="00C0066A">
      <w:pPr>
        <w:pStyle w:val="Literaturverzeichnis2"/>
        <w:spacing w:after="60" w:line="240" w:lineRule="auto"/>
        <w:jc w:val="both"/>
        <w:rPr>
          <w:rFonts w:ascii="Times New Roman" w:hAnsi="Times New Roman" w:cs="Times New Roman"/>
          <w:sz w:val="22"/>
          <w:szCs w:val="22"/>
          <w:lang w:val="en-US"/>
        </w:rPr>
      </w:pPr>
      <w:proofErr w:type="spellStart"/>
      <w:r w:rsidRPr="00220038">
        <w:rPr>
          <w:rFonts w:ascii="Times New Roman" w:hAnsi="Times New Roman" w:cs="Times New Roman"/>
          <w:sz w:val="22"/>
          <w:szCs w:val="22"/>
          <w:lang w:val="en-US"/>
        </w:rPr>
        <w:t>Nai</w:t>
      </w:r>
      <w:proofErr w:type="spellEnd"/>
      <w:r w:rsidRPr="00220038">
        <w:rPr>
          <w:rFonts w:ascii="Times New Roman" w:hAnsi="Times New Roman" w:cs="Times New Roman"/>
          <w:sz w:val="22"/>
          <w:szCs w:val="22"/>
          <w:lang w:val="en-US"/>
        </w:rPr>
        <w:t xml:space="preserve">, A. (2013). What really matters is which camp goes dirty: Differential effects of negative campaigning on turnout during Swiss federal ballots. </w:t>
      </w:r>
      <w:r w:rsidRPr="00220038">
        <w:rPr>
          <w:rFonts w:ascii="Times New Roman" w:hAnsi="Times New Roman" w:cs="Times New Roman"/>
          <w:i/>
          <w:iCs/>
          <w:sz w:val="22"/>
          <w:szCs w:val="22"/>
          <w:lang w:val="en-US"/>
        </w:rPr>
        <w:t>European Journal of Political Research</w:t>
      </w:r>
      <w:r w:rsidRPr="00220038">
        <w:rPr>
          <w:rFonts w:ascii="Times New Roman" w:hAnsi="Times New Roman" w:cs="Times New Roman"/>
          <w:sz w:val="22"/>
          <w:szCs w:val="22"/>
          <w:lang w:val="en-US"/>
        </w:rPr>
        <w:t xml:space="preserve"> </w:t>
      </w:r>
      <w:r w:rsidRPr="00220038">
        <w:rPr>
          <w:rFonts w:ascii="Times New Roman" w:hAnsi="Times New Roman" w:cs="Times New Roman"/>
          <w:i/>
          <w:iCs/>
          <w:sz w:val="22"/>
          <w:szCs w:val="22"/>
          <w:lang w:val="en-US"/>
        </w:rPr>
        <w:t>52</w:t>
      </w:r>
      <w:r w:rsidRPr="00220038">
        <w:rPr>
          <w:rFonts w:ascii="Times New Roman" w:hAnsi="Times New Roman" w:cs="Times New Roman"/>
          <w:sz w:val="22"/>
          <w:szCs w:val="22"/>
          <w:lang w:val="en-US"/>
        </w:rPr>
        <w:t>(1): 44–70.</w:t>
      </w:r>
    </w:p>
    <w:p w14:paraId="11E499E7" w14:textId="77777777" w:rsidR="00C0066A" w:rsidRPr="003C5914" w:rsidRDefault="00C0066A" w:rsidP="00C0066A">
      <w:pPr>
        <w:pStyle w:val="NormalWeb"/>
        <w:spacing w:before="0" w:beforeAutospacing="0" w:after="60" w:afterAutospacing="0"/>
        <w:ind w:left="709" w:hanging="709"/>
        <w:rPr>
          <w:sz w:val="22"/>
          <w:szCs w:val="22"/>
          <w:lang w:val="en-US"/>
        </w:rPr>
      </w:pPr>
      <w:r w:rsidRPr="00220038">
        <w:rPr>
          <w:sz w:val="22"/>
          <w:szCs w:val="22"/>
          <w:lang w:val="en-US"/>
        </w:rPr>
        <w:t xml:space="preserve">Nicolet, S. and P. </w:t>
      </w:r>
      <w:proofErr w:type="spellStart"/>
      <w:r w:rsidRPr="00220038">
        <w:rPr>
          <w:sz w:val="22"/>
          <w:szCs w:val="22"/>
          <w:lang w:val="en-US"/>
        </w:rPr>
        <w:t>Sciarini</w:t>
      </w:r>
      <w:proofErr w:type="spellEnd"/>
      <w:r w:rsidRPr="00220038">
        <w:rPr>
          <w:sz w:val="22"/>
          <w:szCs w:val="22"/>
          <w:lang w:val="en-US"/>
        </w:rPr>
        <w:t xml:space="preserve"> (2006). </w:t>
      </w:r>
      <w:r w:rsidRPr="00220038">
        <w:rPr>
          <w:bCs/>
          <w:sz w:val="22"/>
          <w:szCs w:val="22"/>
          <w:lang w:val="en-US"/>
        </w:rPr>
        <w:t>When Do Issue Opinions Matter, and to Whom? The Determinants of Long-Term</w:t>
      </w:r>
      <w:r w:rsidRPr="003C5914">
        <w:rPr>
          <w:bCs/>
          <w:sz w:val="22"/>
          <w:szCs w:val="22"/>
          <w:lang w:val="en-US"/>
        </w:rPr>
        <w:t xml:space="preserve"> Stability and Change in Party Choice in the 2003 Swiss Elections. </w:t>
      </w:r>
      <w:r w:rsidRPr="003C5914">
        <w:rPr>
          <w:i/>
          <w:sz w:val="22"/>
          <w:szCs w:val="22"/>
          <w:lang w:val="en-US"/>
        </w:rPr>
        <w:t>Swiss Political Science Review</w:t>
      </w:r>
      <w:r w:rsidRPr="003C5914">
        <w:rPr>
          <w:sz w:val="22"/>
          <w:szCs w:val="22"/>
          <w:lang w:val="en-US"/>
        </w:rPr>
        <w:t xml:space="preserve"> 12(4): 159-190 .</w:t>
      </w:r>
    </w:p>
    <w:p w14:paraId="09F0F190" w14:textId="77777777" w:rsidR="00C0066A" w:rsidRPr="003C5914" w:rsidRDefault="00C0066A" w:rsidP="00C0066A">
      <w:pPr>
        <w:tabs>
          <w:tab w:val="left" w:pos="709"/>
        </w:tabs>
        <w:spacing w:after="60" w:line="240" w:lineRule="auto"/>
        <w:ind w:left="709" w:hanging="709"/>
        <w:rPr>
          <w:rFonts w:cs="Times New Roman"/>
          <w:szCs w:val="22"/>
          <w:lang w:val="en-US"/>
        </w:rPr>
      </w:pPr>
      <w:proofErr w:type="spellStart"/>
      <w:r w:rsidRPr="003C5914">
        <w:rPr>
          <w:rFonts w:cs="Times New Roman"/>
          <w:szCs w:val="22"/>
          <w:lang w:val="en-US"/>
        </w:rPr>
        <w:t>Petrocik</w:t>
      </w:r>
      <w:proofErr w:type="spellEnd"/>
      <w:r w:rsidRPr="003C5914">
        <w:rPr>
          <w:rFonts w:cs="Times New Roman"/>
          <w:szCs w:val="22"/>
          <w:lang w:val="en-US"/>
        </w:rPr>
        <w:t xml:space="preserve">, J. (1996). Issue Ownership and Presidential Elections. </w:t>
      </w:r>
      <w:r w:rsidRPr="003C5914">
        <w:rPr>
          <w:rFonts w:cs="Times New Roman"/>
          <w:i/>
          <w:szCs w:val="22"/>
          <w:lang w:val="en-US"/>
        </w:rPr>
        <w:t>American Journal of Political Science</w:t>
      </w:r>
      <w:r w:rsidRPr="003C5914">
        <w:rPr>
          <w:rFonts w:cs="Times New Roman"/>
          <w:szCs w:val="22"/>
          <w:lang w:val="en-US"/>
        </w:rPr>
        <w:t xml:space="preserve"> 40: 825–850. </w:t>
      </w:r>
    </w:p>
    <w:p w14:paraId="488A51EF" w14:textId="77777777" w:rsidR="00C0066A" w:rsidRPr="003C5914" w:rsidRDefault="00C0066A" w:rsidP="00C0066A">
      <w:pPr>
        <w:tabs>
          <w:tab w:val="left" w:pos="709"/>
        </w:tabs>
        <w:spacing w:after="60" w:line="240" w:lineRule="auto"/>
        <w:ind w:left="709" w:hanging="709"/>
        <w:rPr>
          <w:rFonts w:cs="Times New Roman"/>
          <w:szCs w:val="22"/>
          <w:lang w:val="en-US"/>
        </w:rPr>
      </w:pPr>
      <w:proofErr w:type="spellStart"/>
      <w:r w:rsidRPr="003C5914">
        <w:rPr>
          <w:rFonts w:cs="Times New Roman"/>
          <w:szCs w:val="22"/>
          <w:lang w:val="en-US"/>
        </w:rPr>
        <w:t>Ridout</w:t>
      </w:r>
      <w:proofErr w:type="spellEnd"/>
      <w:r w:rsidRPr="003C5914">
        <w:rPr>
          <w:rFonts w:cs="Times New Roman"/>
          <w:szCs w:val="22"/>
          <w:lang w:val="en-US"/>
        </w:rPr>
        <w:t xml:space="preserve">, T., M. Franz, K. Goldstein and P. Freedman (2002). </w:t>
      </w:r>
      <w:r w:rsidRPr="003C5914">
        <w:rPr>
          <w:rFonts w:cs="Times New Roman"/>
          <w:i/>
          <w:szCs w:val="22"/>
          <w:lang w:val="en-US"/>
        </w:rPr>
        <w:t>Measuring Exposure to Campaign Advertising</w:t>
      </w:r>
      <w:r w:rsidRPr="003C5914">
        <w:rPr>
          <w:rFonts w:cs="Times New Roman"/>
          <w:szCs w:val="22"/>
          <w:lang w:val="en-US"/>
        </w:rPr>
        <w:t>. University of Wisconsin-Madison, Working paper.</w:t>
      </w:r>
    </w:p>
    <w:p w14:paraId="7D7623E0" w14:textId="77777777" w:rsidR="00C0066A" w:rsidRPr="003C5914" w:rsidRDefault="00C0066A" w:rsidP="00C0066A">
      <w:pPr>
        <w:tabs>
          <w:tab w:val="left" w:pos="709"/>
        </w:tabs>
        <w:spacing w:after="60" w:line="240" w:lineRule="auto"/>
        <w:ind w:left="709" w:hanging="709"/>
        <w:rPr>
          <w:rFonts w:cs="Times New Roman"/>
          <w:szCs w:val="22"/>
          <w:lang w:val="en-US"/>
        </w:rPr>
      </w:pPr>
      <w:r w:rsidRPr="003C5914">
        <w:rPr>
          <w:rFonts w:cs="Times New Roman"/>
          <w:szCs w:val="22"/>
          <w:lang w:val="en-US"/>
        </w:rPr>
        <w:t xml:space="preserve">Sanders, D. (2012). The Effects of Deliberative Polling in an EU-Wide Experiment: Five Mechanisms in Search of an Explanation. </w:t>
      </w:r>
      <w:r w:rsidRPr="003C5914">
        <w:rPr>
          <w:rFonts w:cs="Times New Roman"/>
          <w:i/>
          <w:szCs w:val="22"/>
          <w:lang w:val="en-US"/>
        </w:rPr>
        <w:t>British Journal of Political Science</w:t>
      </w:r>
      <w:r w:rsidRPr="003C5914">
        <w:rPr>
          <w:rFonts w:cs="Times New Roman"/>
          <w:szCs w:val="22"/>
          <w:lang w:val="en-US"/>
        </w:rPr>
        <w:t xml:space="preserve"> 42(3): 617–640.</w:t>
      </w:r>
    </w:p>
    <w:p w14:paraId="4839AF09" w14:textId="661DFF4B" w:rsidR="00E57966" w:rsidRDefault="00E57966" w:rsidP="00E57966">
      <w:pPr>
        <w:tabs>
          <w:tab w:val="left" w:pos="709"/>
        </w:tabs>
        <w:spacing w:after="60" w:line="240" w:lineRule="auto"/>
        <w:ind w:left="709" w:hanging="709"/>
        <w:rPr>
          <w:rFonts w:cs="Times New Roman"/>
          <w:szCs w:val="22"/>
          <w:lang w:val="en-US"/>
        </w:rPr>
      </w:pPr>
      <w:proofErr w:type="spellStart"/>
      <w:r w:rsidRPr="003C5914">
        <w:rPr>
          <w:rFonts w:cs="Times New Roman"/>
          <w:szCs w:val="22"/>
          <w:lang w:val="en-US"/>
        </w:rPr>
        <w:t>Scharkow</w:t>
      </w:r>
      <w:proofErr w:type="spellEnd"/>
      <w:r w:rsidRPr="003C5914">
        <w:rPr>
          <w:rFonts w:cs="Times New Roman"/>
          <w:szCs w:val="22"/>
          <w:lang w:val="en-US"/>
        </w:rPr>
        <w:t xml:space="preserve">, M. and M. </w:t>
      </w:r>
      <w:proofErr w:type="spellStart"/>
      <w:r w:rsidRPr="003C5914">
        <w:rPr>
          <w:rFonts w:cs="Times New Roman"/>
          <w:szCs w:val="22"/>
          <w:lang w:val="en-US"/>
        </w:rPr>
        <w:t>Bachl</w:t>
      </w:r>
      <w:proofErr w:type="spellEnd"/>
      <w:r w:rsidRPr="003C5914">
        <w:rPr>
          <w:rFonts w:cs="Times New Roman"/>
          <w:szCs w:val="22"/>
          <w:lang w:val="en-US"/>
        </w:rPr>
        <w:t xml:space="preserve"> (2017). How Measurement Error in Content Analysis and Self-Reported Media Use Leads to Minimal Media Effect Findings in Linkage Analyses: A Simulation Study. </w:t>
      </w:r>
      <w:r w:rsidRPr="003C5914">
        <w:rPr>
          <w:rFonts w:cs="Times New Roman"/>
          <w:i/>
          <w:szCs w:val="22"/>
          <w:lang w:val="en-US"/>
        </w:rPr>
        <w:t>Political Communication</w:t>
      </w:r>
      <w:r w:rsidRPr="003C5914">
        <w:rPr>
          <w:rFonts w:cs="Times New Roman"/>
          <w:szCs w:val="22"/>
          <w:lang w:val="en-US"/>
        </w:rPr>
        <w:t xml:space="preserve"> 34(3): 323–343.</w:t>
      </w:r>
    </w:p>
    <w:p w14:paraId="384B315A" w14:textId="706405A6" w:rsidR="00C0066A" w:rsidRPr="003C5914" w:rsidRDefault="00C0066A" w:rsidP="00C0066A">
      <w:pPr>
        <w:tabs>
          <w:tab w:val="left" w:pos="709"/>
        </w:tabs>
        <w:spacing w:after="60" w:line="240" w:lineRule="auto"/>
        <w:ind w:left="709" w:hanging="709"/>
        <w:rPr>
          <w:rFonts w:cs="Times New Roman"/>
          <w:szCs w:val="22"/>
          <w:lang w:val="en-US"/>
        </w:rPr>
      </w:pPr>
      <w:proofErr w:type="spellStart"/>
      <w:r w:rsidRPr="003C5914">
        <w:rPr>
          <w:rFonts w:cs="Times New Roman"/>
          <w:szCs w:val="22"/>
          <w:lang w:val="en-US"/>
        </w:rPr>
        <w:t>Sciarini</w:t>
      </w:r>
      <w:proofErr w:type="spellEnd"/>
      <w:r w:rsidRPr="003C5914">
        <w:rPr>
          <w:rFonts w:cs="Times New Roman"/>
          <w:szCs w:val="22"/>
          <w:lang w:val="en-US"/>
        </w:rPr>
        <w:t xml:space="preserve">, P. and H. </w:t>
      </w:r>
      <w:proofErr w:type="spellStart"/>
      <w:r w:rsidRPr="003C5914">
        <w:rPr>
          <w:rFonts w:cs="Times New Roman"/>
          <w:szCs w:val="22"/>
          <w:lang w:val="en-US"/>
        </w:rPr>
        <w:t>Kriesi</w:t>
      </w:r>
      <w:proofErr w:type="spellEnd"/>
      <w:r w:rsidRPr="003C5914">
        <w:rPr>
          <w:rFonts w:cs="Times New Roman"/>
          <w:szCs w:val="22"/>
          <w:lang w:val="en-US"/>
        </w:rPr>
        <w:t xml:space="preserve"> (2003). Opinion Stability and Change during an Electoral Campaign. Results from the 1999 Swiss Election Panel Study. </w:t>
      </w:r>
      <w:r w:rsidRPr="003C5914">
        <w:rPr>
          <w:rFonts w:cs="Times New Roman"/>
          <w:i/>
          <w:szCs w:val="22"/>
          <w:lang w:val="en-US"/>
        </w:rPr>
        <w:t>International Journal of Public Opinion Research</w:t>
      </w:r>
      <w:r w:rsidRPr="003C5914">
        <w:rPr>
          <w:rFonts w:cs="Times New Roman"/>
          <w:szCs w:val="22"/>
          <w:lang w:val="en-US"/>
        </w:rPr>
        <w:t xml:space="preserve"> 15(4): 431–453. </w:t>
      </w:r>
    </w:p>
    <w:p w14:paraId="1EB072D8" w14:textId="77777777" w:rsidR="00C0066A" w:rsidRPr="003C5914" w:rsidRDefault="00C0066A" w:rsidP="00C0066A">
      <w:pPr>
        <w:spacing w:after="60" w:line="240" w:lineRule="auto"/>
        <w:ind w:left="709" w:hanging="709"/>
        <w:rPr>
          <w:rStyle w:val="Lienhypertexte"/>
          <w:rFonts w:cs="Times New Roman"/>
          <w:szCs w:val="22"/>
          <w:lang w:val="en-US"/>
        </w:rPr>
      </w:pPr>
      <w:r w:rsidRPr="003C5914">
        <w:rPr>
          <w:rFonts w:cs="Times New Roman"/>
          <w:szCs w:val="22"/>
          <w:lang w:val="en-US"/>
        </w:rPr>
        <w:t xml:space="preserve">Selects (2016). Panel / Rolling cross-section study 2015 [Dataset]. Distributed by </w:t>
      </w:r>
      <w:proofErr w:type="spellStart"/>
      <w:r w:rsidRPr="003C5914">
        <w:rPr>
          <w:rFonts w:cs="Times New Roman"/>
          <w:szCs w:val="22"/>
          <w:lang w:val="en-US"/>
        </w:rPr>
        <w:t>FORS</w:t>
      </w:r>
      <w:proofErr w:type="spellEnd"/>
      <w:r w:rsidRPr="003C5914">
        <w:rPr>
          <w:rFonts w:cs="Times New Roman"/>
          <w:szCs w:val="22"/>
          <w:lang w:val="en-US"/>
        </w:rPr>
        <w:t>, Lausanne. www.selects.ch</w:t>
      </w:r>
    </w:p>
    <w:p w14:paraId="72329185" w14:textId="48C4F189" w:rsidR="00C0066A" w:rsidRPr="003C5914" w:rsidRDefault="00C0066A" w:rsidP="00C0066A">
      <w:pPr>
        <w:spacing w:after="60" w:line="240" w:lineRule="auto"/>
        <w:ind w:left="709" w:hanging="709"/>
        <w:rPr>
          <w:rFonts w:cs="Times New Roman"/>
          <w:szCs w:val="22"/>
          <w:lang w:val="en-US"/>
        </w:rPr>
      </w:pPr>
      <w:r w:rsidRPr="003C5914">
        <w:rPr>
          <w:rFonts w:cs="Times New Roman"/>
          <w:szCs w:val="22"/>
          <w:lang w:val="en-US"/>
        </w:rPr>
        <w:t xml:space="preserve">Selects (2017). Swiss national election studies, cumulated file 1971-2015 [Dataset]. Distributed by </w:t>
      </w:r>
      <w:proofErr w:type="spellStart"/>
      <w:r w:rsidRPr="003C5914">
        <w:rPr>
          <w:rFonts w:cs="Times New Roman"/>
          <w:szCs w:val="22"/>
          <w:lang w:val="en-US"/>
        </w:rPr>
        <w:t>FORS</w:t>
      </w:r>
      <w:proofErr w:type="spellEnd"/>
      <w:r w:rsidRPr="003C5914">
        <w:rPr>
          <w:rFonts w:cs="Times New Roman"/>
          <w:szCs w:val="22"/>
          <w:lang w:val="en-US"/>
        </w:rPr>
        <w:t xml:space="preserve">, Lausanne. </w:t>
      </w:r>
      <w:r w:rsidR="00972A82" w:rsidRPr="003C5914">
        <w:rPr>
          <w:rStyle w:val="Lienhypertexte"/>
          <w:rFonts w:cs="Times New Roman"/>
          <w:color w:val="000000" w:themeColor="text1"/>
          <w:szCs w:val="22"/>
          <w:lang w:val="en-US"/>
        </w:rPr>
        <w:t>www.selects.ch</w:t>
      </w:r>
    </w:p>
    <w:p w14:paraId="19059F58" w14:textId="225D0DD9" w:rsidR="00C0066A" w:rsidRPr="003C5914" w:rsidRDefault="00C0066A" w:rsidP="00C0066A">
      <w:pPr>
        <w:pStyle w:val="Literaturverzeichnis2"/>
        <w:spacing w:after="60" w:line="240" w:lineRule="auto"/>
        <w:jc w:val="both"/>
        <w:rPr>
          <w:rFonts w:ascii="Times New Roman" w:hAnsi="Times New Roman" w:cs="Times New Roman"/>
          <w:sz w:val="22"/>
          <w:szCs w:val="22"/>
          <w:lang w:val="en-US"/>
        </w:rPr>
      </w:pPr>
      <w:proofErr w:type="spellStart"/>
      <w:r w:rsidRPr="003C5914">
        <w:rPr>
          <w:rFonts w:ascii="Times New Roman" w:hAnsi="Times New Roman" w:cs="Times New Roman"/>
          <w:sz w:val="22"/>
          <w:szCs w:val="22"/>
          <w:lang w:val="en-US"/>
        </w:rPr>
        <w:t>Slothuus</w:t>
      </w:r>
      <w:proofErr w:type="spellEnd"/>
      <w:r w:rsidRPr="003C5914">
        <w:rPr>
          <w:rFonts w:ascii="Times New Roman" w:hAnsi="Times New Roman" w:cs="Times New Roman"/>
          <w:sz w:val="22"/>
          <w:szCs w:val="22"/>
          <w:lang w:val="en-US"/>
        </w:rPr>
        <w:t xml:space="preserve">, R. and C. H. </w:t>
      </w:r>
      <w:r w:rsidR="008610A8" w:rsidRPr="003C5914">
        <w:rPr>
          <w:rFonts w:ascii="Times New Roman" w:hAnsi="Times New Roman" w:cs="Times New Roman"/>
          <w:sz w:val="22"/>
          <w:szCs w:val="22"/>
          <w:lang w:val="en-US"/>
        </w:rPr>
        <w:t>D</w:t>
      </w:r>
      <w:r w:rsidRPr="003C5914">
        <w:rPr>
          <w:rFonts w:ascii="Times New Roman" w:hAnsi="Times New Roman" w:cs="Times New Roman"/>
          <w:sz w:val="22"/>
          <w:szCs w:val="22"/>
          <w:lang w:val="en-US"/>
        </w:rPr>
        <w:t xml:space="preserve">e </w:t>
      </w:r>
      <w:proofErr w:type="spellStart"/>
      <w:r w:rsidRPr="003C5914">
        <w:rPr>
          <w:rFonts w:ascii="Times New Roman" w:hAnsi="Times New Roman" w:cs="Times New Roman"/>
          <w:sz w:val="22"/>
          <w:szCs w:val="22"/>
          <w:lang w:val="en-US"/>
        </w:rPr>
        <w:t>Vreese</w:t>
      </w:r>
      <w:proofErr w:type="spellEnd"/>
      <w:r w:rsidRPr="003C5914">
        <w:rPr>
          <w:rFonts w:ascii="Times New Roman" w:hAnsi="Times New Roman" w:cs="Times New Roman"/>
          <w:sz w:val="22"/>
          <w:szCs w:val="22"/>
          <w:lang w:val="en-US"/>
        </w:rPr>
        <w:t xml:space="preserve"> (2010). Political Parties, Motivated Reasoning, and Issue Framing Effects. </w:t>
      </w:r>
      <w:r w:rsidRPr="003C5914">
        <w:rPr>
          <w:rFonts w:ascii="Times New Roman" w:hAnsi="Times New Roman" w:cs="Times New Roman"/>
          <w:i/>
          <w:iCs/>
          <w:sz w:val="22"/>
          <w:szCs w:val="22"/>
          <w:lang w:val="en-US"/>
        </w:rPr>
        <w:t>The Journal of Politics</w:t>
      </w:r>
      <w:r w:rsidRPr="003C5914">
        <w:rPr>
          <w:rFonts w:ascii="Times New Roman" w:hAnsi="Times New Roman" w:cs="Times New Roman"/>
          <w:sz w:val="22"/>
          <w:szCs w:val="22"/>
          <w:lang w:val="en-US"/>
        </w:rPr>
        <w:t xml:space="preserve"> </w:t>
      </w:r>
      <w:r w:rsidRPr="003C5914">
        <w:rPr>
          <w:rFonts w:ascii="Times New Roman" w:hAnsi="Times New Roman" w:cs="Times New Roman"/>
          <w:i/>
          <w:iCs/>
          <w:sz w:val="22"/>
          <w:szCs w:val="22"/>
          <w:lang w:val="en-US"/>
        </w:rPr>
        <w:t>72</w:t>
      </w:r>
      <w:r w:rsidRPr="003C5914">
        <w:rPr>
          <w:rFonts w:ascii="Times New Roman" w:hAnsi="Times New Roman" w:cs="Times New Roman"/>
          <w:sz w:val="22"/>
          <w:szCs w:val="22"/>
          <w:lang w:val="en-US"/>
        </w:rPr>
        <w:t xml:space="preserve">(3): 630–645. </w:t>
      </w:r>
    </w:p>
    <w:p w14:paraId="07BEA88C" w14:textId="77777777" w:rsidR="00C0066A" w:rsidRPr="003C5914" w:rsidRDefault="00C0066A" w:rsidP="00C0066A">
      <w:pPr>
        <w:tabs>
          <w:tab w:val="left" w:pos="709"/>
        </w:tabs>
        <w:spacing w:after="60" w:line="240" w:lineRule="auto"/>
        <w:ind w:left="709" w:hanging="709"/>
        <w:rPr>
          <w:rFonts w:cs="Times New Roman"/>
          <w:szCs w:val="22"/>
          <w:lang w:val="en-US"/>
        </w:rPr>
      </w:pPr>
      <w:proofErr w:type="spellStart"/>
      <w:r w:rsidRPr="003C5914">
        <w:rPr>
          <w:rFonts w:cs="Times New Roman"/>
          <w:szCs w:val="22"/>
          <w:lang w:val="en-US"/>
        </w:rPr>
        <w:t>Spenkuch</w:t>
      </w:r>
      <w:proofErr w:type="spellEnd"/>
      <w:r w:rsidRPr="003C5914">
        <w:rPr>
          <w:rFonts w:cs="Times New Roman"/>
          <w:szCs w:val="22"/>
          <w:lang w:val="en-US"/>
        </w:rPr>
        <w:t xml:space="preserve">, J. L. and D. </w:t>
      </w:r>
      <w:proofErr w:type="spellStart"/>
      <w:r w:rsidRPr="003C5914">
        <w:rPr>
          <w:rFonts w:cs="Times New Roman"/>
          <w:szCs w:val="22"/>
          <w:lang w:val="en-US"/>
        </w:rPr>
        <w:t>Toniatti</w:t>
      </w:r>
      <w:proofErr w:type="spellEnd"/>
      <w:r w:rsidRPr="003C5914">
        <w:rPr>
          <w:rFonts w:cs="Times New Roman"/>
          <w:szCs w:val="22"/>
          <w:lang w:val="en-US"/>
        </w:rPr>
        <w:t xml:space="preserve"> (2015). </w:t>
      </w:r>
      <w:r w:rsidRPr="003C5914">
        <w:rPr>
          <w:rFonts w:cs="Times New Roman"/>
          <w:i/>
          <w:szCs w:val="22"/>
          <w:lang w:val="en-US"/>
        </w:rPr>
        <w:t>Political Advertising and Election Outcomes</w:t>
      </w:r>
      <w:r w:rsidRPr="003C5914">
        <w:rPr>
          <w:rFonts w:cs="Times New Roman"/>
          <w:szCs w:val="22"/>
          <w:lang w:val="en-US"/>
        </w:rPr>
        <w:t xml:space="preserve">. </w:t>
      </w:r>
      <w:proofErr w:type="spellStart"/>
      <w:r w:rsidRPr="003C5914">
        <w:rPr>
          <w:rFonts w:cs="Times New Roman"/>
          <w:szCs w:val="22"/>
          <w:lang w:val="en-US"/>
        </w:rPr>
        <w:t>CESifo</w:t>
      </w:r>
      <w:proofErr w:type="spellEnd"/>
      <w:r w:rsidRPr="003C5914">
        <w:rPr>
          <w:rFonts w:cs="Times New Roman"/>
          <w:szCs w:val="22"/>
          <w:lang w:val="en-US"/>
        </w:rPr>
        <w:t xml:space="preserve"> Working Paper No. 5780.</w:t>
      </w:r>
    </w:p>
    <w:p w14:paraId="3854B177" w14:textId="77777777" w:rsidR="00C0066A" w:rsidRPr="003C5914" w:rsidRDefault="00C0066A" w:rsidP="00C0066A">
      <w:pPr>
        <w:tabs>
          <w:tab w:val="left" w:pos="709"/>
        </w:tabs>
        <w:spacing w:after="60" w:line="240" w:lineRule="auto"/>
        <w:ind w:left="709" w:hanging="709"/>
        <w:rPr>
          <w:rFonts w:cs="Times New Roman"/>
          <w:szCs w:val="22"/>
          <w:lang w:val="en-US"/>
        </w:rPr>
      </w:pPr>
      <w:proofErr w:type="spellStart"/>
      <w:r w:rsidRPr="003C5914">
        <w:rPr>
          <w:rFonts w:cs="Times New Roman"/>
          <w:szCs w:val="22"/>
          <w:lang w:val="en-US"/>
        </w:rPr>
        <w:t>Steenbergen</w:t>
      </w:r>
      <w:proofErr w:type="spellEnd"/>
      <w:r w:rsidRPr="003C5914">
        <w:rPr>
          <w:rFonts w:cs="Times New Roman"/>
          <w:szCs w:val="22"/>
          <w:lang w:val="en-US"/>
        </w:rPr>
        <w:t xml:space="preserve">, M. (2010). Decomposing the Vote: Individual, Communal, and Cantonal Sources of Voting Behavior in Switzerland. </w:t>
      </w:r>
      <w:r w:rsidRPr="003C5914">
        <w:rPr>
          <w:rFonts w:cs="Times New Roman"/>
          <w:i/>
          <w:szCs w:val="22"/>
          <w:lang w:val="en-US"/>
        </w:rPr>
        <w:t>Swiss Political Science Review</w:t>
      </w:r>
      <w:r w:rsidRPr="003C5914">
        <w:rPr>
          <w:rFonts w:cs="Times New Roman"/>
          <w:szCs w:val="22"/>
          <w:lang w:val="en-US"/>
        </w:rPr>
        <w:t xml:space="preserve"> 16(3): 403–424.</w:t>
      </w:r>
    </w:p>
    <w:p w14:paraId="2428FB52" w14:textId="70614117" w:rsidR="00642481" w:rsidRPr="003C5914" w:rsidRDefault="00856DBA" w:rsidP="00C0066A">
      <w:pPr>
        <w:tabs>
          <w:tab w:val="left" w:pos="709"/>
        </w:tabs>
        <w:spacing w:after="60" w:line="240" w:lineRule="auto"/>
        <w:ind w:left="709" w:hanging="709"/>
        <w:rPr>
          <w:rFonts w:cs="Times New Roman"/>
          <w:szCs w:val="22"/>
          <w:lang w:val="en-US"/>
        </w:rPr>
      </w:pPr>
      <w:proofErr w:type="spellStart"/>
      <w:r>
        <w:rPr>
          <w:rFonts w:cs="Times New Roman"/>
          <w:szCs w:val="22"/>
          <w:lang w:val="en-US"/>
        </w:rPr>
        <w:t>Stubager</w:t>
      </w:r>
      <w:proofErr w:type="spellEnd"/>
      <w:r>
        <w:rPr>
          <w:rFonts w:cs="Times New Roman"/>
          <w:szCs w:val="22"/>
          <w:lang w:val="en-US"/>
        </w:rPr>
        <w:t>, R. a</w:t>
      </w:r>
      <w:r w:rsidR="00642481" w:rsidRPr="003C5914">
        <w:rPr>
          <w:rFonts w:cs="Times New Roman"/>
          <w:szCs w:val="22"/>
          <w:lang w:val="en-US"/>
        </w:rPr>
        <w:t xml:space="preserve">nd R., </w:t>
      </w:r>
      <w:proofErr w:type="spellStart"/>
      <w:r w:rsidR="00642481" w:rsidRPr="003C5914">
        <w:rPr>
          <w:rFonts w:cs="Times New Roman"/>
          <w:szCs w:val="22"/>
          <w:lang w:val="en-US"/>
        </w:rPr>
        <w:t>Sloothus</w:t>
      </w:r>
      <w:proofErr w:type="spellEnd"/>
      <w:r w:rsidR="00642481" w:rsidRPr="003C5914">
        <w:rPr>
          <w:rFonts w:cs="Times New Roman"/>
          <w:szCs w:val="22"/>
          <w:lang w:val="en-US"/>
        </w:rPr>
        <w:t xml:space="preserve"> (2012). What are the sources of political parties’ issue ownership? Testing four explanations at the individual level. </w:t>
      </w:r>
      <w:r w:rsidR="00642481" w:rsidRPr="003C5914">
        <w:rPr>
          <w:rFonts w:cs="Times New Roman"/>
          <w:i/>
          <w:szCs w:val="22"/>
          <w:lang w:val="en-US"/>
        </w:rPr>
        <w:t>Political Behavior</w:t>
      </w:r>
      <w:r w:rsidR="00642481" w:rsidRPr="003C5914">
        <w:rPr>
          <w:rFonts w:cs="Times New Roman"/>
          <w:szCs w:val="22"/>
          <w:lang w:val="en-US"/>
        </w:rPr>
        <w:t>, doi:10.1007/s11109-012-9204-2.</w:t>
      </w:r>
    </w:p>
    <w:p w14:paraId="533E5181" w14:textId="77777777" w:rsidR="00C0066A" w:rsidRPr="003C5914" w:rsidRDefault="00C0066A" w:rsidP="00C0066A">
      <w:pPr>
        <w:pStyle w:val="Literaturverzeichnis2"/>
        <w:spacing w:after="60" w:line="240" w:lineRule="auto"/>
        <w:jc w:val="both"/>
        <w:rPr>
          <w:rFonts w:ascii="Times New Roman" w:hAnsi="Times New Roman" w:cs="Times New Roman"/>
          <w:sz w:val="22"/>
          <w:szCs w:val="22"/>
          <w:lang w:val="en-US"/>
        </w:rPr>
      </w:pPr>
      <w:proofErr w:type="spellStart"/>
      <w:r w:rsidRPr="00D86AA7">
        <w:rPr>
          <w:rFonts w:ascii="Times New Roman" w:hAnsi="Times New Roman" w:cs="Times New Roman"/>
          <w:sz w:val="22"/>
          <w:szCs w:val="22"/>
        </w:rPr>
        <w:t>Taber</w:t>
      </w:r>
      <w:proofErr w:type="spellEnd"/>
      <w:r w:rsidRPr="00D86AA7">
        <w:rPr>
          <w:rFonts w:ascii="Times New Roman" w:hAnsi="Times New Roman" w:cs="Times New Roman"/>
          <w:sz w:val="22"/>
          <w:szCs w:val="22"/>
        </w:rPr>
        <w:t xml:space="preserve">, C. S., &amp; Lodge, M. (2006). </w:t>
      </w:r>
      <w:r w:rsidRPr="0034379F">
        <w:rPr>
          <w:rFonts w:ascii="Times New Roman" w:hAnsi="Times New Roman" w:cs="Times New Roman"/>
          <w:sz w:val="22"/>
          <w:szCs w:val="22"/>
          <w:lang w:val="en-US"/>
        </w:rPr>
        <w:t xml:space="preserve">Motivated Skepticism in the Evaluation of Political Beliefs. </w:t>
      </w:r>
      <w:r w:rsidRPr="003C5914">
        <w:rPr>
          <w:rFonts w:ascii="Times New Roman" w:hAnsi="Times New Roman" w:cs="Times New Roman"/>
          <w:i/>
          <w:iCs/>
          <w:sz w:val="22"/>
          <w:szCs w:val="22"/>
          <w:lang w:val="en-US"/>
        </w:rPr>
        <w:t>American Journal of Political Science</w:t>
      </w:r>
      <w:r w:rsidRPr="003C5914">
        <w:rPr>
          <w:rFonts w:ascii="Times New Roman" w:hAnsi="Times New Roman" w:cs="Times New Roman"/>
          <w:sz w:val="22"/>
          <w:szCs w:val="22"/>
          <w:lang w:val="en-US"/>
        </w:rPr>
        <w:t xml:space="preserve"> </w:t>
      </w:r>
      <w:r w:rsidRPr="003C5914">
        <w:rPr>
          <w:rFonts w:ascii="Times New Roman" w:hAnsi="Times New Roman" w:cs="Times New Roman"/>
          <w:i/>
          <w:iCs/>
          <w:sz w:val="22"/>
          <w:szCs w:val="22"/>
          <w:lang w:val="en-US"/>
        </w:rPr>
        <w:t>50</w:t>
      </w:r>
      <w:r w:rsidRPr="003C5914">
        <w:rPr>
          <w:rFonts w:ascii="Times New Roman" w:hAnsi="Times New Roman" w:cs="Times New Roman"/>
          <w:sz w:val="22"/>
          <w:szCs w:val="22"/>
          <w:lang w:val="en-US"/>
        </w:rPr>
        <w:t xml:space="preserve">(3): 755–769. </w:t>
      </w:r>
    </w:p>
    <w:p w14:paraId="09C315ED" w14:textId="77777777" w:rsidR="00642481" w:rsidRPr="0027246E" w:rsidRDefault="00642481" w:rsidP="00C0066A">
      <w:pPr>
        <w:pStyle w:val="Literaturverzeichnis2"/>
        <w:spacing w:after="60" w:line="240" w:lineRule="auto"/>
        <w:jc w:val="both"/>
        <w:rPr>
          <w:rFonts w:ascii="Times New Roman" w:hAnsi="Times New Roman" w:cs="Times New Roman"/>
          <w:sz w:val="22"/>
          <w:szCs w:val="22"/>
          <w:lang w:val="en-US"/>
        </w:rPr>
      </w:pPr>
      <w:proofErr w:type="spellStart"/>
      <w:r w:rsidRPr="0027246E">
        <w:rPr>
          <w:rFonts w:ascii="Times New Roman" w:hAnsi="Times New Roman" w:cs="Times New Roman"/>
          <w:sz w:val="22"/>
          <w:szCs w:val="22"/>
          <w:lang w:val="en-US"/>
        </w:rPr>
        <w:lastRenderedPageBreak/>
        <w:t>Walgrave</w:t>
      </w:r>
      <w:proofErr w:type="spellEnd"/>
      <w:r w:rsidRPr="0027246E">
        <w:rPr>
          <w:rFonts w:ascii="Times New Roman" w:hAnsi="Times New Roman" w:cs="Times New Roman"/>
          <w:sz w:val="22"/>
          <w:szCs w:val="22"/>
          <w:lang w:val="en-US"/>
        </w:rPr>
        <w:t xml:space="preserve">, S., </w:t>
      </w:r>
      <w:proofErr w:type="spellStart"/>
      <w:r w:rsidRPr="0027246E">
        <w:rPr>
          <w:rFonts w:ascii="Times New Roman" w:hAnsi="Times New Roman" w:cs="Times New Roman"/>
          <w:sz w:val="22"/>
          <w:szCs w:val="22"/>
          <w:lang w:val="en-US"/>
        </w:rPr>
        <w:t>Lefevre</w:t>
      </w:r>
      <w:proofErr w:type="spellEnd"/>
      <w:r w:rsidRPr="0027246E">
        <w:rPr>
          <w:rFonts w:ascii="Times New Roman" w:hAnsi="Times New Roman" w:cs="Times New Roman"/>
          <w:sz w:val="22"/>
          <w:szCs w:val="22"/>
          <w:lang w:val="en-US"/>
        </w:rPr>
        <w:t xml:space="preserve">, J. and M., </w:t>
      </w:r>
      <w:proofErr w:type="spellStart"/>
      <w:r w:rsidRPr="0027246E">
        <w:rPr>
          <w:rFonts w:ascii="Times New Roman" w:hAnsi="Times New Roman" w:cs="Times New Roman"/>
          <w:sz w:val="22"/>
          <w:szCs w:val="22"/>
          <w:lang w:val="en-US"/>
        </w:rPr>
        <w:t>Nuytemans</w:t>
      </w:r>
      <w:proofErr w:type="spellEnd"/>
      <w:r w:rsidRPr="0027246E">
        <w:rPr>
          <w:rFonts w:ascii="Times New Roman" w:hAnsi="Times New Roman" w:cs="Times New Roman"/>
          <w:sz w:val="22"/>
          <w:szCs w:val="22"/>
          <w:lang w:val="en-US"/>
        </w:rPr>
        <w:t xml:space="preserve"> (2009). Issue ownership stability and change: how political parties claim and maintain issues through media appearances. </w:t>
      </w:r>
      <w:r w:rsidRPr="0027246E">
        <w:rPr>
          <w:rFonts w:ascii="Times New Roman" w:hAnsi="Times New Roman" w:cs="Times New Roman"/>
          <w:i/>
          <w:sz w:val="22"/>
          <w:szCs w:val="22"/>
          <w:lang w:val="en-US"/>
        </w:rPr>
        <w:t>Political Communication</w:t>
      </w:r>
      <w:r w:rsidRPr="0027246E">
        <w:rPr>
          <w:rFonts w:ascii="Times New Roman" w:hAnsi="Times New Roman" w:cs="Times New Roman"/>
          <w:sz w:val="22"/>
          <w:szCs w:val="22"/>
          <w:lang w:val="en-US"/>
        </w:rPr>
        <w:t xml:space="preserve"> 26: 153-172.</w:t>
      </w:r>
    </w:p>
    <w:p w14:paraId="02A7EC9C" w14:textId="60D58982" w:rsidR="00642481" w:rsidRPr="0027246E" w:rsidRDefault="00642481" w:rsidP="00856DBA">
      <w:pPr>
        <w:pStyle w:val="Literaturverzeichnis2"/>
        <w:spacing w:after="60" w:line="240" w:lineRule="auto"/>
        <w:jc w:val="both"/>
        <w:rPr>
          <w:rFonts w:ascii="Times New Roman" w:hAnsi="Times New Roman" w:cs="Times New Roman"/>
          <w:sz w:val="22"/>
          <w:szCs w:val="22"/>
          <w:lang w:val="en-US"/>
        </w:rPr>
      </w:pPr>
      <w:proofErr w:type="spellStart"/>
      <w:r w:rsidRPr="0027246E">
        <w:rPr>
          <w:rFonts w:ascii="Times New Roman" w:hAnsi="Times New Roman" w:cs="Times New Roman"/>
          <w:sz w:val="22"/>
          <w:szCs w:val="22"/>
          <w:lang w:val="en-US"/>
        </w:rPr>
        <w:t>Walgrave</w:t>
      </w:r>
      <w:proofErr w:type="spellEnd"/>
      <w:r w:rsidRPr="0027246E">
        <w:rPr>
          <w:rFonts w:ascii="Times New Roman" w:hAnsi="Times New Roman" w:cs="Times New Roman"/>
          <w:sz w:val="22"/>
          <w:szCs w:val="22"/>
          <w:lang w:val="en-US"/>
        </w:rPr>
        <w:t xml:space="preserve">, S., </w:t>
      </w:r>
      <w:proofErr w:type="spellStart"/>
      <w:r w:rsidRPr="0027246E">
        <w:rPr>
          <w:rFonts w:ascii="Times New Roman" w:hAnsi="Times New Roman" w:cs="Times New Roman"/>
          <w:sz w:val="22"/>
          <w:szCs w:val="22"/>
          <w:lang w:val="en-US"/>
        </w:rPr>
        <w:t>Lefevre</w:t>
      </w:r>
      <w:proofErr w:type="spellEnd"/>
      <w:r w:rsidRPr="0027246E">
        <w:rPr>
          <w:rFonts w:ascii="Times New Roman" w:hAnsi="Times New Roman" w:cs="Times New Roman"/>
          <w:sz w:val="22"/>
          <w:szCs w:val="22"/>
          <w:lang w:val="en-US"/>
        </w:rPr>
        <w:t xml:space="preserve">, J. and A., </w:t>
      </w:r>
      <w:proofErr w:type="spellStart"/>
      <w:r w:rsidR="00820E2D" w:rsidRPr="0027246E">
        <w:rPr>
          <w:rFonts w:ascii="Times New Roman" w:hAnsi="Times New Roman" w:cs="Times New Roman"/>
          <w:sz w:val="22"/>
          <w:szCs w:val="22"/>
          <w:lang w:val="en-US"/>
        </w:rPr>
        <w:t>Tresch</w:t>
      </w:r>
      <w:proofErr w:type="spellEnd"/>
      <w:r w:rsidR="00820E2D" w:rsidRPr="0027246E">
        <w:rPr>
          <w:rFonts w:ascii="Times New Roman" w:hAnsi="Times New Roman" w:cs="Times New Roman"/>
          <w:sz w:val="22"/>
          <w:szCs w:val="22"/>
          <w:lang w:val="en-US"/>
        </w:rPr>
        <w:t xml:space="preserve"> (2014</w:t>
      </w:r>
      <w:r w:rsidRPr="0027246E">
        <w:rPr>
          <w:rFonts w:ascii="Times New Roman" w:hAnsi="Times New Roman" w:cs="Times New Roman"/>
          <w:sz w:val="22"/>
          <w:szCs w:val="22"/>
          <w:lang w:val="en-US"/>
        </w:rPr>
        <w:t>). The Limits of Issue-Ownership Dynamics: The Constraining Effect of Party Preference.</w:t>
      </w:r>
      <w:r w:rsidRPr="0027246E">
        <w:rPr>
          <w:rFonts w:ascii="Times New Roman" w:hAnsi="Times New Roman" w:cs="Times New Roman"/>
          <w:i/>
          <w:sz w:val="22"/>
          <w:szCs w:val="22"/>
          <w:lang w:val="en-US"/>
        </w:rPr>
        <w:t xml:space="preserve"> Journal of Elections, Public Opinion &amp; Parties</w:t>
      </w:r>
      <w:r w:rsidRPr="0027246E">
        <w:rPr>
          <w:rFonts w:ascii="Times New Roman" w:hAnsi="Times New Roman" w:cs="Times New Roman"/>
          <w:sz w:val="22"/>
          <w:szCs w:val="22"/>
          <w:lang w:val="en-US"/>
        </w:rPr>
        <w:t xml:space="preserve"> 24: 1</w:t>
      </w:r>
      <w:r w:rsidR="003C0810">
        <w:rPr>
          <w:rFonts w:ascii="Times New Roman" w:hAnsi="Times New Roman" w:cs="Times New Roman"/>
          <w:sz w:val="22"/>
          <w:szCs w:val="22"/>
          <w:lang w:val="en-US"/>
        </w:rPr>
        <w:t>-19</w:t>
      </w:r>
      <w:r w:rsidRPr="0027246E">
        <w:rPr>
          <w:rFonts w:ascii="Times New Roman" w:hAnsi="Times New Roman" w:cs="Times New Roman"/>
          <w:sz w:val="22"/>
          <w:szCs w:val="22"/>
          <w:lang w:val="en-US"/>
        </w:rPr>
        <w:t>.</w:t>
      </w:r>
    </w:p>
    <w:p w14:paraId="7F2CC475" w14:textId="77777777" w:rsidR="00C0066A" w:rsidRPr="003C5914" w:rsidRDefault="00C0066A" w:rsidP="00C0066A">
      <w:pPr>
        <w:tabs>
          <w:tab w:val="left" w:pos="709"/>
        </w:tabs>
        <w:spacing w:after="60" w:line="240" w:lineRule="auto"/>
        <w:ind w:left="709" w:hanging="709"/>
        <w:rPr>
          <w:rFonts w:cs="Times New Roman"/>
          <w:szCs w:val="22"/>
          <w:lang w:val="en-US"/>
        </w:rPr>
      </w:pPr>
      <w:proofErr w:type="spellStart"/>
      <w:r w:rsidRPr="0034379F">
        <w:rPr>
          <w:rFonts w:cs="Times New Roman"/>
          <w:szCs w:val="22"/>
          <w:lang w:val="en-US"/>
        </w:rPr>
        <w:t>Zaller</w:t>
      </w:r>
      <w:proofErr w:type="spellEnd"/>
      <w:r w:rsidRPr="0034379F">
        <w:rPr>
          <w:rFonts w:cs="Times New Roman"/>
          <w:szCs w:val="22"/>
          <w:lang w:val="en-US"/>
        </w:rPr>
        <w:t xml:space="preserve">, J. (1992). </w:t>
      </w:r>
      <w:r w:rsidRPr="003C5914">
        <w:rPr>
          <w:rFonts w:cs="Times New Roman"/>
          <w:i/>
          <w:szCs w:val="22"/>
          <w:lang w:val="en-US"/>
        </w:rPr>
        <w:t>The Nature and Origins of Mass Opinion</w:t>
      </w:r>
      <w:r w:rsidRPr="003C5914">
        <w:rPr>
          <w:rFonts w:cs="Times New Roman"/>
          <w:szCs w:val="22"/>
          <w:lang w:val="en-US"/>
        </w:rPr>
        <w:t xml:space="preserve">. Cambridge: Cambridge University Press. </w:t>
      </w:r>
    </w:p>
    <w:p w14:paraId="031207EC" w14:textId="7389807D" w:rsidR="00CE0256" w:rsidRDefault="00CE0256">
      <w:pPr>
        <w:rPr>
          <w:lang w:val="en-US"/>
        </w:rPr>
      </w:pPr>
    </w:p>
    <w:p w14:paraId="108E87D8" w14:textId="46FE2CE7" w:rsidR="00CE0256" w:rsidRDefault="00CE0256">
      <w:pPr>
        <w:rPr>
          <w:lang w:val="en-US"/>
        </w:rPr>
      </w:pPr>
    </w:p>
    <w:p w14:paraId="200D860B" w14:textId="7521E839" w:rsidR="00CE0256" w:rsidRDefault="00CE0256" w:rsidP="00CE0256">
      <w:pPr>
        <w:pStyle w:val="Titre1"/>
        <w:rPr>
          <w:lang w:val="en-US"/>
        </w:rPr>
      </w:pPr>
      <w:r>
        <w:rPr>
          <w:lang w:val="en-US"/>
        </w:rPr>
        <w:t>Biography</w:t>
      </w:r>
    </w:p>
    <w:p w14:paraId="15DA55E2" w14:textId="69164501" w:rsidR="00CE0256" w:rsidRDefault="00CE0256" w:rsidP="00C749AD">
      <w:pPr>
        <w:rPr>
          <w:lang w:val="de-DE"/>
        </w:rPr>
      </w:pPr>
      <w:r w:rsidRPr="00C749AD">
        <w:rPr>
          <w:lang w:val="en-US"/>
        </w:rPr>
        <w:t>Zumofen Guillaume</w:t>
      </w:r>
      <w:r w:rsidR="005705D8">
        <w:rPr>
          <w:lang w:val="en-US"/>
        </w:rPr>
        <w:t xml:space="preserve"> is a PhD student at the Institute of Political Science, University of Bern, and research assistant of the </w:t>
      </w:r>
      <w:r w:rsidR="005705D8" w:rsidRPr="005705D8">
        <w:rPr>
          <w:lang w:val="en-US"/>
        </w:rPr>
        <w:t>'Année Politique Suisse'</w:t>
      </w:r>
      <w:r w:rsidR="005705D8">
        <w:rPr>
          <w:lang w:val="en-US"/>
        </w:rPr>
        <w:t xml:space="preserve">. His research interests include political communication, political psychology and voting behavior. </w:t>
      </w:r>
      <w:r w:rsidR="005705D8">
        <w:rPr>
          <w:i/>
          <w:lang w:val="en-US"/>
        </w:rPr>
        <w:t xml:space="preserve">Address for correspondence: </w:t>
      </w:r>
      <w:r w:rsidR="005705D8">
        <w:rPr>
          <w:lang w:val="en-US"/>
        </w:rPr>
        <w:t xml:space="preserve">Institute of Political Science, </w:t>
      </w:r>
      <w:proofErr w:type="spellStart"/>
      <w:r w:rsidR="005705D8">
        <w:rPr>
          <w:lang w:val="en-US"/>
        </w:rPr>
        <w:t>Fabrikstrasse</w:t>
      </w:r>
      <w:proofErr w:type="spellEnd"/>
      <w:r w:rsidR="005705D8">
        <w:rPr>
          <w:lang w:val="en-US"/>
        </w:rPr>
        <w:t xml:space="preserve"> 8, CH</w:t>
      </w:r>
      <w:r w:rsidR="000D56B8">
        <w:rPr>
          <w:lang w:val="en-US"/>
        </w:rPr>
        <w:t>-3012 Bern</w:t>
      </w:r>
      <w:r w:rsidR="005705D8">
        <w:rPr>
          <w:lang w:val="en-US"/>
        </w:rPr>
        <w:t xml:space="preserve">. </w:t>
      </w:r>
      <w:r w:rsidR="005705D8" w:rsidRPr="002C7104">
        <w:rPr>
          <w:i/>
          <w:lang w:val="en-US"/>
        </w:rPr>
        <w:t>E-mail</w:t>
      </w:r>
      <w:r w:rsidR="005705D8">
        <w:rPr>
          <w:lang w:val="en-US"/>
        </w:rPr>
        <w:t>: guillaume.zumofen</w:t>
      </w:r>
      <w:r w:rsidR="005705D8" w:rsidRPr="005705D8">
        <w:rPr>
          <w:lang w:val="en-US"/>
        </w:rPr>
        <w:t>@ipw.unibe.ch</w:t>
      </w:r>
    </w:p>
    <w:p w14:paraId="276511F4" w14:textId="7461DA31" w:rsidR="00C749AD" w:rsidRDefault="00C749AD" w:rsidP="005705D8">
      <w:pPr>
        <w:rPr>
          <w:lang w:val="en-US"/>
        </w:rPr>
      </w:pPr>
      <w:r w:rsidRPr="005705D8">
        <w:rPr>
          <w:lang w:val="en-US"/>
        </w:rPr>
        <w:t xml:space="preserve">Dr. </w:t>
      </w:r>
      <w:proofErr w:type="spellStart"/>
      <w:r w:rsidRPr="005705D8">
        <w:rPr>
          <w:lang w:val="en-US"/>
        </w:rPr>
        <w:t>Marlène</w:t>
      </w:r>
      <w:proofErr w:type="spellEnd"/>
      <w:r w:rsidRPr="005705D8">
        <w:rPr>
          <w:lang w:val="en-US"/>
        </w:rPr>
        <w:t xml:space="preserve"> Gerber is a researcher and lecturer at the </w:t>
      </w:r>
      <w:r w:rsidR="005705D8" w:rsidRPr="005705D8">
        <w:rPr>
          <w:lang w:val="en-US"/>
        </w:rPr>
        <w:t>Institute</w:t>
      </w:r>
      <w:r w:rsidRPr="005705D8">
        <w:rPr>
          <w:lang w:val="en-US"/>
        </w:rPr>
        <w:t xml:space="preserve"> of Po</w:t>
      </w:r>
      <w:r w:rsidR="005705D8">
        <w:rPr>
          <w:lang w:val="en-US"/>
        </w:rPr>
        <w:t>litical Science, University of B</w:t>
      </w:r>
      <w:r w:rsidRPr="005705D8">
        <w:rPr>
          <w:lang w:val="en-US"/>
        </w:rPr>
        <w:t xml:space="preserve">ern, </w:t>
      </w:r>
      <w:r w:rsidR="005705D8">
        <w:rPr>
          <w:lang w:val="en-US"/>
        </w:rPr>
        <w:t>and deputy director of</w:t>
      </w:r>
      <w:r w:rsidRPr="005705D8">
        <w:rPr>
          <w:lang w:val="en-US"/>
        </w:rPr>
        <w:t xml:space="preserve"> </w:t>
      </w:r>
      <w:r w:rsidR="005705D8">
        <w:rPr>
          <w:lang w:val="en-US"/>
        </w:rPr>
        <w:t>t</w:t>
      </w:r>
      <w:r w:rsidRPr="005705D8">
        <w:rPr>
          <w:lang w:val="en-US"/>
        </w:rPr>
        <w:t xml:space="preserve">he </w:t>
      </w:r>
      <w:r w:rsidR="005705D8" w:rsidRPr="005705D8">
        <w:rPr>
          <w:lang w:val="en-US"/>
        </w:rPr>
        <w:t>'Année Politique Suisse'</w:t>
      </w:r>
      <w:r w:rsidR="005705D8">
        <w:rPr>
          <w:lang w:val="en-US"/>
        </w:rPr>
        <w:t xml:space="preserve">. Her research interests include deliberation, direct democracy, political communication and political participation. </w:t>
      </w:r>
      <w:r w:rsidR="005705D8">
        <w:rPr>
          <w:i/>
          <w:lang w:val="en-US"/>
        </w:rPr>
        <w:t xml:space="preserve">Address for correspondence: </w:t>
      </w:r>
      <w:r w:rsidR="005705D8">
        <w:rPr>
          <w:lang w:val="en-US"/>
        </w:rPr>
        <w:t xml:space="preserve">Institute of Political Science, </w:t>
      </w:r>
      <w:proofErr w:type="spellStart"/>
      <w:r w:rsidR="005705D8">
        <w:rPr>
          <w:lang w:val="en-US"/>
        </w:rPr>
        <w:t>Fabrikstrasse</w:t>
      </w:r>
      <w:proofErr w:type="spellEnd"/>
      <w:r w:rsidR="005705D8">
        <w:rPr>
          <w:lang w:val="en-US"/>
        </w:rPr>
        <w:t xml:space="preserve"> 8, CH</w:t>
      </w:r>
      <w:r w:rsidR="000D56B8">
        <w:rPr>
          <w:lang w:val="en-US"/>
        </w:rPr>
        <w:t>-3012 Bern</w:t>
      </w:r>
      <w:r w:rsidR="005705D8">
        <w:rPr>
          <w:lang w:val="en-US"/>
        </w:rPr>
        <w:t xml:space="preserve">. </w:t>
      </w:r>
      <w:r w:rsidR="005705D8" w:rsidRPr="002C7104">
        <w:rPr>
          <w:i/>
          <w:lang w:val="en-US"/>
        </w:rPr>
        <w:t>E-mail</w:t>
      </w:r>
      <w:r w:rsidR="005705D8">
        <w:rPr>
          <w:lang w:val="en-US"/>
        </w:rPr>
        <w:t xml:space="preserve">: </w:t>
      </w:r>
      <w:r w:rsidR="005705D8" w:rsidRPr="005705D8">
        <w:rPr>
          <w:lang w:val="en-US"/>
        </w:rPr>
        <w:t>marlene.gerber@ipw.unibe.ch</w:t>
      </w:r>
    </w:p>
    <w:p w14:paraId="45EE910C" w14:textId="522EA929" w:rsidR="005705D8" w:rsidRDefault="005705D8" w:rsidP="005705D8">
      <w:pPr>
        <w:rPr>
          <w:lang w:val="en-US"/>
        </w:rPr>
      </w:pPr>
    </w:p>
    <w:bookmarkEnd w:id="0"/>
    <w:p w14:paraId="631C6BE6" w14:textId="77777777" w:rsidR="005705D8" w:rsidRPr="005705D8" w:rsidRDefault="005705D8" w:rsidP="005705D8">
      <w:pPr>
        <w:rPr>
          <w:lang w:val="en-US"/>
        </w:rPr>
      </w:pPr>
    </w:p>
    <w:sectPr w:rsidR="005705D8" w:rsidRPr="005705D8" w:rsidSect="00FB2719">
      <w:footerReference w:type="even" r:id="rId20"/>
      <w:footerReference w:type="default" r:id="rId21"/>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73F1C8" w14:textId="77777777" w:rsidR="00D53ABE" w:rsidRDefault="00D53ABE" w:rsidP="009F74E5">
      <w:pPr>
        <w:spacing w:after="0" w:line="240" w:lineRule="auto"/>
      </w:pPr>
      <w:r>
        <w:separator/>
      </w:r>
    </w:p>
  </w:endnote>
  <w:endnote w:type="continuationSeparator" w:id="0">
    <w:p w14:paraId="7B405150" w14:textId="77777777" w:rsidR="00D53ABE" w:rsidRDefault="00D53ABE" w:rsidP="009F7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Times New Roman (Corps CS)">
    <w:panose1 w:val="020B0604020202020204"/>
    <w:charset w:val="00"/>
    <w:family w:val="roman"/>
    <w:notTrueType/>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155998301"/>
      <w:docPartObj>
        <w:docPartGallery w:val="Page Numbers (Bottom of Page)"/>
        <w:docPartUnique/>
      </w:docPartObj>
    </w:sdtPr>
    <w:sdtEndPr>
      <w:rPr>
        <w:rStyle w:val="Numrodepage"/>
      </w:rPr>
    </w:sdtEndPr>
    <w:sdtContent>
      <w:p w14:paraId="76D5C9B9" w14:textId="77777777" w:rsidR="00F401B7" w:rsidRDefault="00F401B7" w:rsidP="006840C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2A8BEB7" w14:textId="77777777" w:rsidR="00F401B7" w:rsidRDefault="00F401B7" w:rsidP="00EB52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309058889"/>
      <w:docPartObj>
        <w:docPartGallery w:val="Page Numbers (Bottom of Page)"/>
        <w:docPartUnique/>
      </w:docPartObj>
    </w:sdtPr>
    <w:sdtEndPr>
      <w:rPr>
        <w:rStyle w:val="Numrodepage"/>
      </w:rPr>
    </w:sdtEndPr>
    <w:sdtContent>
      <w:p w14:paraId="575919C0" w14:textId="54966503" w:rsidR="00F401B7" w:rsidRDefault="00F401B7" w:rsidP="006840C5">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103DBD5C" w14:textId="77777777" w:rsidR="00F401B7" w:rsidRDefault="00F401B7" w:rsidP="00EB52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36003" w14:textId="77777777" w:rsidR="00D53ABE" w:rsidRDefault="00D53ABE" w:rsidP="009F74E5">
      <w:pPr>
        <w:spacing w:after="0" w:line="240" w:lineRule="auto"/>
      </w:pPr>
      <w:r>
        <w:separator/>
      </w:r>
    </w:p>
  </w:footnote>
  <w:footnote w:type="continuationSeparator" w:id="0">
    <w:p w14:paraId="2C50DEBB" w14:textId="77777777" w:rsidR="00D53ABE" w:rsidRDefault="00D53ABE" w:rsidP="009F74E5">
      <w:pPr>
        <w:spacing w:after="0" w:line="240" w:lineRule="auto"/>
      </w:pPr>
      <w:r>
        <w:continuationSeparator/>
      </w:r>
    </w:p>
  </w:footnote>
  <w:footnote w:id="1">
    <w:p w14:paraId="4ACD6246" w14:textId="5D5011D4" w:rsidR="00F401B7" w:rsidRPr="006840C5" w:rsidRDefault="00F401B7">
      <w:pPr>
        <w:pStyle w:val="Notedebasdepage"/>
      </w:pPr>
      <w:r w:rsidRPr="00220038">
        <w:rPr>
          <w:rStyle w:val="Appelnotedebasdep"/>
          <w:sz w:val="18"/>
        </w:rPr>
        <w:footnoteRef/>
      </w:r>
      <w:r w:rsidRPr="00220038">
        <w:rPr>
          <w:sz w:val="18"/>
        </w:rPr>
        <w:t xml:space="preserve"> Although alternative communication channels, such as social media, gain in importance during political campaigns, the Selects survey 2015 indicates that their role remains minimal. Citizens focus on TV, radio and newspaper to obtain information. Regarding political campaigning in Switzerland, advertising is prohibited on TV and radio. Therefore, we concentrate on print media to examine the impact of political campaigning.</w:t>
      </w:r>
      <w:r>
        <w:rPr>
          <w:sz w:val="18"/>
        </w:rPr>
        <w:t xml:space="preserve"> </w:t>
      </w:r>
    </w:p>
  </w:footnote>
  <w:footnote w:id="2">
    <w:p w14:paraId="692CC5BC" w14:textId="26241ACC" w:rsidR="00F401B7" w:rsidRPr="00BF1120" w:rsidRDefault="00F401B7" w:rsidP="009F74E5">
      <w:pPr>
        <w:spacing w:after="0" w:line="240" w:lineRule="auto"/>
        <w:rPr>
          <w:sz w:val="18"/>
          <w:szCs w:val="18"/>
          <w:lang w:val="en-US"/>
        </w:rPr>
      </w:pPr>
      <w:r w:rsidRPr="00C7092C">
        <w:rPr>
          <w:rStyle w:val="Appelnotedebasdep"/>
          <w:sz w:val="18"/>
          <w:szCs w:val="18"/>
        </w:rPr>
        <w:footnoteRef/>
      </w:r>
      <w:r w:rsidRPr="00C7092C">
        <w:rPr>
          <w:sz w:val="18"/>
          <w:szCs w:val="18"/>
          <w:lang w:val="en-US"/>
        </w:rPr>
        <w:t xml:space="preserve"> Among the people who </w:t>
      </w:r>
      <w:r>
        <w:rPr>
          <w:sz w:val="18"/>
          <w:szCs w:val="18"/>
          <w:lang w:val="en-US"/>
        </w:rPr>
        <w:t>mentioned</w:t>
      </w:r>
      <w:r w:rsidRPr="00C7092C">
        <w:rPr>
          <w:sz w:val="18"/>
          <w:szCs w:val="18"/>
          <w:lang w:val="en-US"/>
        </w:rPr>
        <w:t xml:space="preserve"> a vote intention at </w:t>
      </w:r>
      <w:r>
        <w:rPr>
          <w:sz w:val="18"/>
          <w:szCs w:val="18"/>
          <w:lang w:val="en-US"/>
        </w:rPr>
        <w:t>wave</w:t>
      </w:r>
      <w:r w:rsidRPr="00C7092C">
        <w:rPr>
          <w:sz w:val="18"/>
          <w:szCs w:val="18"/>
          <w:lang w:val="en-US"/>
        </w:rPr>
        <w:t xml:space="preserve"> 2 (N=5</w:t>
      </w:r>
      <w:r>
        <w:rPr>
          <w:sz w:val="18"/>
          <w:szCs w:val="18"/>
          <w:lang w:val="en-US"/>
        </w:rPr>
        <w:t>,</w:t>
      </w:r>
      <w:r w:rsidRPr="00C7092C">
        <w:rPr>
          <w:sz w:val="18"/>
          <w:szCs w:val="18"/>
          <w:lang w:val="en-US"/>
        </w:rPr>
        <w:t>315), N=4</w:t>
      </w:r>
      <w:r>
        <w:rPr>
          <w:sz w:val="18"/>
          <w:szCs w:val="18"/>
          <w:lang w:val="en-US"/>
        </w:rPr>
        <w:t>'</w:t>
      </w:r>
      <w:r w:rsidRPr="00C7092C">
        <w:rPr>
          <w:sz w:val="18"/>
          <w:szCs w:val="18"/>
          <w:lang w:val="en-US"/>
        </w:rPr>
        <w:t>241 respondents indicated that they ha</w:t>
      </w:r>
      <w:r>
        <w:rPr>
          <w:sz w:val="18"/>
          <w:szCs w:val="18"/>
          <w:lang w:val="en-US"/>
        </w:rPr>
        <w:t>d</w:t>
      </w:r>
      <w:r w:rsidRPr="00C7092C">
        <w:rPr>
          <w:sz w:val="18"/>
          <w:szCs w:val="18"/>
          <w:lang w:val="en-US"/>
        </w:rPr>
        <w:t xml:space="preserve"> read a printed newspaper in the last four days. Out of this sample, we could match the reported newspaper of N=3</w:t>
      </w:r>
      <w:r>
        <w:rPr>
          <w:sz w:val="18"/>
          <w:szCs w:val="18"/>
          <w:lang w:val="en-US"/>
        </w:rPr>
        <w:t>'</w:t>
      </w:r>
      <w:r w:rsidRPr="00C7092C">
        <w:rPr>
          <w:sz w:val="18"/>
          <w:szCs w:val="18"/>
          <w:lang w:val="en-US"/>
        </w:rPr>
        <w:t xml:space="preserve">655 respondents with the database on political </w:t>
      </w:r>
      <w:r w:rsidRPr="00D95B42">
        <w:rPr>
          <w:sz w:val="18"/>
          <w:szCs w:val="18"/>
          <w:lang w:val="en-US"/>
        </w:rPr>
        <w:t>advertisements. For the considered newspapers, see</w:t>
      </w:r>
      <w:r w:rsidR="001D20B9">
        <w:rPr>
          <w:sz w:val="18"/>
          <w:szCs w:val="18"/>
          <w:lang w:val="en-US"/>
        </w:rPr>
        <w:t xml:space="preserve"> online</w:t>
      </w:r>
      <w:r w:rsidRPr="00D95B42">
        <w:rPr>
          <w:sz w:val="18"/>
          <w:szCs w:val="18"/>
          <w:lang w:val="en-US"/>
        </w:rPr>
        <w:t xml:space="preserve"> Appendix, Table A1.</w:t>
      </w:r>
    </w:p>
  </w:footnote>
  <w:footnote w:id="3">
    <w:p w14:paraId="75AA9E07" w14:textId="1BB39CCB" w:rsidR="00F401B7" w:rsidRPr="00C7168E" w:rsidRDefault="00F401B7" w:rsidP="009F74E5">
      <w:pPr>
        <w:pStyle w:val="Notedebasdepage"/>
        <w:rPr>
          <w:sz w:val="18"/>
          <w:szCs w:val="18"/>
          <w:highlight w:val="yellow"/>
        </w:rPr>
      </w:pPr>
      <w:r w:rsidRPr="00E922A5">
        <w:rPr>
          <w:rStyle w:val="Appelnotedebasdep"/>
          <w:sz w:val="18"/>
          <w:szCs w:val="18"/>
        </w:rPr>
        <w:footnoteRef/>
      </w:r>
      <w:r w:rsidRPr="00E922A5">
        <w:rPr>
          <w:sz w:val="18"/>
          <w:szCs w:val="18"/>
        </w:rPr>
        <w:t xml:space="preserve"> The assumption on the independence of irrelevant alternatives (</w:t>
      </w:r>
      <w:proofErr w:type="spellStart"/>
      <w:r w:rsidRPr="00E922A5">
        <w:rPr>
          <w:sz w:val="18"/>
          <w:szCs w:val="18"/>
        </w:rPr>
        <w:t>IIA</w:t>
      </w:r>
      <w:proofErr w:type="spellEnd"/>
      <w:r w:rsidRPr="00E922A5">
        <w:rPr>
          <w:sz w:val="18"/>
          <w:szCs w:val="18"/>
        </w:rPr>
        <w:t xml:space="preserve">) holds. Respondents that indicated at </w:t>
      </w:r>
      <w:r>
        <w:rPr>
          <w:sz w:val="18"/>
          <w:szCs w:val="18"/>
        </w:rPr>
        <w:t>wave</w:t>
      </w:r>
      <w:r w:rsidRPr="00E922A5">
        <w:rPr>
          <w:sz w:val="18"/>
          <w:szCs w:val="18"/>
        </w:rPr>
        <w:t xml:space="preserve"> 2 that they are certainly or </w:t>
      </w:r>
      <w:r>
        <w:rPr>
          <w:sz w:val="18"/>
          <w:szCs w:val="18"/>
        </w:rPr>
        <w:t>probably</w:t>
      </w:r>
      <w:r w:rsidRPr="00E922A5">
        <w:rPr>
          <w:sz w:val="18"/>
          <w:szCs w:val="18"/>
        </w:rPr>
        <w:t xml:space="preserve"> not </w:t>
      </w:r>
      <w:r>
        <w:rPr>
          <w:sz w:val="18"/>
          <w:szCs w:val="18"/>
        </w:rPr>
        <w:t xml:space="preserve">going </w:t>
      </w:r>
      <w:r w:rsidRPr="00E922A5">
        <w:rPr>
          <w:sz w:val="18"/>
          <w:szCs w:val="18"/>
        </w:rPr>
        <w:t xml:space="preserve">to participate were excluded from our sample. </w:t>
      </w:r>
    </w:p>
  </w:footnote>
  <w:footnote w:id="4">
    <w:p w14:paraId="2D7D767E" w14:textId="3169729E" w:rsidR="00F401B7" w:rsidRPr="00220038" w:rsidRDefault="00F401B7">
      <w:pPr>
        <w:pStyle w:val="Notedebasdepage"/>
        <w:rPr>
          <w:sz w:val="20"/>
          <w:szCs w:val="20"/>
        </w:rPr>
      </w:pPr>
      <w:r w:rsidRPr="00220038">
        <w:rPr>
          <w:rStyle w:val="Appelnotedebasdep"/>
          <w:sz w:val="18"/>
          <w:szCs w:val="18"/>
        </w:rPr>
        <w:footnoteRef/>
      </w:r>
      <w:r w:rsidRPr="00220038">
        <w:rPr>
          <w:sz w:val="18"/>
          <w:szCs w:val="18"/>
        </w:rPr>
        <w:t xml:space="preserve"> Since the FDP only marginally broached the issue of migration, interaction models relying on FDP migration advertisements cannot be calculated.</w:t>
      </w:r>
      <w:r w:rsidRPr="00220038">
        <w:rPr>
          <w:sz w:val="20"/>
          <w:szCs w:val="20"/>
        </w:rPr>
        <w:t xml:space="preserve"> </w:t>
      </w:r>
    </w:p>
  </w:footnote>
  <w:footnote w:id="5">
    <w:p w14:paraId="413794AB" w14:textId="6C38FAB5" w:rsidR="00F401B7" w:rsidRPr="00220038" w:rsidRDefault="00F401B7" w:rsidP="009F74E5">
      <w:pPr>
        <w:pStyle w:val="Notedebasdepage"/>
        <w:rPr>
          <w:sz w:val="18"/>
          <w:szCs w:val="18"/>
        </w:rPr>
      </w:pPr>
      <w:r w:rsidRPr="00220038">
        <w:rPr>
          <w:rStyle w:val="Appelnotedebasdep"/>
          <w:sz w:val="18"/>
          <w:szCs w:val="18"/>
        </w:rPr>
        <w:footnoteRef/>
      </w:r>
      <w:r w:rsidRPr="00220038">
        <w:rPr>
          <w:sz w:val="18"/>
          <w:szCs w:val="18"/>
        </w:rPr>
        <w:t xml:space="preserve"> </w:t>
      </w:r>
      <w:r w:rsidRPr="00220038">
        <w:rPr>
          <w:sz w:val="18"/>
          <w:szCs w:val="18"/>
          <w:lang w:val="en-US"/>
        </w:rPr>
        <w:t xml:space="preserve">We refrained from undertaking a logarithmic transformation due to the numerous respondents that have not been exposed to campaign ads and thus received 0 on our variable of interest. </w:t>
      </w:r>
    </w:p>
  </w:footnote>
  <w:footnote w:id="6">
    <w:p w14:paraId="03448FB3" w14:textId="71020E1D" w:rsidR="00F401B7" w:rsidRPr="00E922A5" w:rsidRDefault="00F401B7">
      <w:pPr>
        <w:pStyle w:val="Notedebasdepage"/>
        <w:rPr>
          <w:sz w:val="18"/>
          <w:szCs w:val="18"/>
        </w:rPr>
      </w:pPr>
      <w:r w:rsidRPr="00220038">
        <w:rPr>
          <w:rStyle w:val="Appelnotedebasdep"/>
          <w:sz w:val="18"/>
          <w:szCs w:val="18"/>
        </w:rPr>
        <w:footnoteRef/>
      </w:r>
      <w:r w:rsidRPr="00220038">
        <w:rPr>
          <w:sz w:val="18"/>
          <w:szCs w:val="18"/>
        </w:rPr>
        <w:t xml:space="preserve"> We utilized the absolute number of campaign ads and the relative share of a party’s ads. Furthermore, we weighted our campaign variables by the degree of a respondent’s news attention. Since some of the campaign variables are highly correlated (see Table A5 and A6 in the</w:t>
      </w:r>
      <w:r w:rsidR="001D20B9">
        <w:rPr>
          <w:sz w:val="18"/>
          <w:szCs w:val="18"/>
        </w:rPr>
        <w:t xml:space="preserve"> online</w:t>
      </w:r>
      <w:r w:rsidRPr="00220038">
        <w:rPr>
          <w:sz w:val="18"/>
          <w:szCs w:val="18"/>
        </w:rPr>
        <w:t xml:space="preserve"> Appendix), we also </w:t>
      </w:r>
      <w:r w:rsidRPr="00220038">
        <w:rPr>
          <w:rFonts w:cs="Times New Roman (Corps CS)"/>
          <w:sz w:val="18"/>
          <w:szCs w:val="18"/>
        </w:rPr>
        <w:t>ran separate models where we included only one campaign variable at a time</w:t>
      </w:r>
      <w:r>
        <w:rPr>
          <w:rFonts w:cs="Times New Roman (Corps CS)"/>
          <w:sz w:val="18"/>
          <w:szCs w:val="18"/>
        </w:rPr>
        <w:t xml:space="preserve"> (see Table A7.1 to A7.</w:t>
      </w:r>
      <w:r w:rsidR="00A50F76" w:rsidRPr="00A50F76">
        <w:rPr>
          <w:rFonts w:cs="Times New Roman (Corps CS)"/>
          <w:sz w:val="18"/>
          <w:szCs w:val="18"/>
        </w:rPr>
        <w:t>6</w:t>
      </w:r>
      <w:r w:rsidR="008D0487">
        <w:rPr>
          <w:rFonts w:cs="Times New Roman (Corps CS)"/>
          <w:sz w:val="18"/>
          <w:szCs w:val="18"/>
        </w:rPr>
        <w:t>).</w:t>
      </w:r>
    </w:p>
  </w:footnote>
  <w:footnote w:id="7">
    <w:p w14:paraId="0C4F363F" w14:textId="42C22046" w:rsidR="00F401B7" w:rsidRPr="00C7168E" w:rsidRDefault="00F401B7" w:rsidP="000E1B72">
      <w:pPr>
        <w:pStyle w:val="Notedebasdepage"/>
        <w:rPr>
          <w:sz w:val="18"/>
          <w:szCs w:val="18"/>
          <w:lang w:eastAsia="fr-FR"/>
        </w:rPr>
      </w:pPr>
      <w:r w:rsidRPr="00220038">
        <w:rPr>
          <w:rStyle w:val="Appelnotedebasdep"/>
          <w:sz w:val="18"/>
          <w:szCs w:val="18"/>
        </w:rPr>
        <w:footnoteRef/>
      </w:r>
      <w:r w:rsidRPr="00220038">
        <w:rPr>
          <w:sz w:val="18"/>
          <w:szCs w:val="18"/>
        </w:rPr>
        <w:t xml:space="preserve"> One and a half years after the coding process, two of the three main coders recoded a random selection of 175 advertisements. The following test results for rater coder agreement (RCA) and Cohen’s kappa (</w:t>
      </w:r>
      <w:r w:rsidRPr="00220038">
        <w:rPr>
          <w:rFonts w:eastAsia="Times New Roman"/>
          <w:sz w:val="18"/>
          <w:szCs w:val="18"/>
          <w:lang w:eastAsia="de-DE"/>
        </w:rPr>
        <w:t>ĸ) are reported: migration (RCA 100%; ĸ 1.000); EU (RCA 98.9%; ĸ 0.946); economy (RCA 92%; ĸ 0.753)</w:t>
      </w:r>
      <w:r>
        <w:rPr>
          <w:rFonts w:eastAsia="Times New Roman"/>
          <w:sz w:val="18"/>
          <w:szCs w:val="18"/>
          <w:lang w:eastAsia="de-DE"/>
        </w:rPr>
        <w:t xml:space="preserve"> (see online Appendix table A8)</w:t>
      </w:r>
      <w:r w:rsidRPr="00220038">
        <w:rPr>
          <w:rFonts w:eastAsia="Times New Roman"/>
          <w:sz w:val="18"/>
          <w:szCs w:val="18"/>
          <w:lang w:eastAsia="de-DE"/>
        </w:rPr>
        <w:t>.</w:t>
      </w:r>
      <w:r w:rsidRPr="00C7168E">
        <w:rPr>
          <w:rFonts w:eastAsia="Times New Roman"/>
          <w:sz w:val="18"/>
          <w:szCs w:val="18"/>
          <w:lang w:eastAsia="de-DE"/>
        </w:rPr>
        <w:t xml:space="preserve"> </w:t>
      </w:r>
    </w:p>
  </w:footnote>
  <w:footnote w:id="8">
    <w:p w14:paraId="55E0C55C" w14:textId="437C3B13" w:rsidR="00F401B7" w:rsidRPr="00ED3CAF" w:rsidRDefault="00F401B7" w:rsidP="009F74E5">
      <w:pPr>
        <w:pStyle w:val="Notedebasdepage"/>
        <w:rPr>
          <w:sz w:val="18"/>
          <w:szCs w:val="18"/>
          <w:lang w:val="en-US"/>
        </w:rPr>
      </w:pPr>
      <w:r w:rsidRPr="00C7168E">
        <w:rPr>
          <w:rStyle w:val="Appelnotedebasdep"/>
          <w:sz w:val="18"/>
          <w:szCs w:val="18"/>
          <w:lang w:val="en-US"/>
        </w:rPr>
        <w:footnoteRef/>
      </w:r>
      <w:r w:rsidRPr="00C7168E">
        <w:rPr>
          <w:sz w:val="18"/>
          <w:szCs w:val="18"/>
          <w:lang w:val="en-US"/>
        </w:rPr>
        <w:t xml:space="preserve"> </w:t>
      </w:r>
      <w:r>
        <w:rPr>
          <w:sz w:val="18"/>
          <w:szCs w:val="18"/>
          <w:lang w:val="en-US"/>
        </w:rPr>
        <w:t>T</w:t>
      </w:r>
      <w:r w:rsidRPr="00C7168E">
        <w:rPr>
          <w:sz w:val="18"/>
          <w:szCs w:val="18"/>
          <w:lang w:val="en-US"/>
        </w:rPr>
        <w:t xml:space="preserve">he </w:t>
      </w:r>
      <w:proofErr w:type="spellStart"/>
      <w:r w:rsidRPr="00C7168E">
        <w:rPr>
          <w:sz w:val="18"/>
          <w:szCs w:val="18"/>
          <w:lang w:val="en-US"/>
        </w:rPr>
        <w:t>BDP</w:t>
      </w:r>
      <w:proofErr w:type="spellEnd"/>
      <w:r w:rsidRPr="00C7168E">
        <w:rPr>
          <w:sz w:val="18"/>
          <w:szCs w:val="18"/>
          <w:lang w:val="en-US"/>
        </w:rPr>
        <w:t xml:space="preserve"> made the Bilateral Agreement a central issue of </w:t>
      </w:r>
      <w:r>
        <w:rPr>
          <w:sz w:val="18"/>
          <w:szCs w:val="18"/>
          <w:lang w:val="en-US"/>
        </w:rPr>
        <w:t>its</w:t>
      </w:r>
      <w:r w:rsidRPr="00C7168E">
        <w:rPr>
          <w:sz w:val="18"/>
          <w:szCs w:val="18"/>
          <w:lang w:val="en-US"/>
        </w:rPr>
        <w:t xml:space="preserve"> electoral campaign – though not </w:t>
      </w:r>
      <w:r>
        <w:rPr>
          <w:sz w:val="18"/>
          <w:szCs w:val="18"/>
          <w:lang w:val="en-US"/>
        </w:rPr>
        <w:t>frequently</w:t>
      </w:r>
      <w:r w:rsidRPr="00C7168E">
        <w:rPr>
          <w:sz w:val="18"/>
          <w:szCs w:val="18"/>
          <w:lang w:val="en-US"/>
        </w:rPr>
        <w:t xml:space="preserve"> in newspaper advertisements and</w:t>
      </w:r>
      <w:r>
        <w:rPr>
          <w:sz w:val="18"/>
          <w:szCs w:val="18"/>
          <w:lang w:val="en-US"/>
        </w:rPr>
        <w:t xml:space="preserve"> </w:t>
      </w:r>
      <w:r w:rsidRPr="00C7168E">
        <w:rPr>
          <w:sz w:val="18"/>
          <w:szCs w:val="18"/>
          <w:lang w:val="en-US"/>
        </w:rPr>
        <w:t xml:space="preserve">on a </w:t>
      </w:r>
      <w:r>
        <w:rPr>
          <w:sz w:val="18"/>
          <w:szCs w:val="18"/>
          <w:lang w:val="en-US"/>
        </w:rPr>
        <w:t>smaller</w:t>
      </w:r>
      <w:r w:rsidRPr="00C7168E">
        <w:rPr>
          <w:sz w:val="18"/>
          <w:szCs w:val="18"/>
          <w:lang w:val="en-US"/>
        </w:rPr>
        <w:t xml:space="preserve"> basis</w:t>
      </w:r>
      <w:r>
        <w:rPr>
          <w:sz w:val="18"/>
          <w:szCs w:val="18"/>
          <w:lang w:val="en-US"/>
        </w:rPr>
        <w:t xml:space="preserve"> than the bigger parties</w:t>
      </w:r>
      <w:r w:rsidRPr="00C7168E">
        <w:rPr>
          <w:sz w:val="18"/>
          <w:szCs w:val="18"/>
          <w:lang w:val="en-US"/>
        </w:rPr>
        <w:t xml:space="preserve">. </w:t>
      </w:r>
      <w:r w:rsidRPr="00972A82">
        <w:rPr>
          <w:sz w:val="18"/>
          <w:szCs w:val="18"/>
          <w:lang w:val="en-US"/>
        </w:rPr>
        <w:t xml:space="preserve">The FDP placed a stronger emphasis on the EU at the very beginning of the campaign. As </w:t>
      </w:r>
      <w:proofErr w:type="spellStart"/>
      <w:r w:rsidRPr="00972A82">
        <w:rPr>
          <w:sz w:val="18"/>
          <w:szCs w:val="18"/>
          <w:lang w:val="en-US"/>
        </w:rPr>
        <w:t>Bühlmann</w:t>
      </w:r>
      <w:proofErr w:type="spellEnd"/>
      <w:r w:rsidRPr="00972A82">
        <w:rPr>
          <w:sz w:val="18"/>
          <w:szCs w:val="18"/>
          <w:lang w:val="en-US"/>
        </w:rPr>
        <w:t xml:space="preserve"> et al. (2016) report, there were several candidates of the Liberals who advertised during two days in June with the Slogan “</w:t>
      </w:r>
      <w:proofErr w:type="spellStart"/>
      <w:r w:rsidRPr="00972A82">
        <w:rPr>
          <w:sz w:val="18"/>
          <w:szCs w:val="18"/>
          <w:lang w:val="en-US"/>
        </w:rPr>
        <w:t>Bilaterale</w:t>
      </w:r>
      <w:proofErr w:type="spellEnd"/>
      <w:r w:rsidRPr="00972A82">
        <w:rPr>
          <w:sz w:val="18"/>
          <w:szCs w:val="18"/>
          <w:lang w:val="en-US"/>
        </w:rPr>
        <w:t xml:space="preserve"> ja – EU </w:t>
      </w:r>
      <w:proofErr w:type="spellStart"/>
      <w:r w:rsidRPr="00972A82">
        <w:rPr>
          <w:sz w:val="18"/>
          <w:szCs w:val="18"/>
          <w:lang w:val="en-US"/>
        </w:rPr>
        <w:t>nein</w:t>
      </w:r>
      <w:proofErr w:type="spellEnd"/>
      <w:r w:rsidRPr="00972A82">
        <w:rPr>
          <w:sz w:val="18"/>
          <w:szCs w:val="18"/>
          <w:lang w:val="en-US"/>
        </w:rPr>
        <w:t xml:space="preserve">” (trad. </w:t>
      </w:r>
      <w:r w:rsidRPr="00972A82">
        <w:rPr>
          <w:i/>
          <w:sz w:val="18"/>
          <w:szCs w:val="18"/>
          <w:lang w:val="en-US"/>
        </w:rPr>
        <w:t>Bilateral Agreement yes – joining the EU no</w:t>
      </w:r>
      <w:r w:rsidRPr="00972A82">
        <w:rPr>
          <w:sz w:val="18"/>
          <w:szCs w:val="18"/>
          <w:lang w:val="en-US"/>
        </w:rPr>
        <w:t>). These advertisements do not form part of our analysis, since in order to estimate the effect of political campaigns, we only consider advertisements that</w:t>
      </w:r>
      <w:r>
        <w:rPr>
          <w:sz w:val="18"/>
          <w:szCs w:val="18"/>
          <w:lang w:val="en-US"/>
        </w:rPr>
        <w:t xml:space="preserve"> have been placed in newspapers after the first wave of interviews. </w:t>
      </w:r>
    </w:p>
  </w:footnote>
  <w:footnote w:id="9">
    <w:p w14:paraId="2B003649" w14:textId="6AAA1A9C" w:rsidR="00F401B7" w:rsidRPr="00220038" w:rsidRDefault="00F401B7" w:rsidP="009F74E5">
      <w:pPr>
        <w:pStyle w:val="Notedebasdepage"/>
        <w:rPr>
          <w:sz w:val="18"/>
          <w:szCs w:val="18"/>
        </w:rPr>
      </w:pPr>
      <w:r w:rsidRPr="00491759">
        <w:rPr>
          <w:rStyle w:val="Appelnotedebasdep"/>
          <w:sz w:val="18"/>
          <w:szCs w:val="18"/>
        </w:rPr>
        <w:footnoteRef/>
      </w:r>
      <w:r w:rsidRPr="00491759">
        <w:rPr>
          <w:sz w:val="18"/>
          <w:szCs w:val="18"/>
        </w:rPr>
        <w:t xml:space="preserve"> Since</w:t>
      </w:r>
      <w:r>
        <w:rPr>
          <w:sz w:val="18"/>
          <w:szCs w:val="18"/>
        </w:rPr>
        <w:t xml:space="preserve"> this group of respondents indicating strong opposition to EU-membership mounts to almost 50% in the overall Selects </w:t>
      </w:r>
      <w:r w:rsidRPr="00220038">
        <w:rPr>
          <w:sz w:val="18"/>
          <w:szCs w:val="18"/>
        </w:rPr>
        <w:t>sample, we did not code another 25% of respondents who were somewhat against EU membership as 1.</w:t>
      </w:r>
    </w:p>
  </w:footnote>
  <w:footnote w:id="10">
    <w:p w14:paraId="422F5C85" w14:textId="0FAB0A99" w:rsidR="00F401B7" w:rsidRPr="00332086" w:rsidRDefault="00F401B7" w:rsidP="00E06471">
      <w:pPr>
        <w:pStyle w:val="Notedebasdepage"/>
      </w:pPr>
      <w:r w:rsidRPr="00220038">
        <w:rPr>
          <w:rStyle w:val="Appelnotedebasdep"/>
          <w:sz w:val="18"/>
        </w:rPr>
        <w:footnoteRef/>
      </w:r>
      <w:r w:rsidRPr="00220038">
        <w:rPr>
          <w:sz w:val="18"/>
        </w:rPr>
        <w:t xml:space="preserve"> We refrain from incorporating competence issue ownership in our model for reasons of endogeneity. According to </w:t>
      </w:r>
      <w:proofErr w:type="spellStart"/>
      <w:r w:rsidRPr="00220038">
        <w:rPr>
          <w:sz w:val="18"/>
        </w:rPr>
        <w:t>Walgrave</w:t>
      </w:r>
      <w:proofErr w:type="spellEnd"/>
      <w:r w:rsidRPr="00220038">
        <w:rPr>
          <w:sz w:val="18"/>
        </w:rPr>
        <w:t xml:space="preserve"> et al. (2014: 15-16), the causal relationship between vote choice and competence issue-ownership is unclear and pre-existing party preferences are too dependent on measures of competence issue ownership. Furthermore, the degree to which issue ownership perceptions at wave 1 exert an effect on the change in vote intentions is not of our prime interest. Rather, we argue that </w:t>
      </w:r>
      <w:r w:rsidRPr="00220038">
        <w:rPr>
          <w:i/>
          <w:sz w:val="18"/>
        </w:rPr>
        <w:t xml:space="preserve">changes </w:t>
      </w:r>
      <w:r w:rsidRPr="00220038">
        <w:rPr>
          <w:sz w:val="18"/>
        </w:rPr>
        <w:t>in issue ownership perceptions can explain dynamics of voting preferences (</w:t>
      </w:r>
      <w:proofErr w:type="spellStart"/>
      <w:r w:rsidRPr="00220038">
        <w:rPr>
          <w:sz w:val="18"/>
        </w:rPr>
        <w:t>Lanz</w:t>
      </w:r>
      <w:proofErr w:type="spellEnd"/>
      <w:r w:rsidRPr="00220038">
        <w:rPr>
          <w:sz w:val="18"/>
        </w:rPr>
        <w:t xml:space="preserve"> and </w:t>
      </w:r>
      <w:proofErr w:type="spellStart"/>
      <w:r w:rsidRPr="00220038">
        <w:rPr>
          <w:sz w:val="18"/>
        </w:rPr>
        <w:t>Sciarini</w:t>
      </w:r>
      <w:proofErr w:type="spellEnd"/>
      <w:r w:rsidRPr="00220038">
        <w:rPr>
          <w:sz w:val="18"/>
        </w:rPr>
        <w:t xml:space="preserve"> 2016</w:t>
      </w:r>
      <w:r>
        <w:rPr>
          <w:sz w:val="18"/>
        </w:rPr>
        <w:t xml:space="preserve">; see also </w:t>
      </w:r>
      <w:proofErr w:type="spellStart"/>
      <w:r>
        <w:rPr>
          <w:sz w:val="18"/>
        </w:rPr>
        <w:t>Petitpas</w:t>
      </w:r>
      <w:proofErr w:type="spellEnd"/>
      <w:r>
        <w:rPr>
          <w:sz w:val="18"/>
        </w:rPr>
        <w:t xml:space="preserve"> and </w:t>
      </w:r>
      <w:proofErr w:type="spellStart"/>
      <w:r>
        <w:rPr>
          <w:sz w:val="18"/>
        </w:rPr>
        <w:t>Sciarini</w:t>
      </w:r>
      <w:proofErr w:type="spellEnd"/>
      <w:r>
        <w:rPr>
          <w:sz w:val="18"/>
        </w:rPr>
        <w:t>, Chapter</w:t>
      </w:r>
      <w:r w:rsidRPr="00220038">
        <w:rPr>
          <w:sz w:val="18"/>
        </w:rPr>
        <w:t>).</w:t>
      </w:r>
    </w:p>
  </w:footnote>
  <w:footnote w:id="11">
    <w:p w14:paraId="2DFD3787" w14:textId="47B9F919" w:rsidR="00F401B7" w:rsidRPr="00F84403" w:rsidRDefault="00F401B7" w:rsidP="009F74E5">
      <w:pPr>
        <w:pStyle w:val="Notedebasdepage"/>
        <w:rPr>
          <w:sz w:val="18"/>
          <w:szCs w:val="18"/>
          <w:lang w:val="en-US"/>
        </w:rPr>
      </w:pPr>
      <w:r w:rsidRPr="00F84403">
        <w:rPr>
          <w:rStyle w:val="Appelnotedebasdep"/>
          <w:sz w:val="18"/>
          <w:szCs w:val="18"/>
          <w:lang w:val="en-US"/>
        </w:rPr>
        <w:footnoteRef/>
      </w:r>
      <w:r w:rsidRPr="00F84403">
        <w:rPr>
          <w:sz w:val="18"/>
          <w:szCs w:val="18"/>
          <w:lang w:val="en-US"/>
        </w:rPr>
        <w:t xml:space="preserve"> </w:t>
      </w:r>
      <w:r>
        <w:rPr>
          <w:sz w:val="18"/>
          <w:szCs w:val="18"/>
          <w:lang w:val="en-US"/>
        </w:rPr>
        <w:t>T</w:t>
      </w:r>
      <w:r w:rsidRPr="00F84403">
        <w:rPr>
          <w:sz w:val="18"/>
          <w:szCs w:val="18"/>
          <w:lang w:val="en-US"/>
        </w:rPr>
        <w:t>he notion of «</w:t>
      </w:r>
      <w:r>
        <w:rPr>
          <w:sz w:val="18"/>
          <w:szCs w:val="18"/>
          <w:lang w:val="en-US"/>
        </w:rPr>
        <w:t>the other parties</w:t>
      </w:r>
      <w:r w:rsidRPr="00F84403">
        <w:rPr>
          <w:sz w:val="18"/>
          <w:szCs w:val="18"/>
          <w:lang w:val="en-US"/>
        </w:rPr>
        <w:t xml:space="preserve">», </w:t>
      </w:r>
      <w:r>
        <w:rPr>
          <w:sz w:val="18"/>
          <w:szCs w:val="18"/>
          <w:lang w:val="en-US"/>
        </w:rPr>
        <w:t>refers to</w:t>
      </w:r>
      <w:r w:rsidRPr="00F84403">
        <w:rPr>
          <w:sz w:val="18"/>
          <w:szCs w:val="18"/>
          <w:lang w:val="en-US"/>
        </w:rPr>
        <w:t xml:space="preserve"> </w:t>
      </w:r>
      <w:r>
        <w:rPr>
          <w:sz w:val="18"/>
          <w:szCs w:val="18"/>
          <w:lang w:val="en-US"/>
        </w:rPr>
        <w:t>a party other</w:t>
      </w:r>
      <w:r w:rsidRPr="00F84403">
        <w:rPr>
          <w:sz w:val="18"/>
          <w:szCs w:val="18"/>
          <w:lang w:val="en-US"/>
        </w:rPr>
        <w:t xml:space="preserve"> than the SVP and the FDP.</w:t>
      </w:r>
    </w:p>
  </w:footnote>
  <w:footnote w:id="12">
    <w:p w14:paraId="66480E62" w14:textId="21948075" w:rsidR="00F401B7" w:rsidRPr="00B717DE" w:rsidRDefault="00F401B7" w:rsidP="009F74E5">
      <w:pPr>
        <w:pStyle w:val="Notedebasdepage"/>
        <w:rPr>
          <w:sz w:val="18"/>
          <w:szCs w:val="18"/>
        </w:rPr>
      </w:pPr>
      <w:r w:rsidRPr="00E77F7C">
        <w:rPr>
          <w:rStyle w:val="Appelnotedebasdep"/>
          <w:sz w:val="18"/>
          <w:szCs w:val="18"/>
        </w:rPr>
        <w:footnoteRef/>
      </w:r>
      <w:r w:rsidRPr="00E77F7C">
        <w:rPr>
          <w:sz w:val="18"/>
          <w:szCs w:val="18"/>
        </w:rPr>
        <w:t xml:space="preserve"> </w:t>
      </w:r>
      <w:r w:rsidRPr="00E77F7C">
        <w:rPr>
          <w:sz w:val="18"/>
          <w:szCs w:val="18"/>
          <w:lang w:val="en-US"/>
        </w:rPr>
        <w:t>According to our results, people who are exposed to more EU ads sponsored by the SVP are significantly less inclined to vote for the FDP than for another party (</w:t>
      </w:r>
      <w:r>
        <w:rPr>
          <w:sz w:val="18"/>
          <w:szCs w:val="18"/>
          <w:lang w:val="en-US"/>
        </w:rPr>
        <w:t>other than</w:t>
      </w:r>
      <w:r w:rsidRPr="00E77F7C">
        <w:rPr>
          <w:sz w:val="18"/>
          <w:szCs w:val="18"/>
          <w:lang w:val="en-US"/>
        </w:rPr>
        <w:t xml:space="preserve"> the SVP).</w:t>
      </w:r>
      <w:r>
        <w:rPr>
          <w:sz w:val="18"/>
          <w:szCs w:val="18"/>
          <w:lang w:val="en-US"/>
        </w:rPr>
        <w:t xml:space="preserve"> At the moment, we do not have an explanation for this finding.</w:t>
      </w:r>
    </w:p>
  </w:footnote>
  <w:footnote w:id="13">
    <w:p w14:paraId="755CA55B" w14:textId="77777777" w:rsidR="00F401B7" w:rsidRPr="00220038" w:rsidRDefault="00F401B7" w:rsidP="009F74E5">
      <w:pPr>
        <w:pStyle w:val="Notedebasdepage"/>
        <w:rPr>
          <w:sz w:val="18"/>
          <w:szCs w:val="18"/>
        </w:rPr>
      </w:pPr>
      <w:r w:rsidRPr="00FB67A1">
        <w:rPr>
          <w:rStyle w:val="Appelnotedebasdep"/>
          <w:sz w:val="18"/>
          <w:szCs w:val="18"/>
        </w:rPr>
        <w:footnoteRef/>
      </w:r>
      <w:r w:rsidRPr="00FB67A1">
        <w:rPr>
          <w:sz w:val="18"/>
          <w:szCs w:val="18"/>
        </w:rPr>
        <w:t xml:space="preserve"> </w:t>
      </w:r>
      <w:r>
        <w:rPr>
          <w:sz w:val="18"/>
          <w:szCs w:val="18"/>
        </w:rPr>
        <w:t xml:space="preserve">We did not calculate interaction effects for FDP advertisements on migration, since instances of such advertisements were </w:t>
      </w:r>
      <w:r w:rsidRPr="00220038">
        <w:rPr>
          <w:sz w:val="18"/>
          <w:szCs w:val="18"/>
        </w:rPr>
        <w:t>very rare (see Table 1).</w:t>
      </w:r>
    </w:p>
  </w:footnote>
  <w:footnote w:id="14">
    <w:p w14:paraId="7E409981" w14:textId="4D4D2EE0" w:rsidR="00F401B7" w:rsidRPr="003E04EF" w:rsidRDefault="00F401B7" w:rsidP="009F74E5">
      <w:pPr>
        <w:pStyle w:val="Notedebasdepage"/>
        <w:rPr>
          <w:sz w:val="18"/>
          <w:szCs w:val="18"/>
          <w:lang w:val="en-US"/>
        </w:rPr>
      </w:pPr>
      <w:r w:rsidRPr="00220038">
        <w:rPr>
          <w:rStyle w:val="Appelnotedebasdep"/>
          <w:sz w:val="18"/>
          <w:szCs w:val="18"/>
          <w:lang w:val="en-US"/>
        </w:rPr>
        <w:footnoteRef/>
      </w:r>
      <w:r w:rsidRPr="00220038">
        <w:rPr>
          <w:sz w:val="18"/>
          <w:szCs w:val="18"/>
          <w:lang w:val="en-US"/>
        </w:rPr>
        <w:t xml:space="preserve"> However, </w:t>
      </w:r>
      <w:r w:rsidRPr="00220038">
        <w:rPr>
          <w:rFonts w:cs="Times New Roman (Corps CS)"/>
          <w:sz w:val="18"/>
          <w:szCs w:val="18"/>
        </w:rPr>
        <w:t>the reinforcement effect of SVP-sponsored economy advertisements did not prove to be robust when the relative campaign measure was employed.</w:t>
      </w:r>
      <w:r>
        <w:rPr>
          <w:rFonts w:cs="Times New Roman (Corps CS)"/>
          <w:sz w:val="18"/>
          <w:szCs w:val="18"/>
        </w:rPr>
        <w:t xml:space="preserve"> </w:t>
      </w:r>
    </w:p>
  </w:footnote>
  <w:footnote w:id="15">
    <w:p w14:paraId="3876CFB1" w14:textId="3B6D502A" w:rsidR="00F401B7" w:rsidRPr="00E922A5" w:rsidRDefault="00F401B7">
      <w:pPr>
        <w:pStyle w:val="Notedebasdepage"/>
        <w:rPr>
          <w:sz w:val="18"/>
          <w:szCs w:val="18"/>
        </w:rPr>
      </w:pPr>
      <w:r w:rsidRPr="00220038">
        <w:rPr>
          <w:rStyle w:val="Appelnotedebasdep"/>
          <w:sz w:val="18"/>
          <w:szCs w:val="18"/>
        </w:rPr>
        <w:footnoteRef/>
      </w:r>
      <w:r w:rsidRPr="00220038">
        <w:rPr>
          <w:sz w:val="18"/>
          <w:szCs w:val="18"/>
        </w:rPr>
        <w:t xml:space="preserve"> These results are not robust when the weighted campaign variable (by news attention) is used.</w:t>
      </w:r>
      <w:r>
        <w:rPr>
          <w:sz w:val="18"/>
          <w:szCs w:val="18"/>
        </w:rPr>
        <w:t xml:space="preserve"> </w:t>
      </w:r>
    </w:p>
  </w:footnote>
  <w:footnote w:id="16">
    <w:p w14:paraId="100E0F5F" w14:textId="0EE91043" w:rsidR="00F401B7" w:rsidRPr="00E922A5" w:rsidRDefault="00F401B7">
      <w:pPr>
        <w:pStyle w:val="Notedebasdepage"/>
        <w:rPr>
          <w:sz w:val="18"/>
          <w:szCs w:val="18"/>
        </w:rPr>
      </w:pPr>
      <w:r w:rsidRPr="00220038">
        <w:rPr>
          <w:rStyle w:val="Appelnotedebasdep"/>
          <w:sz w:val="18"/>
          <w:szCs w:val="18"/>
        </w:rPr>
        <w:footnoteRef/>
      </w:r>
      <w:r w:rsidRPr="00220038">
        <w:rPr>
          <w:sz w:val="18"/>
          <w:szCs w:val="18"/>
        </w:rPr>
        <w:t xml:space="preserve"> These results are not fully robust when the relative campaign measure is employed.</w:t>
      </w:r>
      <w:r>
        <w:rPr>
          <w:sz w:val="18"/>
          <w:szCs w:val="18"/>
        </w:rPr>
        <w:t xml:space="preserve"> </w:t>
      </w:r>
      <w:r w:rsidRPr="00E922A5">
        <w:rPr>
          <w:sz w:val="18"/>
          <w:szCs w:val="18"/>
        </w:rPr>
        <w:t xml:space="preserve"> </w:t>
      </w:r>
    </w:p>
  </w:footnote>
  <w:footnote w:id="17">
    <w:p w14:paraId="06CF3977" w14:textId="42C3DF47" w:rsidR="00F401B7" w:rsidRPr="00E922A5" w:rsidRDefault="00F401B7">
      <w:pPr>
        <w:pStyle w:val="Notedebasdepage"/>
        <w:rPr>
          <w:sz w:val="18"/>
          <w:szCs w:val="18"/>
        </w:rPr>
      </w:pPr>
      <w:r w:rsidRPr="00220038">
        <w:rPr>
          <w:rStyle w:val="Appelnotedebasdep"/>
          <w:sz w:val="18"/>
          <w:szCs w:val="18"/>
        </w:rPr>
        <w:footnoteRef/>
      </w:r>
      <w:r w:rsidRPr="00220038">
        <w:rPr>
          <w:rStyle w:val="Appelnotedebasdep"/>
          <w:sz w:val="18"/>
          <w:szCs w:val="18"/>
        </w:rPr>
        <w:t xml:space="preserve"> </w:t>
      </w:r>
      <w:r w:rsidRPr="00220038">
        <w:rPr>
          <w:sz w:val="18"/>
          <w:szCs w:val="18"/>
        </w:rPr>
        <w:t>Two of our replication models also suggest a reinforcement effect for SVP economy ads. Furthermore, our replication models suggest that there might be a positive effect for SVP EU ads.</w:t>
      </w:r>
      <w:r>
        <w:rPr>
          <w:sz w:val="18"/>
          <w:szCs w:val="18"/>
        </w:rPr>
        <w:t xml:space="preserve"> </w:t>
      </w:r>
    </w:p>
  </w:footnote>
  <w:footnote w:id="18">
    <w:p w14:paraId="2AEC4462" w14:textId="6408E05F" w:rsidR="00F401B7" w:rsidRPr="00E922A5" w:rsidRDefault="00F401B7">
      <w:pPr>
        <w:pStyle w:val="Notedebasdepage"/>
        <w:rPr>
          <w:sz w:val="18"/>
          <w:szCs w:val="18"/>
        </w:rPr>
      </w:pPr>
      <w:r w:rsidRPr="00220038">
        <w:rPr>
          <w:rStyle w:val="Appelnotedebasdep"/>
        </w:rPr>
        <w:footnoteRef/>
      </w:r>
      <w:r w:rsidRPr="00220038">
        <w:t xml:space="preserve"> </w:t>
      </w:r>
      <w:r w:rsidRPr="00220038">
        <w:rPr>
          <w:sz w:val="18"/>
          <w:szCs w:val="18"/>
        </w:rPr>
        <w:t>We also examined whether the effects are sensitive to political awareness but our results did not provide strong evidence for that (results available on request).</w:t>
      </w:r>
      <w:r>
        <w:rPr>
          <w:sz w:val="18"/>
          <w:szCs w:val="18"/>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A7268"/>
    <w:multiLevelType w:val="hybridMultilevel"/>
    <w:tmpl w:val="EDEC300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F1C5DCB"/>
    <w:multiLevelType w:val="hybridMultilevel"/>
    <w:tmpl w:val="FDFEC204"/>
    <w:lvl w:ilvl="0" w:tplc="BC0A68E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6AD323A"/>
    <w:multiLevelType w:val="hybridMultilevel"/>
    <w:tmpl w:val="4EFEEEA6"/>
    <w:lvl w:ilvl="0" w:tplc="0407001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E24079F"/>
    <w:multiLevelType w:val="hybridMultilevel"/>
    <w:tmpl w:val="32848286"/>
    <w:lvl w:ilvl="0" w:tplc="3D4E2C8A">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5003C7B"/>
    <w:multiLevelType w:val="hybridMultilevel"/>
    <w:tmpl w:val="A04C2D7C"/>
    <w:lvl w:ilvl="0" w:tplc="0407001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437461"/>
    <w:multiLevelType w:val="hybridMultilevel"/>
    <w:tmpl w:val="8A648F7C"/>
    <w:lvl w:ilvl="0" w:tplc="04070015">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9107E2D"/>
    <w:multiLevelType w:val="hybridMultilevel"/>
    <w:tmpl w:val="A4281F6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2"/>
  </w:num>
  <w:num w:numId="3">
    <w:abstractNumId w:val="5"/>
  </w:num>
  <w:num w:numId="4">
    <w:abstractNumId w:val="4"/>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4E5"/>
    <w:rsid w:val="00000BA3"/>
    <w:rsid w:val="00001287"/>
    <w:rsid w:val="00003A4A"/>
    <w:rsid w:val="00005083"/>
    <w:rsid w:val="000124B9"/>
    <w:rsid w:val="000175CB"/>
    <w:rsid w:val="000202FB"/>
    <w:rsid w:val="00020D4C"/>
    <w:rsid w:val="0002445A"/>
    <w:rsid w:val="000256CC"/>
    <w:rsid w:val="00026600"/>
    <w:rsid w:val="00044690"/>
    <w:rsid w:val="00044A96"/>
    <w:rsid w:val="000501BC"/>
    <w:rsid w:val="000504AB"/>
    <w:rsid w:val="00054A5D"/>
    <w:rsid w:val="00061CC5"/>
    <w:rsid w:val="00064FA6"/>
    <w:rsid w:val="00070C59"/>
    <w:rsid w:val="000820C4"/>
    <w:rsid w:val="00085326"/>
    <w:rsid w:val="0009071D"/>
    <w:rsid w:val="00094767"/>
    <w:rsid w:val="00094EFE"/>
    <w:rsid w:val="000A5927"/>
    <w:rsid w:val="000A69FA"/>
    <w:rsid w:val="000B0F3F"/>
    <w:rsid w:val="000B196A"/>
    <w:rsid w:val="000B45C1"/>
    <w:rsid w:val="000B47C0"/>
    <w:rsid w:val="000C52B3"/>
    <w:rsid w:val="000C53C4"/>
    <w:rsid w:val="000C58C2"/>
    <w:rsid w:val="000D12FF"/>
    <w:rsid w:val="000D28C7"/>
    <w:rsid w:val="000D56B8"/>
    <w:rsid w:val="000D689C"/>
    <w:rsid w:val="000E1B72"/>
    <w:rsid w:val="000E3024"/>
    <w:rsid w:val="000E7697"/>
    <w:rsid w:val="000F204A"/>
    <w:rsid w:val="000F2EE7"/>
    <w:rsid w:val="000F40A6"/>
    <w:rsid w:val="000F6F56"/>
    <w:rsid w:val="000F79D1"/>
    <w:rsid w:val="0011282C"/>
    <w:rsid w:val="00121365"/>
    <w:rsid w:val="001323AD"/>
    <w:rsid w:val="00133908"/>
    <w:rsid w:val="001409F3"/>
    <w:rsid w:val="00141932"/>
    <w:rsid w:val="00143164"/>
    <w:rsid w:val="0015194B"/>
    <w:rsid w:val="0015302E"/>
    <w:rsid w:val="00153282"/>
    <w:rsid w:val="00156D6F"/>
    <w:rsid w:val="00165B92"/>
    <w:rsid w:val="00172F9E"/>
    <w:rsid w:val="00177874"/>
    <w:rsid w:val="00180060"/>
    <w:rsid w:val="00180D98"/>
    <w:rsid w:val="00182D4C"/>
    <w:rsid w:val="00183032"/>
    <w:rsid w:val="001857B3"/>
    <w:rsid w:val="001870B0"/>
    <w:rsid w:val="00187460"/>
    <w:rsid w:val="001936B3"/>
    <w:rsid w:val="001A3773"/>
    <w:rsid w:val="001A5897"/>
    <w:rsid w:val="001B23D8"/>
    <w:rsid w:val="001B435F"/>
    <w:rsid w:val="001B6666"/>
    <w:rsid w:val="001B67E1"/>
    <w:rsid w:val="001C0B2E"/>
    <w:rsid w:val="001C1649"/>
    <w:rsid w:val="001C56BA"/>
    <w:rsid w:val="001D20B9"/>
    <w:rsid w:val="001D5B14"/>
    <w:rsid w:val="001E070B"/>
    <w:rsid w:val="001E0C19"/>
    <w:rsid w:val="001E16BF"/>
    <w:rsid w:val="001F2546"/>
    <w:rsid w:val="002003F3"/>
    <w:rsid w:val="00201806"/>
    <w:rsid w:val="00220038"/>
    <w:rsid w:val="00220A83"/>
    <w:rsid w:val="002229F9"/>
    <w:rsid w:val="00227D64"/>
    <w:rsid w:val="00241E6C"/>
    <w:rsid w:val="00243A13"/>
    <w:rsid w:val="00246E6C"/>
    <w:rsid w:val="002473AE"/>
    <w:rsid w:val="00255F0C"/>
    <w:rsid w:val="002569AF"/>
    <w:rsid w:val="002577E3"/>
    <w:rsid w:val="002606AE"/>
    <w:rsid w:val="002613AF"/>
    <w:rsid w:val="00261D5B"/>
    <w:rsid w:val="00264B9E"/>
    <w:rsid w:val="002654BA"/>
    <w:rsid w:val="00266615"/>
    <w:rsid w:val="002674D3"/>
    <w:rsid w:val="0027246E"/>
    <w:rsid w:val="00275928"/>
    <w:rsid w:val="0029324A"/>
    <w:rsid w:val="0029764F"/>
    <w:rsid w:val="0029798C"/>
    <w:rsid w:val="00297FFE"/>
    <w:rsid w:val="002A29D2"/>
    <w:rsid w:val="002A584B"/>
    <w:rsid w:val="002A7CB2"/>
    <w:rsid w:val="002C624C"/>
    <w:rsid w:val="002C706F"/>
    <w:rsid w:val="002C7104"/>
    <w:rsid w:val="002C7C2E"/>
    <w:rsid w:val="002D0AA9"/>
    <w:rsid w:val="002D31CC"/>
    <w:rsid w:val="002D593B"/>
    <w:rsid w:val="002D60A7"/>
    <w:rsid w:val="002E0597"/>
    <w:rsid w:val="002E19AB"/>
    <w:rsid w:val="002E515F"/>
    <w:rsid w:val="002E612E"/>
    <w:rsid w:val="002E7CA3"/>
    <w:rsid w:val="002F149F"/>
    <w:rsid w:val="002F4520"/>
    <w:rsid w:val="0030479C"/>
    <w:rsid w:val="003174BA"/>
    <w:rsid w:val="00317BDE"/>
    <w:rsid w:val="0032142A"/>
    <w:rsid w:val="00325769"/>
    <w:rsid w:val="00326F4C"/>
    <w:rsid w:val="00327DE2"/>
    <w:rsid w:val="00331647"/>
    <w:rsid w:val="00332086"/>
    <w:rsid w:val="003333E3"/>
    <w:rsid w:val="00333537"/>
    <w:rsid w:val="00336A8A"/>
    <w:rsid w:val="00343071"/>
    <w:rsid w:val="0034379F"/>
    <w:rsid w:val="003443F8"/>
    <w:rsid w:val="0034442C"/>
    <w:rsid w:val="0035127B"/>
    <w:rsid w:val="003532E6"/>
    <w:rsid w:val="00357A2C"/>
    <w:rsid w:val="00361F76"/>
    <w:rsid w:val="00364BBD"/>
    <w:rsid w:val="00374F72"/>
    <w:rsid w:val="003872AB"/>
    <w:rsid w:val="003B5295"/>
    <w:rsid w:val="003B6782"/>
    <w:rsid w:val="003B7A61"/>
    <w:rsid w:val="003C0810"/>
    <w:rsid w:val="003C08D4"/>
    <w:rsid w:val="003C3B2B"/>
    <w:rsid w:val="003C4DDC"/>
    <w:rsid w:val="003C5914"/>
    <w:rsid w:val="003D4BC4"/>
    <w:rsid w:val="003E35B1"/>
    <w:rsid w:val="003E7ED0"/>
    <w:rsid w:val="003F3123"/>
    <w:rsid w:val="003F62DF"/>
    <w:rsid w:val="004063C3"/>
    <w:rsid w:val="004065A0"/>
    <w:rsid w:val="004224E7"/>
    <w:rsid w:val="00431014"/>
    <w:rsid w:val="00434465"/>
    <w:rsid w:val="00434B9C"/>
    <w:rsid w:val="00436F47"/>
    <w:rsid w:val="004404EA"/>
    <w:rsid w:val="00441458"/>
    <w:rsid w:val="00442801"/>
    <w:rsid w:val="00443E5E"/>
    <w:rsid w:val="00451EC8"/>
    <w:rsid w:val="004615F5"/>
    <w:rsid w:val="00462CA7"/>
    <w:rsid w:val="004634E4"/>
    <w:rsid w:val="0046638A"/>
    <w:rsid w:val="004663AA"/>
    <w:rsid w:val="00466F81"/>
    <w:rsid w:val="00470DDD"/>
    <w:rsid w:val="00471DE9"/>
    <w:rsid w:val="004808AE"/>
    <w:rsid w:val="00480956"/>
    <w:rsid w:val="004958B5"/>
    <w:rsid w:val="00496120"/>
    <w:rsid w:val="004A19B4"/>
    <w:rsid w:val="004B6E9B"/>
    <w:rsid w:val="004C6AA2"/>
    <w:rsid w:val="004D421A"/>
    <w:rsid w:val="004D591B"/>
    <w:rsid w:val="004E0663"/>
    <w:rsid w:val="004E0FFD"/>
    <w:rsid w:val="004E11E8"/>
    <w:rsid w:val="004E7722"/>
    <w:rsid w:val="004F3EB9"/>
    <w:rsid w:val="004F4691"/>
    <w:rsid w:val="005006F8"/>
    <w:rsid w:val="005018C0"/>
    <w:rsid w:val="00501A75"/>
    <w:rsid w:val="0050203F"/>
    <w:rsid w:val="00505409"/>
    <w:rsid w:val="00505551"/>
    <w:rsid w:val="00511936"/>
    <w:rsid w:val="00511F69"/>
    <w:rsid w:val="0051796F"/>
    <w:rsid w:val="00524790"/>
    <w:rsid w:val="0052531B"/>
    <w:rsid w:val="00530032"/>
    <w:rsid w:val="00530E56"/>
    <w:rsid w:val="00531BFA"/>
    <w:rsid w:val="00536025"/>
    <w:rsid w:val="00536F99"/>
    <w:rsid w:val="00545625"/>
    <w:rsid w:val="005528B4"/>
    <w:rsid w:val="00552C07"/>
    <w:rsid w:val="00553AD3"/>
    <w:rsid w:val="005563D1"/>
    <w:rsid w:val="0056321A"/>
    <w:rsid w:val="00565AB4"/>
    <w:rsid w:val="00566879"/>
    <w:rsid w:val="005705D8"/>
    <w:rsid w:val="00577F29"/>
    <w:rsid w:val="00584129"/>
    <w:rsid w:val="0059016E"/>
    <w:rsid w:val="00590E94"/>
    <w:rsid w:val="00591B8F"/>
    <w:rsid w:val="00595C8C"/>
    <w:rsid w:val="005A0C03"/>
    <w:rsid w:val="005A7739"/>
    <w:rsid w:val="005B31C2"/>
    <w:rsid w:val="005B4667"/>
    <w:rsid w:val="005C449B"/>
    <w:rsid w:val="005C778E"/>
    <w:rsid w:val="005D276C"/>
    <w:rsid w:val="005D6D5D"/>
    <w:rsid w:val="005E5670"/>
    <w:rsid w:val="005E5D1E"/>
    <w:rsid w:val="005E6927"/>
    <w:rsid w:val="005F0125"/>
    <w:rsid w:val="005F174A"/>
    <w:rsid w:val="005F70FE"/>
    <w:rsid w:val="00600351"/>
    <w:rsid w:val="00603011"/>
    <w:rsid w:val="00611EBA"/>
    <w:rsid w:val="006277AB"/>
    <w:rsid w:val="00636F74"/>
    <w:rsid w:val="00642481"/>
    <w:rsid w:val="00643716"/>
    <w:rsid w:val="00644D7B"/>
    <w:rsid w:val="00646644"/>
    <w:rsid w:val="00660382"/>
    <w:rsid w:val="00661E89"/>
    <w:rsid w:val="006635B4"/>
    <w:rsid w:val="00664868"/>
    <w:rsid w:val="00665592"/>
    <w:rsid w:val="006655A9"/>
    <w:rsid w:val="00666376"/>
    <w:rsid w:val="00670474"/>
    <w:rsid w:val="00674E82"/>
    <w:rsid w:val="00675788"/>
    <w:rsid w:val="00676780"/>
    <w:rsid w:val="0068339D"/>
    <w:rsid w:val="006840C5"/>
    <w:rsid w:val="00684515"/>
    <w:rsid w:val="00695277"/>
    <w:rsid w:val="006B3D7A"/>
    <w:rsid w:val="006B64A3"/>
    <w:rsid w:val="006C36F7"/>
    <w:rsid w:val="006C65BC"/>
    <w:rsid w:val="006C74A2"/>
    <w:rsid w:val="006C7A3F"/>
    <w:rsid w:val="006D602F"/>
    <w:rsid w:val="006E3657"/>
    <w:rsid w:val="006E3CF5"/>
    <w:rsid w:val="006E5D13"/>
    <w:rsid w:val="006E5D5B"/>
    <w:rsid w:val="006E7593"/>
    <w:rsid w:val="006F0988"/>
    <w:rsid w:val="006F3953"/>
    <w:rsid w:val="006F3961"/>
    <w:rsid w:val="00700C55"/>
    <w:rsid w:val="00702187"/>
    <w:rsid w:val="00703B5B"/>
    <w:rsid w:val="00705688"/>
    <w:rsid w:val="007077BB"/>
    <w:rsid w:val="0071373B"/>
    <w:rsid w:val="00714599"/>
    <w:rsid w:val="007217C2"/>
    <w:rsid w:val="0072207F"/>
    <w:rsid w:val="00722532"/>
    <w:rsid w:val="0073067D"/>
    <w:rsid w:val="00730989"/>
    <w:rsid w:val="00734A74"/>
    <w:rsid w:val="00735830"/>
    <w:rsid w:val="00735D41"/>
    <w:rsid w:val="00736E2C"/>
    <w:rsid w:val="00740BC6"/>
    <w:rsid w:val="007517DF"/>
    <w:rsid w:val="0076345C"/>
    <w:rsid w:val="00764A37"/>
    <w:rsid w:val="00770167"/>
    <w:rsid w:val="0077075E"/>
    <w:rsid w:val="00771A92"/>
    <w:rsid w:val="00774947"/>
    <w:rsid w:val="007753C1"/>
    <w:rsid w:val="00776997"/>
    <w:rsid w:val="0078365F"/>
    <w:rsid w:val="007836CC"/>
    <w:rsid w:val="007852DC"/>
    <w:rsid w:val="00787B87"/>
    <w:rsid w:val="00791E68"/>
    <w:rsid w:val="007923F4"/>
    <w:rsid w:val="00794C6A"/>
    <w:rsid w:val="00795B42"/>
    <w:rsid w:val="00795BE2"/>
    <w:rsid w:val="007A1DEF"/>
    <w:rsid w:val="007A315B"/>
    <w:rsid w:val="007A3DB2"/>
    <w:rsid w:val="007A4508"/>
    <w:rsid w:val="007A5CD5"/>
    <w:rsid w:val="007B2067"/>
    <w:rsid w:val="007B2E90"/>
    <w:rsid w:val="007B4E6B"/>
    <w:rsid w:val="007B5D39"/>
    <w:rsid w:val="007B65D6"/>
    <w:rsid w:val="007C4C78"/>
    <w:rsid w:val="007C6AFA"/>
    <w:rsid w:val="007D4417"/>
    <w:rsid w:val="007D6E79"/>
    <w:rsid w:val="007F0753"/>
    <w:rsid w:val="007F2F74"/>
    <w:rsid w:val="007F776B"/>
    <w:rsid w:val="008002EC"/>
    <w:rsid w:val="00820E2D"/>
    <w:rsid w:val="008210CE"/>
    <w:rsid w:val="008238E1"/>
    <w:rsid w:val="00826322"/>
    <w:rsid w:val="0083059C"/>
    <w:rsid w:val="00832AAA"/>
    <w:rsid w:val="00832AD0"/>
    <w:rsid w:val="0084006C"/>
    <w:rsid w:val="00843373"/>
    <w:rsid w:val="008448A4"/>
    <w:rsid w:val="008452B1"/>
    <w:rsid w:val="00845735"/>
    <w:rsid w:val="00850CD7"/>
    <w:rsid w:val="00856DBA"/>
    <w:rsid w:val="00857069"/>
    <w:rsid w:val="008607C4"/>
    <w:rsid w:val="008607E0"/>
    <w:rsid w:val="00860ED5"/>
    <w:rsid w:val="008610A8"/>
    <w:rsid w:val="0086529D"/>
    <w:rsid w:val="0086615C"/>
    <w:rsid w:val="00873814"/>
    <w:rsid w:val="00880A6D"/>
    <w:rsid w:val="00887044"/>
    <w:rsid w:val="008932DB"/>
    <w:rsid w:val="00896841"/>
    <w:rsid w:val="008A63C0"/>
    <w:rsid w:val="008B1E7D"/>
    <w:rsid w:val="008C09CE"/>
    <w:rsid w:val="008C322D"/>
    <w:rsid w:val="008C38CD"/>
    <w:rsid w:val="008C55A7"/>
    <w:rsid w:val="008C7194"/>
    <w:rsid w:val="008D0487"/>
    <w:rsid w:val="008D07D0"/>
    <w:rsid w:val="008D3B0C"/>
    <w:rsid w:val="008E0081"/>
    <w:rsid w:val="008E0CBC"/>
    <w:rsid w:val="008E1D2E"/>
    <w:rsid w:val="008E3555"/>
    <w:rsid w:val="008E48A7"/>
    <w:rsid w:val="008F25DD"/>
    <w:rsid w:val="008F2F8A"/>
    <w:rsid w:val="00901749"/>
    <w:rsid w:val="00904B8E"/>
    <w:rsid w:val="0090664B"/>
    <w:rsid w:val="00907217"/>
    <w:rsid w:val="00914973"/>
    <w:rsid w:val="00921504"/>
    <w:rsid w:val="009225E4"/>
    <w:rsid w:val="00930CA5"/>
    <w:rsid w:val="009326E6"/>
    <w:rsid w:val="009342C9"/>
    <w:rsid w:val="009436C4"/>
    <w:rsid w:val="009448A7"/>
    <w:rsid w:val="00950932"/>
    <w:rsid w:val="0095225F"/>
    <w:rsid w:val="00962CA0"/>
    <w:rsid w:val="00963089"/>
    <w:rsid w:val="009645FC"/>
    <w:rsid w:val="00971217"/>
    <w:rsid w:val="00972A82"/>
    <w:rsid w:val="00975926"/>
    <w:rsid w:val="00982B8D"/>
    <w:rsid w:val="009846F7"/>
    <w:rsid w:val="00984E47"/>
    <w:rsid w:val="009864FF"/>
    <w:rsid w:val="00991125"/>
    <w:rsid w:val="0099169C"/>
    <w:rsid w:val="009925F4"/>
    <w:rsid w:val="009A2D8D"/>
    <w:rsid w:val="009A3C7C"/>
    <w:rsid w:val="009B1E8B"/>
    <w:rsid w:val="009B6719"/>
    <w:rsid w:val="009C1D49"/>
    <w:rsid w:val="009C7539"/>
    <w:rsid w:val="009C7544"/>
    <w:rsid w:val="009C75CA"/>
    <w:rsid w:val="009C76DB"/>
    <w:rsid w:val="009D1CFC"/>
    <w:rsid w:val="009D7D3F"/>
    <w:rsid w:val="009E0689"/>
    <w:rsid w:val="009E173F"/>
    <w:rsid w:val="009E2710"/>
    <w:rsid w:val="009E3859"/>
    <w:rsid w:val="009E4151"/>
    <w:rsid w:val="009E5027"/>
    <w:rsid w:val="009E7720"/>
    <w:rsid w:val="009E7C1B"/>
    <w:rsid w:val="009F0213"/>
    <w:rsid w:val="009F398A"/>
    <w:rsid w:val="009F54C2"/>
    <w:rsid w:val="009F74E5"/>
    <w:rsid w:val="00A02173"/>
    <w:rsid w:val="00A06D6E"/>
    <w:rsid w:val="00A251C5"/>
    <w:rsid w:val="00A31105"/>
    <w:rsid w:val="00A3243C"/>
    <w:rsid w:val="00A331B9"/>
    <w:rsid w:val="00A37107"/>
    <w:rsid w:val="00A44245"/>
    <w:rsid w:val="00A46A51"/>
    <w:rsid w:val="00A475E0"/>
    <w:rsid w:val="00A505B5"/>
    <w:rsid w:val="00A50AA0"/>
    <w:rsid w:val="00A50F76"/>
    <w:rsid w:val="00A53336"/>
    <w:rsid w:val="00A5545F"/>
    <w:rsid w:val="00A56817"/>
    <w:rsid w:val="00A57819"/>
    <w:rsid w:val="00A65CDA"/>
    <w:rsid w:val="00A72266"/>
    <w:rsid w:val="00A804DB"/>
    <w:rsid w:val="00A810FE"/>
    <w:rsid w:val="00A85AB3"/>
    <w:rsid w:val="00A876DD"/>
    <w:rsid w:val="00A95B4E"/>
    <w:rsid w:val="00A97C20"/>
    <w:rsid w:val="00AA0FA4"/>
    <w:rsid w:val="00AB3FC9"/>
    <w:rsid w:val="00AB5009"/>
    <w:rsid w:val="00AB5130"/>
    <w:rsid w:val="00AB7070"/>
    <w:rsid w:val="00AC0A2B"/>
    <w:rsid w:val="00AC25F2"/>
    <w:rsid w:val="00AC3A1F"/>
    <w:rsid w:val="00AC7861"/>
    <w:rsid w:val="00AD2381"/>
    <w:rsid w:val="00AD521B"/>
    <w:rsid w:val="00AD6768"/>
    <w:rsid w:val="00AE14CF"/>
    <w:rsid w:val="00AE48FF"/>
    <w:rsid w:val="00AF1CE7"/>
    <w:rsid w:val="00AF6F8E"/>
    <w:rsid w:val="00AF7536"/>
    <w:rsid w:val="00B008CB"/>
    <w:rsid w:val="00B01F5B"/>
    <w:rsid w:val="00B0298B"/>
    <w:rsid w:val="00B02D33"/>
    <w:rsid w:val="00B05562"/>
    <w:rsid w:val="00B0740B"/>
    <w:rsid w:val="00B13F99"/>
    <w:rsid w:val="00B2780E"/>
    <w:rsid w:val="00B303D9"/>
    <w:rsid w:val="00B3174B"/>
    <w:rsid w:val="00B32A7C"/>
    <w:rsid w:val="00B45E7E"/>
    <w:rsid w:val="00B501AB"/>
    <w:rsid w:val="00B54536"/>
    <w:rsid w:val="00B66148"/>
    <w:rsid w:val="00B717DE"/>
    <w:rsid w:val="00B75960"/>
    <w:rsid w:val="00B82606"/>
    <w:rsid w:val="00B8344D"/>
    <w:rsid w:val="00B90D68"/>
    <w:rsid w:val="00BA452B"/>
    <w:rsid w:val="00BB0C89"/>
    <w:rsid w:val="00BB288E"/>
    <w:rsid w:val="00BB6126"/>
    <w:rsid w:val="00BC1B08"/>
    <w:rsid w:val="00BC2A34"/>
    <w:rsid w:val="00BC2AD6"/>
    <w:rsid w:val="00BC2CE7"/>
    <w:rsid w:val="00BC2F2F"/>
    <w:rsid w:val="00BC59BC"/>
    <w:rsid w:val="00BD2490"/>
    <w:rsid w:val="00BD626E"/>
    <w:rsid w:val="00BD78A6"/>
    <w:rsid w:val="00BE04E6"/>
    <w:rsid w:val="00BE155B"/>
    <w:rsid w:val="00BE1C9C"/>
    <w:rsid w:val="00BE4052"/>
    <w:rsid w:val="00BE5322"/>
    <w:rsid w:val="00BE5468"/>
    <w:rsid w:val="00BE5ABA"/>
    <w:rsid w:val="00BF2137"/>
    <w:rsid w:val="00BF35EC"/>
    <w:rsid w:val="00BF44F5"/>
    <w:rsid w:val="00BF5F7D"/>
    <w:rsid w:val="00C0066A"/>
    <w:rsid w:val="00C02093"/>
    <w:rsid w:val="00C02F53"/>
    <w:rsid w:val="00C20DF6"/>
    <w:rsid w:val="00C22454"/>
    <w:rsid w:val="00C23F8D"/>
    <w:rsid w:val="00C34232"/>
    <w:rsid w:val="00C36F78"/>
    <w:rsid w:val="00C411FD"/>
    <w:rsid w:val="00C4387C"/>
    <w:rsid w:val="00C44A01"/>
    <w:rsid w:val="00C46124"/>
    <w:rsid w:val="00C500E4"/>
    <w:rsid w:val="00C52A3F"/>
    <w:rsid w:val="00C5597E"/>
    <w:rsid w:val="00C63DF0"/>
    <w:rsid w:val="00C63FCE"/>
    <w:rsid w:val="00C64549"/>
    <w:rsid w:val="00C7168E"/>
    <w:rsid w:val="00C72F9D"/>
    <w:rsid w:val="00C73E1D"/>
    <w:rsid w:val="00C749AD"/>
    <w:rsid w:val="00C779C1"/>
    <w:rsid w:val="00C81B82"/>
    <w:rsid w:val="00C85905"/>
    <w:rsid w:val="00C935C4"/>
    <w:rsid w:val="00C965D7"/>
    <w:rsid w:val="00CA0482"/>
    <w:rsid w:val="00CA18B5"/>
    <w:rsid w:val="00CB1A1A"/>
    <w:rsid w:val="00CB33D4"/>
    <w:rsid w:val="00CB5B14"/>
    <w:rsid w:val="00CB714C"/>
    <w:rsid w:val="00CB79D8"/>
    <w:rsid w:val="00CC3CAB"/>
    <w:rsid w:val="00CC7A56"/>
    <w:rsid w:val="00CD0BC3"/>
    <w:rsid w:val="00CD651E"/>
    <w:rsid w:val="00CE0256"/>
    <w:rsid w:val="00CE693E"/>
    <w:rsid w:val="00CE72E9"/>
    <w:rsid w:val="00CE7928"/>
    <w:rsid w:val="00CF2DFE"/>
    <w:rsid w:val="00CF3051"/>
    <w:rsid w:val="00CF4172"/>
    <w:rsid w:val="00CF5E85"/>
    <w:rsid w:val="00CF76B6"/>
    <w:rsid w:val="00D01ED6"/>
    <w:rsid w:val="00D05D36"/>
    <w:rsid w:val="00D14D8E"/>
    <w:rsid w:val="00D318E3"/>
    <w:rsid w:val="00D33DB4"/>
    <w:rsid w:val="00D36B96"/>
    <w:rsid w:val="00D4213D"/>
    <w:rsid w:val="00D42503"/>
    <w:rsid w:val="00D47361"/>
    <w:rsid w:val="00D5032B"/>
    <w:rsid w:val="00D53865"/>
    <w:rsid w:val="00D53ABE"/>
    <w:rsid w:val="00D56455"/>
    <w:rsid w:val="00D60B7B"/>
    <w:rsid w:val="00D64CF7"/>
    <w:rsid w:val="00D7645B"/>
    <w:rsid w:val="00D77DD0"/>
    <w:rsid w:val="00D84832"/>
    <w:rsid w:val="00D8510C"/>
    <w:rsid w:val="00D86AA7"/>
    <w:rsid w:val="00D94B1B"/>
    <w:rsid w:val="00D95A5A"/>
    <w:rsid w:val="00DA00AC"/>
    <w:rsid w:val="00DA3371"/>
    <w:rsid w:val="00DA437B"/>
    <w:rsid w:val="00DB2F1C"/>
    <w:rsid w:val="00DC20DA"/>
    <w:rsid w:val="00DC2F46"/>
    <w:rsid w:val="00DC3787"/>
    <w:rsid w:val="00DC3854"/>
    <w:rsid w:val="00DC53DC"/>
    <w:rsid w:val="00DD0F8D"/>
    <w:rsid w:val="00DD3601"/>
    <w:rsid w:val="00DD5ABC"/>
    <w:rsid w:val="00DE261F"/>
    <w:rsid w:val="00DE2CC4"/>
    <w:rsid w:val="00DE632F"/>
    <w:rsid w:val="00DE6AAB"/>
    <w:rsid w:val="00DF1E66"/>
    <w:rsid w:val="00DF2C5D"/>
    <w:rsid w:val="00DF3DDF"/>
    <w:rsid w:val="00E06471"/>
    <w:rsid w:val="00E11D71"/>
    <w:rsid w:val="00E14726"/>
    <w:rsid w:val="00E262D5"/>
    <w:rsid w:val="00E270E7"/>
    <w:rsid w:val="00E364A6"/>
    <w:rsid w:val="00E4051D"/>
    <w:rsid w:val="00E42F8C"/>
    <w:rsid w:val="00E431D8"/>
    <w:rsid w:val="00E4380B"/>
    <w:rsid w:val="00E465C4"/>
    <w:rsid w:val="00E54F03"/>
    <w:rsid w:val="00E57966"/>
    <w:rsid w:val="00E614B9"/>
    <w:rsid w:val="00E62356"/>
    <w:rsid w:val="00E65BA0"/>
    <w:rsid w:val="00E74913"/>
    <w:rsid w:val="00E76CC8"/>
    <w:rsid w:val="00E77DF3"/>
    <w:rsid w:val="00E80878"/>
    <w:rsid w:val="00E82052"/>
    <w:rsid w:val="00E855B2"/>
    <w:rsid w:val="00E87346"/>
    <w:rsid w:val="00E922A5"/>
    <w:rsid w:val="00E9538B"/>
    <w:rsid w:val="00E96F8C"/>
    <w:rsid w:val="00E9758A"/>
    <w:rsid w:val="00EA019A"/>
    <w:rsid w:val="00EA0A9C"/>
    <w:rsid w:val="00EA390C"/>
    <w:rsid w:val="00EA4C01"/>
    <w:rsid w:val="00EA674E"/>
    <w:rsid w:val="00EB0E38"/>
    <w:rsid w:val="00EB2E35"/>
    <w:rsid w:val="00EB52C9"/>
    <w:rsid w:val="00EC3144"/>
    <w:rsid w:val="00EC70F2"/>
    <w:rsid w:val="00EC7731"/>
    <w:rsid w:val="00ED0D62"/>
    <w:rsid w:val="00ED2D55"/>
    <w:rsid w:val="00ED387B"/>
    <w:rsid w:val="00ED53AC"/>
    <w:rsid w:val="00EF7C87"/>
    <w:rsid w:val="00F02B06"/>
    <w:rsid w:val="00F035CE"/>
    <w:rsid w:val="00F07CFA"/>
    <w:rsid w:val="00F1739D"/>
    <w:rsid w:val="00F21280"/>
    <w:rsid w:val="00F234D7"/>
    <w:rsid w:val="00F26282"/>
    <w:rsid w:val="00F32D1E"/>
    <w:rsid w:val="00F331B3"/>
    <w:rsid w:val="00F401B7"/>
    <w:rsid w:val="00F407D6"/>
    <w:rsid w:val="00F41505"/>
    <w:rsid w:val="00F41CC7"/>
    <w:rsid w:val="00F43512"/>
    <w:rsid w:val="00F4370D"/>
    <w:rsid w:val="00F45036"/>
    <w:rsid w:val="00F47F9A"/>
    <w:rsid w:val="00F57A3C"/>
    <w:rsid w:val="00F64AE1"/>
    <w:rsid w:val="00F64B22"/>
    <w:rsid w:val="00F64C38"/>
    <w:rsid w:val="00F66049"/>
    <w:rsid w:val="00F67C1E"/>
    <w:rsid w:val="00F67D92"/>
    <w:rsid w:val="00F76FCB"/>
    <w:rsid w:val="00F8063B"/>
    <w:rsid w:val="00F8472D"/>
    <w:rsid w:val="00F86358"/>
    <w:rsid w:val="00F91F45"/>
    <w:rsid w:val="00F95847"/>
    <w:rsid w:val="00FA2D81"/>
    <w:rsid w:val="00FA2EF0"/>
    <w:rsid w:val="00FB2719"/>
    <w:rsid w:val="00FB5E8C"/>
    <w:rsid w:val="00FB7FF4"/>
    <w:rsid w:val="00FC0056"/>
    <w:rsid w:val="00FC2C3F"/>
    <w:rsid w:val="00FC4106"/>
    <w:rsid w:val="00FC72A0"/>
    <w:rsid w:val="00FD09FB"/>
    <w:rsid w:val="00FF0F1F"/>
    <w:rsid w:val="00FF33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35E13"/>
  <w15:chartTrackingRefBased/>
  <w15:docId w15:val="{19F554C5-E9EA-9A48-B294-8822F5747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74E5"/>
    <w:pPr>
      <w:spacing w:after="200" w:line="360" w:lineRule="auto"/>
      <w:jc w:val="both"/>
    </w:pPr>
    <w:rPr>
      <w:rFonts w:ascii="Times New Roman" w:hAnsi="Times New Roman"/>
      <w:sz w:val="22"/>
      <w:lang w:val="en-GB"/>
    </w:rPr>
  </w:style>
  <w:style w:type="paragraph" w:styleId="Titre1">
    <w:name w:val="heading 1"/>
    <w:basedOn w:val="Normal"/>
    <w:next w:val="Normal"/>
    <w:link w:val="Titre1Car"/>
    <w:uiPriority w:val="9"/>
    <w:qFormat/>
    <w:rsid w:val="009F74E5"/>
    <w:pPr>
      <w:keepNext/>
      <w:keepLines/>
      <w:spacing w:before="200" w:after="160"/>
      <w:ind w:left="709"/>
      <w:outlineLvl w:val="0"/>
    </w:pPr>
    <w:rPr>
      <w:rFonts w:eastAsiaTheme="majorEastAsia" w:cstheme="majorBidi"/>
      <w:b/>
      <w:color w:val="000000" w:themeColor="text1"/>
      <w:sz w:val="24"/>
      <w:szCs w:val="32"/>
    </w:rPr>
  </w:style>
  <w:style w:type="paragraph" w:styleId="Titre2">
    <w:name w:val="heading 2"/>
    <w:basedOn w:val="Normal"/>
    <w:next w:val="Normal"/>
    <w:link w:val="Titre2Car"/>
    <w:uiPriority w:val="9"/>
    <w:unhideWhenUsed/>
    <w:qFormat/>
    <w:rsid w:val="009F74E5"/>
    <w:pPr>
      <w:keepNext/>
      <w:keepLines/>
      <w:outlineLvl w:val="1"/>
    </w:pPr>
    <w:rPr>
      <w:rFonts w:eastAsiaTheme="majorEastAsia" w:cstheme="majorBidi"/>
      <w:b/>
      <w:i/>
      <w:color w:val="000000" w:themeColor="text1"/>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74E5"/>
    <w:rPr>
      <w:rFonts w:ascii="Times New Roman" w:eastAsiaTheme="majorEastAsia" w:hAnsi="Times New Roman" w:cstheme="majorBidi"/>
      <w:b/>
      <w:color w:val="000000" w:themeColor="text1"/>
      <w:szCs w:val="32"/>
      <w:lang w:val="en-GB"/>
    </w:rPr>
  </w:style>
  <w:style w:type="character" w:customStyle="1" w:styleId="Titre2Car">
    <w:name w:val="Titre 2 Car"/>
    <w:basedOn w:val="Policepardfaut"/>
    <w:link w:val="Titre2"/>
    <w:uiPriority w:val="9"/>
    <w:rsid w:val="009F74E5"/>
    <w:rPr>
      <w:rFonts w:ascii="Times New Roman" w:eastAsiaTheme="majorEastAsia" w:hAnsi="Times New Roman" w:cstheme="majorBidi"/>
      <w:b/>
      <w:i/>
      <w:color w:val="000000" w:themeColor="text1"/>
      <w:sz w:val="22"/>
      <w:szCs w:val="26"/>
      <w:lang w:val="en-GB"/>
    </w:rPr>
  </w:style>
  <w:style w:type="character" w:styleId="Marquedecommentaire">
    <w:name w:val="annotation reference"/>
    <w:basedOn w:val="Policepardfaut"/>
    <w:uiPriority w:val="99"/>
    <w:semiHidden/>
    <w:unhideWhenUsed/>
    <w:rsid w:val="009F74E5"/>
    <w:rPr>
      <w:sz w:val="18"/>
      <w:szCs w:val="18"/>
    </w:rPr>
  </w:style>
  <w:style w:type="paragraph" w:styleId="Commentaire">
    <w:name w:val="annotation text"/>
    <w:basedOn w:val="Normal"/>
    <w:link w:val="CommentaireCar"/>
    <w:uiPriority w:val="99"/>
    <w:semiHidden/>
    <w:unhideWhenUsed/>
    <w:rsid w:val="009F74E5"/>
    <w:pPr>
      <w:spacing w:line="240" w:lineRule="auto"/>
    </w:pPr>
    <w:rPr>
      <w:sz w:val="24"/>
    </w:rPr>
  </w:style>
  <w:style w:type="character" w:customStyle="1" w:styleId="CommentaireCar">
    <w:name w:val="Commentaire Car"/>
    <w:basedOn w:val="Policepardfaut"/>
    <w:link w:val="Commentaire"/>
    <w:uiPriority w:val="99"/>
    <w:semiHidden/>
    <w:rsid w:val="009F74E5"/>
    <w:rPr>
      <w:rFonts w:ascii="Times New Roman" w:hAnsi="Times New Roman"/>
      <w:lang w:val="en-GB"/>
    </w:rPr>
  </w:style>
  <w:style w:type="paragraph" w:styleId="Objetducommentaire">
    <w:name w:val="annotation subject"/>
    <w:basedOn w:val="Commentaire"/>
    <w:next w:val="Commentaire"/>
    <w:link w:val="ObjetducommentaireCar"/>
    <w:uiPriority w:val="99"/>
    <w:semiHidden/>
    <w:unhideWhenUsed/>
    <w:rsid w:val="009F74E5"/>
    <w:rPr>
      <w:b/>
      <w:bCs/>
      <w:sz w:val="20"/>
      <w:szCs w:val="20"/>
    </w:rPr>
  </w:style>
  <w:style w:type="character" w:customStyle="1" w:styleId="ObjetducommentaireCar">
    <w:name w:val="Objet du commentaire Car"/>
    <w:basedOn w:val="CommentaireCar"/>
    <w:link w:val="Objetducommentaire"/>
    <w:uiPriority w:val="99"/>
    <w:semiHidden/>
    <w:rsid w:val="009F74E5"/>
    <w:rPr>
      <w:rFonts w:ascii="Times New Roman" w:hAnsi="Times New Roman"/>
      <w:b/>
      <w:bCs/>
      <w:sz w:val="20"/>
      <w:szCs w:val="20"/>
      <w:lang w:val="en-GB"/>
    </w:rPr>
  </w:style>
  <w:style w:type="paragraph" w:styleId="Textedebulles">
    <w:name w:val="Balloon Text"/>
    <w:basedOn w:val="Normal"/>
    <w:link w:val="TextedebullesCar"/>
    <w:uiPriority w:val="99"/>
    <w:semiHidden/>
    <w:unhideWhenUsed/>
    <w:rsid w:val="009F74E5"/>
    <w:pPr>
      <w:spacing w:after="0" w:line="240" w:lineRule="auto"/>
    </w:pPr>
    <w:rPr>
      <w:rFonts w:cs="Times New Roman"/>
      <w:sz w:val="18"/>
      <w:szCs w:val="18"/>
    </w:rPr>
  </w:style>
  <w:style w:type="character" w:customStyle="1" w:styleId="TextedebullesCar">
    <w:name w:val="Texte de bulles Car"/>
    <w:basedOn w:val="Policepardfaut"/>
    <w:link w:val="Textedebulles"/>
    <w:uiPriority w:val="99"/>
    <w:semiHidden/>
    <w:rsid w:val="009F74E5"/>
    <w:rPr>
      <w:rFonts w:ascii="Times New Roman" w:hAnsi="Times New Roman" w:cs="Times New Roman"/>
      <w:sz w:val="18"/>
      <w:szCs w:val="18"/>
      <w:lang w:val="en-GB"/>
    </w:rPr>
  </w:style>
  <w:style w:type="paragraph" w:styleId="Notedebasdepage">
    <w:name w:val="footnote text"/>
    <w:basedOn w:val="Normal"/>
    <w:link w:val="NotedebasdepageCar"/>
    <w:uiPriority w:val="99"/>
    <w:unhideWhenUsed/>
    <w:rsid w:val="009F74E5"/>
    <w:pPr>
      <w:spacing w:after="0" w:line="240" w:lineRule="auto"/>
    </w:pPr>
    <w:rPr>
      <w:sz w:val="24"/>
    </w:rPr>
  </w:style>
  <w:style w:type="character" w:customStyle="1" w:styleId="NotedebasdepageCar">
    <w:name w:val="Note de bas de page Car"/>
    <w:basedOn w:val="Policepardfaut"/>
    <w:link w:val="Notedebasdepage"/>
    <w:uiPriority w:val="99"/>
    <w:rsid w:val="009F74E5"/>
    <w:rPr>
      <w:rFonts w:ascii="Times New Roman" w:hAnsi="Times New Roman"/>
      <w:lang w:val="en-GB"/>
    </w:rPr>
  </w:style>
  <w:style w:type="character" w:styleId="Appelnotedebasdep">
    <w:name w:val="footnote reference"/>
    <w:basedOn w:val="Policepardfaut"/>
    <w:uiPriority w:val="99"/>
    <w:unhideWhenUsed/>
    <w:rsid w:val="009F74E5"/>
    <w:rPr>
      <w:vertAlign w:val="superscript"/>
    </w:rPr>
  </w:style>
  <w:style w:type="paragraph" w:styleId="Paragraphedeliste">
    <w:name w:val="List Paragraph"/>
    <w:basedOn w:val="Normal"/>
    <w:uiPriority w:val="34"/>
    <w:qFormat/>
    <w:rsid w:val="009F74E5"/>
    <w:pPr>
      <w:ind w:left="720"/>
      <w:contextualSpacing/>
    </w:pPr>
  </w:style>
  <w:style w:type="paragraph" w:styleId="NormalWeb">
    <w:name w:val="Normal (Web)"/>
    <w:basedOn w:val="Normal"/>
    <w:uiPriority w:val="99"/>
    <w:unhideWhenUsed/>
    <w:rsid w:val="009F74E5"/>
    <w:pPr>
      <w:spacing w:before="100" w:beforeAutospacing="1" w:after="100" w:afterAutospacing="1" w:line="240" w:lineRule="auto"/>
      <w:jc w:val="left"/>
    </w:pPr>
    <w:rPr>
      <w:rFonts w:cs="Times New Roman"/>
      <w:sz w:val="24"/>
      <w:lang w:val="fr-FR" w:eastAsia="fr-FR"/>
    </w:rPr>
  </w:style>
  <w:style w:type="character" w:styleId="Lienhypertexte">
    <w:name w:val="Hyperlink"/>
    <w:basedOn w:val="Policepardfaut"/>
    <w:uiPriority w:val="99"/>
    <w:unhideWhenUsed/>
    <w:rsid w:val="009F74E5"/>
    <w:rPr>
      <w:color w:val="0000FF"/>
      <w:u w:val="single"/>
    </w:rPr>
  </w:style>
  <w:style w:type="character" w:customStyle="1" w:styleId="personname">
    <w:name w:val="person_name"/>
    <w:basedOn w:val="Policepardfaut"/>
    <w:rsid w:val="009F74E5"/>
  </w:style>
  <w:style w:type="character" w:customStyle="1" w:styleId="apple-converted-space">
    <w:name w:val="apple-converted-space"/>
    <w:basedOn w:val="Policepardfaut"/>
    <w:rsid w:val="009F74E5"/>
  </w:style>
  <w:style w:type="character" w:styleId="Accentuation">
    <w:name w:val="Emphasis"/>
    <w:basedOn w:val="Policepardfaut"/>
    <w:uiPriority w:val="20"/>
    <w:qFormat/>
    <w:rsid w:val="009F74E5"/>
    <w:rPr>
      <w:i/>
      <w:iCs/>
    </w:rPr>
  </w:style>
  <w:style w:type="paragraph" w:customStyle="1" w:styleId="Literaturverzeichnis1">
    <w:name w:val="Literaturverzeichnis1"/>
    <w:basedOn w:val="Normal"/>
    <w:rsid w:val="009F74E5"/>
    <w:pPr>
      <w:spacing w:after="240" w:line="240" w:lineRule="auto"/>
      <w:ind w:left="720" w:hanging="720"/>
    </w:pPr>
    <w:rPr>
      <w:rFonts w:asciiTheme="minorHAnsi" w:hAnsiTheme="minorHAnsi"/>
      <w:szCs w:val="22"/>
    </w:rPr>
  </w:style>
  <w:style w:type="paragraph" w:styleId="Rvision">
    <w:name w:val="Revision"/>
    <w:hidden/>
    <w:uiPriority w:val="99"/>
    <w:semiHidden/>
    <w:rsid w:val="009F74E5"/>
    <w:rPr>
      <w:rFonts w:ascii="Times New Roman" w:hAnsi="Times New Roman"/>
      <w:sz w:val="22"/>
      <w:lang w:val="en-GB"/>
    </w:rPr>
  </w:style>
  <w:style w:type="paragraph" w:styleId="Explorateurdedocuments">
    <w:name w:val="Document Map"/>
    <w:basedOn w:val="Normal"/>
    <w:link w:val="ExplorateurdedocumentsCar"/>
    <w:uiPriority w:val="99"/>
    <w:semiHidden/>
    <w:unhideWhenUsed/>
    <w:rsid w:val="009F74E5"/>
    <w:pPr>
      <w:spacing w:after="0" w:line="240" w:lineRule="auto"/>
    </w:pPr>
    <w:rPr>
      <w:rFonts w:cs="Times New Roman"/>
      <w:sz w:val="24"/>
    </w:rPr>
  </w:style>
  <w:style w:type="character" w:customStyle="1" w:styleId="ExplorateurdedocumentsCar">
    <w:name w:val="Explorateur de documents Car"/>
    <w:basedOn w:val="Policepardfaut"/>
    <w:link w:val="Explorateurdedocuments"/>
    <w:uiPriority w:val="99"/>
    <w:semiHidden/>
    <w:rsid w:val="009F74E5"/>
    <w:rPr>
      <w:rFonts w:ascii="Times New Roman" w:hAnsi="Times New Roman" w:cs="Times New Roman"/>
      <w:lang w:val="en-GB"/>
    </w:rPr>
  </w:style>
  <w:style w:type="paragraph" w:styleId="En-tte">
    <w:name w:val="header"/>
    <w:basedOn w:val="Normal"/>
    <w:link w:val="En-tteCar"/>
    <w:uiPriority w:val="99"/>
    <w:unhideWhenUsed/>
    <w:rsid w:val="009F74E5"/>
    <w:pPr>
      <w:tabs>
        <w:tab w:val="center" w:pos="4536"/>
        <w:tab w:val="right" w:pos="9072"/>
      </w:tabs>
      <w:spacing w:after="0" w:line="240" w:lineRule="auto"/>
    </w:pPr>
  </w:style>
  <w:style w:type="character" w:customStyle="1" w:styleId="En-tteCar">
    <w:name w:val="En-tête Car"/>
    <w:basedOn w:val="Policepardfaut"/>
    <w:link w:val="En-tte"/>
    <w:uiPriority w:val="99"/>
    <w:rsid w:val="009F74E5"/>
    <w:rPr>
      <w:rFonts w:ascii="Times New Roman" w:hAnsi="Times New Roman"/>
      <w:sz w:val="22"/>
      <w:lang w:val="en-GB"/>
    </w:rPr>
  </w:style>
  <w:style w:type="paragraph" w:styleId="Pieddepage">
    <w:name w:val="footer"/>
    <w:basedOn w:val="Normal"/>
    <w:link w:val="PieddepageCar"/>
    <w:uiPriority w:val="99"/>
    <w:unhideWhenUsed/>
    <w:rsid w:val="009F74E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F74E5"/>
    <w:rPr>
      <w:rFonts w:ascii="Times New Roman" w:hAnsi="Times New Roman"/>
      <w:sz w:val="22"/>
      <w:lang w:val="en-GB"/>
    </w:rPr>
  </w:style>
  <w:style w:type="character" w:styleId="Lienhypertextesuivivisit">
    <w:name w:val="FollowedHyperlink"/>
    <w:basedOn w:val="Policepardfaut"/>
    <w:uiPriority w:val="99"/>
    <w:semiHidden/>
    <w:unhideWhenUsed/>
    <w:rsid w:val="009F74E5"/>
    <w:rPr>
      <w:color w:val="954F72" w:themeColor="followedHyperlink"/>
      <w:u w:val="single"/>
    </w:rPr>
  </w:style>
  <w:style w:type="character" w:styleId="Numrodepage">
    <w:name w:val="page number"/>
    <w:basedOn w:val="Policepardfaut"/>
    <w:uiPriority w:val="99"/>
    <w:semiHidden/>
    <w:unhideWhenUsed/>
    <w:rsid w:val="009F74E5"/>
  </w:style>
  <w:style w:type="character" w:customStyle="1" w:styleId="Mentionnonrsolue1">
    <w:name w:val="Mention non résolue1"/>
    <w:basedOn w:val="Policepardfaut"/>
    <w:uiPriority w:val="99"/>
    <w:rsid w:val="009F74E5"/>
    <w:rPr>
      <w:color w:val="605E5C"/>
      <w:shd w:val="clear" w:color="auto" w:fill="E1DFDD"/>
    </w:rPr>
  </w:style>
  <w:style w:type="paragraph" w:customStyle="1" w:styleId="Literaturverzeichnis2">
    <w:name w:val="Literaturverzeichnis2"/>
    <w:basedOn w:val="Normal"/>
    <w:link w:val="BibliographyZchn"/>
    <w:rsid w:val="009F74E5"/>
    <w:pPr>
      <w:spacing w:after="0" w:line="480" w:lineRule="auto"/>
      <w:ind w:left="720" w:hanging="720"/>
      <w:jc w:val="left"/>
    </w:pPr>
    <w:rPr>
      <w:rFonts w:asciiTheme="minorHAnsi" w:hAnsiTheme="minorHAnsi"/>
      <w:sz w:val="24"/>
      <w:lang w:val="de-CH"/>
    </w:rPr>
  </w:style>
  <w:style w:type="character" w:customStyle="1" w:styleId="BibliographyZchn">
    <w:name w:val="Bibliography Zchn"/>
    <w:basedOn w:val="Policepardfaut"/>
    <w:link w:val="Literaturverzeichnis2"/>
    <w:rsid w:val="009F74E5"/>
  </w:style>
  <w:style w:type="table" w:styleId="Grilledutableau">
    <w:name w:val="Table Grid"/>
    <w:basedOn w:val="TableauNormal"/>
    <w:uiPriority w:val="59"/>
    <w:unhideWhenUsed/>
    <w:rsid w:val="009F74E5"/>
    <w:rPr>
      <w:rFonts w:eastAsiaTheme="minorEastAsia"/>
      <w:sz w:val="22"/>
      <w:szCs w:val="22"/>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5705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589157">
      <w:bodyDiv w:val="1"/>
      <w:marLeft w:val="0"/>
      <w:marRight w:val="0"/>
      <w:marTop w:val="0"/>
      <w:marBottom w:val="0"/>
      <w:divBdr>
        <w:top w:val="none" w:sz="0" w:space="0" w:color="auto"/>
        <w:left w:val="none" w:sz="0" w:space="0" w:color="auto"/>
        <w:bottom w:val="none" w:sz="0" w:space="0" w:color="auto"/>
        <w:right w:val="none" w:sz="0" w:space="0" w:color="auto"/>
      </w:divBdr>
    </w:div>
    <w:div w:id="510606176">
      <w:bodyDiv w:val="1"/>
      <w:marLeft w:val="0"/>
      <w:marRight w:val="0"/>
      <w:marTop w:val="0"/>
      <w:marBottom w:val="0"/>
      <w:divBdr>
        <w:top w:val="none" w:sz="0" w:space="0" w:color="auto"/>
        <w:left w:val="none" w:sz="0" w:space="0" w:color="auto"/>
        <w:bottom w:val="none" w:sz="0" w:space="0" w:color="auto"/>
        <w:right w:val="none" w:sz="0" w:space="0" w:color="auto"/>
      </w:divBdr>
    </w:div>
    <w:div w:id="890504170">
      <w:bodyDiv w:val="1"/>
      <w:marLeft w:val="0"/>
      <w:marRight w:val="0"/>
      <w:marTop w:val="0"/>
      <w:marBottom w:val="0"/>
      <w:divBdr>
        <w:top w:val="none" w:sz="0" w:space="0" w:color="auto"/>
        <w:left w:val="none" w:sz="0" w:space="0" w:color="auto"/>
        <w:bottom w:val="none" w:sz="0" w:space="0" w:color="auto"/>
        <w:right w:val="none" w:sz="0" w:space="0" w:color="auto"/>
      </w:divBdr>
      <w:divsChild>
        <w:div w:id="1242523999">
          <w:marLeft w:val="0"/>
          <w:marRight w:val="0"/>
          <w:marTop w:val="0"/>
          <w:marBottom w:val="0"/>
          <w:divBdr>
            <w:top w:val="none" w:sz="0" w:space="0" w:color="auto"/>
            <w:left w:val="none" w:sz="0" w:space="0" w:color="auto"/>
            <w:bottom w:val="none" w:sz="0" w:space="0" w:color="auto"/>
            <w:right w:val="none" w:sz="0" w:space="0" w:color="auto"/>
          </w:divBdr>
        </w:div>
        <w:div w:id="87048849">
          <w:marLeft w:val="0"/>
          <w:marRight w:val="0"/>
          <w:marTop w:val="0"/>
          <w:marBottom w:val="0"/>
          <w:divBdr>
            <w:top w:val="none" w:sz="0" w:space="0" w:color="auto"/>
            <w:left w:val="none" w:sz="0" w:space="0" w:color="auto"/>
            <w:bottom w:val="none" w:sz="0" w:space="0" w:color="auto"/>
            <w:right w:val="none" w:sz="0" w:space="0" w:color="auto"/>
          </w:divBdr>
        </w:div>
        <w:div w:id="1223055421">
          <w:marLeft w:val="0"/>
          <w:marRight w:val="0"/>
          <w:marTop w:val="0"/>
          <w:marBottom w:val="0"/>
          <w:divBdr>
            <w:top w:val="none" w:sz="0" w:space="0" w:color="auto"/>
            <w:left w:val="none" w:sz="0" w:space="0" w:color="auto"/>
            <w:bottom w:val="none" w:sz="0" w:space="0" w:color="auto"/>
            <w:right w:val="none" w:sz="0" w:space="0" w:color="auto"/>
          </w:divBdr>
        </w:div>
      </w:divsChild>
    </w:div>
    <w:div w:id="1303385075">
      <w:bodyDiv w:val="1"/>
      <w:marLeft w:val="0"/>
      <w:marRight w:val="0"/>
      <w:marTop w:val="0"/>
      <w:marBottom w:val="0"/>
      <w:divBdr>
        <w:top w:val="none" w:sz="0" w:space="0" w:color="auto"/>
        <w:left w:val="none" w:sz="0" w:space="0" w:color="auto"/>
        <w:bottom w:val="none" w:sz="0" w:space="0" w:color="auto"/>
        <w:right w:val="none" w:sz="0" w:space="0" w:color="auto"/>
      </w:divBdr>
      <w:divsChild>
        <w:div w:id="925380240">
          <w:marLeft w:val="0"/>
          <w:marRight w:val="0"/>
          <w:marTop w:val="0"/>
          <w:marBottom w:val="0"/>
          <w:divBdr>
            <w:top w:val="none" w:sz="0" w:space="0" w:color="auto"/>
            <w:left w:val="none" w:sz="0" w:space="0" w:color="auto"/>
            <w:bottom w:val="none" w:sz="0" w:space="0" w:color="auto"/>
            <w:right w:val="none" w:sz="0" w:space="0" w:color="auto"/>
          </w:divBdr>
          <w:divsChild>
            <w:div w:id="729307300">
              <w:marLeft w:val="0"/>
              <w:marRight w:val="0"/>
              <w:marTop w:val="0"/>
              <w:marBottom w:val="0"/>
              <w:divBdr>
                <w:top w:val="none" w:sz="0" w:space="0" w:color="auto"/>
                <w:left w:val="none" w:sz="0" w:space="0" w:color="auto"/>
                <w:bottom w:val="none" w:sz="0" w:space="0" w:color="auto"/>
                <w:right w:val="none" w:sz="0" w:space="0" w:color="auto"/>
              </w:divBdr>
              <w:divsChild>
                <w:div w:id="172386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010427">
      <w:bodyDiv w:val="1"/>
      <w:marLeft w:val="0"/>
      <w:marRight w:val="0"/>
      <w:marTop w:val="0"/>
      <w:marBottom w:val="0"/>
      <w:divBdr>
        <w:top w:val="none" w:sz="0" w:space="0" w:color="auto"/>
        <w:left w:val="none" w:sz="0" w:space="0" w:color="auto"/>
        <w:bottom w:val="none" w:sz="0" w:space="0" w:color="auto"/>
        <w:right w:val="none" w:sz="0" w:space="0" w:color="auto"/>
      </w:divBdr>
      <w:divsChild>
        <w:div w:id="2041082658">
          <w:marLeft w:val="0"/>
          <w:marRight w:val="0"/>
          <w:marTop w:val="0"/>
          <w:marBottom w:val="0"/>
          <w:divBdr>
            <w:top w:val="none" w:sz="0" w:space="0" w:color="auto"/>
            <w:left w:val="none" w:sz="0" w:space="0" w:color="auto"/>
            <w:bottom w:val="none" w:sz="0" w:space="0" w:color="auto"/>
            <w:right w:val="none" w:sz="0" w:space="0" w:color="auto"/>
          </w:divBdr>
          <w:divsChild>
            <w:div w:id="1714650401">
              <w:marLeft w:val="0"/>
              <w:marRight w:val="0"/>
              <w:marTop w:val="0"/>
              <w:marBottom w:val="0"/>
              <w:divBdr>
                <w:top w:val="none" w:sz="0" w:space="0" w:color="auto"/>
                <w:left w:val="none" w:sz="0" w:space="0" w:color="auto"/>
                <w:bottom w:val="none" w:sz="0" w:space="0" w:color="auto"/>
                <w:right w:val="none" w:sz="0" w:space="0" w:color="auto"/>
              </w:divBdr>
              <w:divsChild>
                <w:div w:id="29406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0C038-2B93-054D-BBAE-13CAAC39B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9639</Words>
  <Characters>53019</Characters>
  <Application>Microsoft Office Word</Application>
  <DocSecurity>0</DocSecurity>
  <Lines>441</Lines>
  <Paragraphs>125</Paragraphs>
  <ScaleCrop>false</ScaleCrop>
  <HeadingPairs>
    <vt:vector size="6" baseType="variant">
      <vt:variant>
        <vt:lpstr>Titre</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62533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Office-Benutzer</dc:creator>
  <cp:keywords/>
  <dc:description/>
  <cp:lastModifiedBy>Guillaume Zumofen</cp:lastModifiedBy>
  <cp:revision>26</cp:revision>
  <dcterms:created xsi:type="dcterms:W3CDTF">2018-10-17T09:45:00Z</dcterms:created>
  <dcterms:modified xsi:type="dcterms:W3CDTF">2018-10-19T09:49:00Z</dcterms:modified>
</cp:coreProperties>
</file>