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xml" ContentType="application/xml"/>
  <Default Extension="png" ContentType="image/png"/>
  <Default Extension="svg" ContentType="image/svg+xml"/>
  <Default Extension="jpeg" ContentType="image/jpeg"/>
  <Default Extension="gif" ContentType="image/gif"/>
  <Default Extension="jp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559999" cy="10691999"/>
            <wp:effectExtent l="0" r="0" t="0" b="0"/>
            <wp:wrapTopAndBottom/>
            <wp:docPr id="13" name="cover.jpg" descr="Cover"/>
            <wp:cNvGraphicFramePr>
              <a:graphicFrameLocks noChangeAspect="1"/>
            </wp:cNvGraphicFramePr>
            <a:graphic>
              <a:graphicData uri="http://schemas.openxmlformats.org/drawingml/2006/picture">
                <pic:pic>
                  <pic:nvPicPr>
                    <pic:cNvPr id="0" name="cover.jpg" descr="Cover"/>
                    <pic:cNvPicPr/>
                  </pic:nvPicPr>
                  <pic:blipFill>
                    <a:blip r:embed="rId5"/>
                    <a:stretch>
                      <a:fillRect/>
                    </a:stretch>
                  </pic:blipFill>
                  <pic:spPr>
                    <a:xfrm>
                      <a:off x="0" y="0"/>
                      <a:ext cx="7559999" cy="10691999"/>
                    </a:xfrm>
                    <a:prstGeom prst="rect">
                      <a:avLst/>
                    </a:prstGeom>
                  </pic:spPr>
                </pic:pic>
              </a:graphicData>
            </a:graphic>
          </wp:anchor>
        </w:drawing>
      </w:r>
    </w:p>
    <w:p>
      <w:pPr>
        <w:pStyle w:val="Para 18"/>
        <w:pageBreakBefore w:val="on"/>
      </w:pPr>
      <w:r>
        <w:t/>
      </w:r>
    </w:p>
    <w:p>
      <w:pPr>
        <w:pStyle w:val="Para 1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330700" cy="6527800"/>
            <wp:effectExtent l="0" r="0" t="0" b="0"/>
            <wp:wrapTopAndBottom/>
            <wp:docPr id="1" name="cover.jpeg" descr="cover.jpeg"/>
            <wp:cNvGraphicFramePr>
              <a:graphicFrameLocks noChangeAspect="1"/>
            </wp:cNvGraphicFramePr>
            <a:graphic>
              <a:graphicData uri="http://schemas.openxmlformats.org/drawingml/2006/picture">
                <pic:pic>
                  <pic:nvPicPr>
                    <pic:cNvPr id="0" name="cover.jpeg" descr="cover.jpeg"/>
                    <pic:cNvPicPr/>
                  </pic:nvPicPr>
                  <pic:blipFill>
                    <a:blip r:embed="rId5"/>
                    <a:stretch>
                      <a:fillRect/>
                    </a:stretch>
                  </pic:blipFill>
                  <pic:spPr>
                    <a:xfrm>
                      <a:off x="0" y="0"/>
                      <a:ext cx="4330700" cy="6527800"/>
                    </a:xfrm>
                    <a:prstGeom prst="rect">
                      <a:avLst/>
                    </a:prstGeom>
                  </pic:spPr>
                </pic:pic>
              </a:graphicData>
            </a:graphic>
          </wp:anchor>
        </w:drawing>
      </w:r>
      <w:r>
        <w:rPr>
          <w:lang w:bidi="en" w:val="en" w:eastAsia="en"/>
        </w:rPr>
        <w:t xml:space="preserve"> </w:t>
      </w:r>
    </w:p>
    <w:p>
      <w:pPr>
        <w:pStyle w:val="Para 18"/>
      </w:pPr>
      <w:r>
        <w:t xml:space="preserve"> Обыкновенные Люд</w:t>
        <w:t>и</w:t>
        <w:t xml:space="preserve"> </w:t>
      </w:r>
    </w:p>
    <w:p>
      <w:pPr>
        <w:pStyle w:val="Para 13"/>
      </w:pPr>
      <w:r>
        <w:bookmarkStart w:id="1" w:name="anchor1"/>
        <w:t/>
        <w:bookmarkEnd w:id="1"/>
        <w:t>Полицейский Резервный Батальон 101</w:t>
        <w:bookmarkStart w:id="2" w:name="anchor2"/>
        <w:t/>
        <w:bookmarkEnd w:id="2"/>
        <w:bookmarkStart w:id="3" w:name="anchor3"/>
        <w:t/>
        <w:bookmarkEnd w:id="3"/>
      </w:r>
    </w:p>
    <w:p>
      <w:pPr>
        <w:pStyle w:val="Para 20"/>
      </w:pPr>
      <w:r>
        <w:t xml:space="preserve">И </w:t>
        <w:t>Окончательное Решение в Польше</w:t>
      </w:r>
    </w:p>
    <w:p>
      <w:pPr>
        <w:pStyle w:val="Para 21"/>
      </w:pPr>
      <w:r>
        <w:t>Кристофер Роберт Браунинг</w:t>
      </w:r>
    </w:p>
    <w:p>
      <w:pPr>
        <w:pStyle w:val="Para 22"/>
      </w:pPr>
      <w:r>
        <w:t>Для Рауля Хильберга</w:t>
      </w:r>
    </w:p>
    <w:p>
      <w:pPr>
        <w:pStyle w:val="Para 22"/>
      </w:pPr>
      <w:r>
        <w:t/>
      </w:r>
    </w:p>
    <w:p>
      <w:pPr>
        <w:pStyle w:val="Para 23"/>
      </w:pPr>
      <w:r>
        <w:t>Оглавление</w:t>
      </w:r>
    </w:p>
    <w:p>
      <w:pPr>
        <w:pStyle w:val="Para 30"/>
      </w:pPr>
      <w:r>
        <w:t/>
      </w:r>
    </w:p>
    <w:p>
      <w:pPr>
        <w:pStyle w:val="Para 08"/>
      </w:pPr>
      <w:hyperlink w:anchor="anchor4">
        <w:r>
          <w:t xml:space="preserve">Иллюстрации </w:t>
        </w:r>
      </w:hyperlink>
      <w:r>
        <w:rPr>
          <w:rStyle w:val="Text8"/>
        </w:rPr>
        <w:t xml:space="preserve"> </w:t>
      </w:r>
    </w:p>
    <w:p>
      <w:pPr>
        <w:pStyle w:val="Para 08"/>
      </w:pPr>
      <w:hyperlink w:anchor="anchor5">
        <w:r>
          <w:t xml:space="preserve">Предисловие </w:t>
        </w:r>
      </w:hyperlink>
      <w:r>
        <w:rPr>
          <w:rStyle w:val="Text8"/>
        </w:rPr>
        <w:t xml:space="preserve"> </w:t>
      </w:r>
    </w:p>
    <w:p>
      <w:pPr>
        <w:pStyle w:val="Para 08"/>
      </w:pPr>
      <w:hyperlink w:anchor="anchor6">
        <w:r>
          <w:t>Глава 1</w:t>
        </w:r>
      </w:hyperlink>
      <w:r>
        <w:rPr>
          <w:rStyle w:val="Text5"/>
        </w:rPr>
        <w:t xml:space="preserve">. </w:t>
      </w:r>
      <w:hyperlink w:anchor="anchor7">
        <w:r>
          <w:t xml:space="preserve">Одно утро в Юзефуве </w:t>
        </w:r>
      </w:hyperlink>
      <w:r>
        <w:rPr>
          <w:rStyle w:val="Text8"/>
        </w:rPr>
        <w:t xml:space="preserve"> </w:t>
      </w:r>
    </w:p>
    <w:p>
      <w:pPr>
        <w:pStyle w:val="Para 08"/>
      </w:pPr>
      <w:hyperlink w:anchor="anchor8">
        <w:r>
          <w:t>Глава 2</w:t>
        </w:r>
      </w:hyperlink>
      <w:r>
        <w:rPr>
          <w:rStyle w:val="Text5"/>
        </w:rPr>
        <w:t xml:space="preserve">. </w:t>
      </w:r>
      <w:hyperlink w:anchor="anchor9">
        <w:r>
          <w:t xml:space="preserve">Полиция Порядка </w:t>
        </w:r>
      </w:hyperlink>
      <w:r>
        <w:rPr>
          <w:rStyle w:val="Text8"/>
        </w:rPr>
        <w:t xml:space="preserve"> </w:t>
      </w:r>
    </w:p>
    <w:p>
      <w:pPr>
        <w:pStyle w:val="Para 08"/>
      </w:pPr>
      <w:hyperlink w:anchor="anchor10">
        <w:r>
          <w:t>Глава 3</w:t>
        </w:r>
      </w:hyperlink>
      <w:r>
        <w:rPr>
          <w:rStyle w:val="Text5"/>
        </w:rPr>
        <w:t>.</w:t>
        <w:t xml:space="preserve"> </w:t>
      </w:r>
      <w:hyperlink w:anchor="anchor11">
        <w:r>
          <w:t xml:space="preserve">Полиция Порядка и Окончательное Решение: СССР 1941 </w:t>
        </w:r>
      </w:hyperlink>
      <w:r>
        <w:rPr>
          <w:rStyle w:val="Text8"/>
        </w:rPr>
        <w:t xml:space="preserve"> </w:t>
      </w:r>
    </w:p>
    <w:p>
      <w:pPr>
        <w:pStyle w:val="Para 08"/>
      </w:pPr>
      <w:hyperlink w:anchor="anchor12">
        <w:r>
          <w:t>Глава 4</w:t>
        </w:r>
      </w:hyperlink>
      <w:r>
        <w:rPr>
          <w:rStyle w:val="Text5"/>
        </w:rPr>
        <w:t xml:space="preserve">. </w:t>
      </w:r>
      <w:hyperlink w:anchor="anchor13">
        <w:r>
          <w:t xml:space="preserve">Полиция Порядка и Окончательное Решение: Депортация </w:t>
        </w:r>
      </w:hyperlink>
      <w:r>
        <w:rPr>
          <w:rStyle w:val="Text8"/>
        </w:rPr>
        <w:t xml:space="preserve"> </w:t>
      </w:r>
    </w:p>
    <w:p>
      <w:pPr>
        <w:pStyle w:val="Para 08"/>
      </w:pPr>
      <w:hyperlink w:anchor="anchor14">
        <w:r>
          <w:t>Глава 5</w:t>
        </w:r>
      </w:hyperlink>
      <w:r>
        <w:rPr>
          <w:rStyle w:val="Text5"/>
        </w:rPr>
        <w:t xml:space="preserve">. </w:t>
      </w:r>
      <w:hyperlink w:anchor="anchor15">
        <w:r>
          <w:t xml:space="preserve">Полицейский Резервный Батальон 101 </w:t>
        </w:r>
      </w:hyperlink>
      <w:r>
        <w:rPr>
          <w:rStyle w:val="Text8"/>
        </w:rPr>
        <w:t xml:space="preserve"> </w:t>
      </w:r>
    </w:p>
    <w:p>
      <w:pPr>
        <w:pStyle w:val="Para 08"/>
      </w:pPr>
      <w:hyperlink w:anchor="anchor16">
        <w:r>
          <w:t>Глава 6</w:t>
        </w:r>
      </w:hyperlink>
      <w:r>
        <w:rPr>
          <w:rStyle w:val="Text5"/>
        </w:rPr>
        <w:t xml:space="preserve">. </w:t>
      </w:r>
      <w:hyperlink w:anchor="anchor17">
        <w:r>
          <w:t xml:space="preserve">Прибытие в Польшу </w:t>
        </w:r>
      </w:hyperlink>
      <w:r>
        <w:rPr>
          <w:rStyle w:val="Text8"/>
        </w:rPr>
        <w:t xml:space="preserve"> </w:t>
      </w:r>
    </w:p>
    <w:p>
      <w:pPr>
        <w:pStyle w:val="Para 08"/>
      </w:pPr>
      <w:hyperlink w:anchor="anchor18">
        <w:r>
          <w:t>Глава 7</w:t>
        </w:r>
      </w:hyperlink>
      <w:r>
        <w:rPr>
          <w:rStyle w:val="Text5"/>
        </w:rPr>
        <w:t xml:space="preserve">. </w:t>
      </w:r>
      <w:hyperlink w:anchor="anchor19">
        <w:r>
          <w:t xml:space="preserve">Посвящение в массовые убийцы: Резня в Юзефуве </w:t>
        </w:r>
      </w:hyperlink>
      <w:r>
        <w:rPr>
          <w:rStyle w:val="Text8"/>
        </w:rPr>
        <w:t xml:space="preserve"> </w:t>
      </w:r>
    </w:p>
    <w:p>
      <w:pPr>
        <w:pStyle w:val="Para 08"/>
      </w:pPr>
      <w:hyperlink w:anchor="anchor20">
        <w:r>
          <w:t>Глава 8</w:t>
        </w:r>
      </w:hyperlink>
      <w:r>
        <w:rPr>
          <w:rStyle w:val="Text5"/>
        </w:rPr>
        <w:t xml:space="preserve">. </w:t>
      </w:r>
      <w:hyperlink w:anchor="anchor21">
        <w:r>
          <w:t xml:space="preserve">Размышления о резне </w:t>
        </w:r>
      </w:hyperlink>
      <w:r>
        <w:rPr>
          <w:rStyle w:val="Text8"/>
        </w:rPr>
        <w:t xml:space="preserve"> </w:t>
      </w:r>
    </w:p>
    <w:p>
      <w:pPr>
        <w:pStyle w:val="Para 08"/>
      </w:pPr>
      <w:hyperlink w:anchor="anchor22">
        <w:r>
          <w:t>Глава 9</w:t>
        </w:r>
      </w:hyperlink>
      <w:r>
        <w:rPr>
          <w:rStyle w:val="Text5"/>
        </w:rPr>
        <w:t xml:space="preserve">. </w:t>
      </w:r>
      <w:hyperlink w:anchor="anchor23">
        <w:r>
          <w:t xml:space="preserve">Падение второй роты </w:t>
        </w:r>
      </w:hyperlink>
      <w:r>
        <w:rPr>
          <w:rStyle w:val="Text8"/>
        </w:rPr>
        <w:t xml:space="preserve"> </w:t>
      </w:r>
    </w:p>
    <w:p>
      <w:pPr>
        <w:pStyle w:val="Para 08"/>
      </w:pPr>
      <w:hyperlink w:anchor="anchor24">
        <w:r>
          <w:t>Глава 10</w:t>
        </w:r>
      </w:hyperlink>
      <w:r>
        <w:rPr>
          <w:rStyle w:val="Text5"/>
        </w:rPr>
        <w:t xml:space="preserve">. </w:t>
      </w:r>
      <w:hyperlink w:anchor="anchor25">
        <w:r>
          <w:t xml:space="preserve">Августовская депортация в Треблинку </w:t>
        </w:r>
      </w:hyperlink>
      <w:r>
        <w:rPr>
          <w:rStyle w:val="Text8"/>
        </w:rPr>
        <w:t xml:space="preserve"> </w:t>
      </w:r>
    </w:p>
    <w:p>
      <w:pPr>
        <w:pStyle w:val="Para 08"/>
      </w:pPr>
      <w:hyperlink w:anchor="anchor26">
        <w:r>
          <w:t>Глава 11</w:t>
        </w:r>
      </w:hyperlink>
      <w:r>
        <w:rPr>
          <w:rStyle w:val="Text5"/>
        </w:rPr>
        <w:t xml:space="preserve">. </w:t>
      </w:r>
      <w:hyperlink w:anchor="anchor27">
        <w:r>
          <w:t xml:space="preserve">Расстрелы поздним сентябрем </w:t>
        </w:r>
      </w:hyperlink>
      <w:r>
        <w:rPr>
          <w:rStyle w:val="Text8"/>
        </w:rPr>
        <w:t xml:space="preserve"> </w:t>
      </w:r>
    </w:p>
    <w:p>
      <w:pPr>
        <w:pStyle w:val="Para 08"/>
      </w:pPr>
      <w:hyperlink w:anchor="anchor28">
        <w:r>
          <w:t>Глава 12</w:t>
        </w:r>
      </w:hyperlink>
      <w:r>
        <w:rPr>
          <w:rStyle w:val="Text5"/>
        </w:rPr>
        <w:t xml:space="preserve">. </w:t>
      </w:r>
      <w:hyperlink w:anchor="anchor29">
        <w:r>
          <w:t xml:space="preserve">Возобновление Депортаций </w:t>
        </w:r>
      </w:hyperlink>
      <w:r>
        <w:rPr>
          <w:rStyle w:val="Text8"/>
        </w:rPr>
        <w:t xml:space="preserve"> </w:t>
      </w:r>
    </w:p>
    <w:p>
      <w:pPr>
        <w:pStyle w:val="Para 08"/>
      </w:pPr>
      <w:hyperlink w:anchor="anchor30">
        <w:r>
          <w:t>Глава 13</w:t>
        </w:r>
      </w:hyperlink>
      <w:r>
        <w:rPr>
          <w:rStyle w:val="Text5"/>
        </w:rPr>
        <w:t xml:space="preserve">. </w:t>
      </w:r>
      <w:hyperlink w:anchor="anchor31">
        <w:r>
          <w:t xml:space="preserve">Странности со здоровьем капитана Хоффмана </w:t>
        </w:r>
      </w:hyperlink>
      <w:r>
        <w:rPr>
          <w:rStyle w:val="Text8"/>
        </w:rPr>
        <w:t xml:space="preserve"> </w:t>
      </w:r>
    </w:p>
    <w:p>
      <w:pPr>
        <w:pStyle w:val="Para 08"/>
      </w:pPr>
      <w:hyperlink w:anchor="anchor32">
        <w:r>
          <w:t>Глава 14</w:t>
        </w:r>
      </w:hyperlink>
      <w:r>
        <w:rPr>
          <w:rStyle w:val="Text5"/>
        </w:rPr>
        <w:t xml:space="preserve">. </w:t>
      </w:r>
      <w:hyperlink w:anchor="anchor33">
        <w:r>
          <w:t xml:space="preserve">«Охота на евреев» </w:t>
        </w:r>
      </w:hyperlink>
      <w:r>
        <w:rPr>
          <w:rStyle w:val="Text8"/>
        </w:rPr>
        <w:t xml:space="preserve"> </w:t>
      </w:r>
    </w:p>
    <w:p>
      <w:pPr>
        <w:pStyle w:val="Para 08"/>
      </w:pPr>
      <w:hyperlink w:anchor="anchor34">
        <w:r>
          <w:t>Глава 15</w:t>
        </w:r>
      </w:hyperlink>
      <w:r>
        <w:rPr>
          <w:rStyle w:val="Text5"/>
        </w:rPr>
        <w:t xml:space="preserve">. </w:t>
      </w:r>
      <w:hyperlink w:anchor="anchor35">
        <w:r>
          <w:t xml:space="preserve">Последние бойни: «Фестиваль Урожая» </w:t>
        </w:r>
      </w:hyperlink>
      <w:r>
        <w:rPr>
          <w:rStyle w:val="Text8"/>
        </w:rPr>
        <w:t xml:space="preserve"> </w:t>
      </w:r>
    </w:p>
    <w:p>
      <w:pPr>
        <w:pStyle w:val="Para 08"/>
      </w:pPr>
      <w:hyperlink w:anchor="anchor36">
        <w:r>
          <w:t>Глава 16</w:t>
        </w:r>
      </w:hyperlink>
      <w:r>
        <w:rPr>
          <w:rStyle w:val="Text5"/>
        </w:rPr>
        <w:t xml:space="preserve">. </w:t>
      </w:r>
      <w:hyperlink w:anchor="anchor37">
        <w:r>
          <w:t xml:space="preserve">Последствия </w:t>
        </w:r>
      </w:hyperlink>
      <w:r>
        <w:rPr>
          <w:rStyle w:val="Text8"/>
        </w:rPr>
        <w:t xml:space="preserve"> </w:t>
      </w:r>
    </w:p>
    <w:p>
      <w:pPr>
        <w:pStyle w:val="Para 08"/>
      </w:pPr>
      <w:hyperlink w:anchor="anchor38">
        <w:r>
          <w:t>Глава 17</w:t>
        </w:r>
      </w:hyperlink>
      <w:r>
        <w:rPr>
          <w:rStyle w:val="Text5"/>
        </w:rPr>
        <w:t xml:space="preserve">. </w:t>
      </w:r>
      <w:hyperlink w:anchor="anchor39">
        <w:r>
          <w:t xml:space="preserve">Немцы, Поляки, Евреи </w:t>
        </w:r>
      </w:hyperlink>
      <w:r>
        <w:rPr>
          <w:rStyle w:val="Text8"/>
        </w:rPr>
        <w:t xml:space="preserve"> </w:t>
      </w:r>
    </w:p>
    <w:p>
      <w:pPr>
        <w:pStyle w:val="Para 08"/>
      </w:pPr>
      <w:hyperlink w:anchor="anchor40">
        <w:r>
          <w:t>Глава 18</w:t>
        </w:r>
      </w:hyperlink>
      <w:r>
        <w:rPr>
          <w:rStyle w:val="Text5"/>
        </w:rPr>
        <w:t xml:space="preserve">. </w:t>
      </w:r>
      <w:hyperlink w:anchor="anchor41">
        <w:r>
          <w:t xml:space="preserve">Обыкновенные люди </w:t>
        </w:r>
      </w:hyperlink>
      <w:r>
        <w:rPr>
          <w:rStyle w:val="Text8"/>
        </w:rPr>
        <w:t xml:space="preserve"> </w:t>
      </w:r>
    </w:p>
    <w:p>
      <w:pPr>
        <w:pStyle w:val="Para 08"/>
      </w:pPr>
      <w:hyperlink w:anchor="anchor42">
        <w:r>
          <w:t xml:space="preserve">Послесловие </w:t>
        </w:r>
      </w:hyperlink>
      <w:r>
        <w:rPr>
          <w:rStyle w:val="Text8"/>
        </w:rPr>
        <w:t xml:space="preserve"> </w:t>
      </w:r>
    </w:p>
    <w:p>
      <w:pPr>
        <w:pStyle w:val="Para 08"/>
      </w:pPr>
      <w:hyperlink w:anchor="anchor43">
        <w:r>
          <w:t xml:space="preserve">Благодарности </w:t>
        </w:r>
      </w:hyperlink>
      <w:r>
        <w:rPr>
          <w:rStyle w:val="Text8"/>
        </w:rPr>
        <w:t xml:space="preserve"> </w:t>
      </w:r>
    </w:p>
    <w:p>
      <w:pPr>
        <w:pStyle w:val="Para 08"/>
      </w:pPr>
      <w:hyperlink w:anchor="anchor44">
        <w:r>
          <w:t xml:space="preserve">Приложение </w:t>
        </w:r>
      </w:hyperlink>
      <w:r>
        <w:rPr>
          <w:rStyle w:val="Text8"/>
        </w:rPr>
        <w:t xml:space="preserve"> </w:t>
      </w:r>
    </w:p>
    <w:p>
      <w:pPr>
        <w:pStyle w:val="Para 08"/>
      </w:pPr>
      <w:hyperlink w:anchor="anchor45">
        <w:r>
          <w:t xml:space="preserve">Сокращения и Адаптации, </w:t>
          <w:t>Сноски</w:t>
          <w:t xml:space="preserve"> </w:t>
        </w:r>
      </w:hyperlink>
      <w:r>
        <w:rPr>
          <w:rStyle w:val="Text8"/>
        </w:rPr>
        <w:t xml:space="preserve"> </w:t>
      </w:r>
    </w:p>
    <w:p>
      <w:pPr>
        <w:pStyle w:val="Para 31"/>
      </w:pPr>
      <w:r>
        <w:t/>
      </w:r>
    </w:p>
    <w:p>
      <w:pPr>
        <w:pStyle w:val="Para 13"/>
      </w:pPr>
      <w:r>
        <w:bookmarkStart w:id="4" w:name="anchor4"/>
        <w:t/>
        <w:bookmarkEnd w:id="4"/>
        <w:t>Иллюстрации</w:t>
        <w:bookmarkStart w:id="5" w:name="anchor46"/>
        <w:t/>
        <w:bookmarkEnd w:id="5"/>
        <w:bookmarkStart w:id="6" w:name="anchor47"/>
        <w:t/>
        <w:bookmarkEnd w:id="6"/>
      </w:r>
    </w:p>
    <w:p>
      <w:pPr>
        <w:pStyle w:val="Para 24"/>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27700" cy="8597900"/>
            <wp:effectExtent l="0" r="0" t="0" b="0"/>
            <wp:wrapTopAndBottom/>
            <wp:docPr id="2" name="1000000000000321000004B1023AE420F38A9465.png" descr="1000000000000321000004B1023AE420F38A9465.png"/>
            <wp:cNvGraphicFramePr>
              <a:graphicFrameLocks noChangeAspect="1"/>
            </wp:cNvGraphicFramePr>
            <a:graphic>
              <a:graphicData uri="http://schemas.openxmlformats.org/drawingml/2006/picture">
                <pic:pic>
                  <pic:nvPicPr>
                    <pic:cNvPr id="0" name="1000000000000321000004B1023AE420F38A9465.png" descr="1000000000000321000004B1023AE420F38A9465.png"/>
                    <pic:cNvPicPr/>
                  </pic:nvPicPr>
                  <pic:blipFill>
                    <a:blip r:embed="rId6"/>
                    <a:stretch>
                      <a:fillRect/>
                    </a:stretch>
                  </pic:blipFill>
                  <pic:spPr>
                    <a:xfrm>
                      <a:off x="0" y="0"/>
                      <a:ext cx="5727700" cy="8597900"/>
                    </a:xfrm>
                    <a:prstGeom prst="rect">
                      <a:avLst/>
                    </a:prstGeom>
                  </pic:spPr>
                </pic:pic>
              </a:graphicData>
            </a:graphic>
          </wp:anchor>
        </w:drawing>
      </w:r>
      <w:r>
        <w:rPr>
          <w:lang w:bidi="en" w:val="en" w:eastAsia="en"/>
        </w:rPr>
        <w:t xml:space="preserve"> </w:t>
      </w:r>
    </w:p>
    <w:p>
      <w:pPr>
        <w:pStyle w:val="Para 25"/>
      </w:pPr>
      <w:r>
        <w:t>Карты</w:t>
      </w:r>
      <w:hyperlink w:anchor="__1">
        <w:r>
          <w:rPr>
            <w:rStyle w:val="Text14"/>
          </w:rPr>
          <w:bookmarkStart w:id="7" w:name="1"/>
          <w:t>1</w:t>
          <w:bookmarkEnd w:id="7"/>
        </w:r>
      </w:hyperlink>
      <w:r>
        <w:rPr>
          <w:rStyle w:val="Text15"/>
        </w:rPr>
        <w:t xml:space="preserve"> </w:t>
      </w:r>
      <w:r>
        <w:t xml:space="preserve"> </w:t>
        <w:t>. Фотографии в Главе 5</w:t>
      </w:r>
      <w:r>
        <w:rPr>
          <w:rStyle w:val="Text9"/>
        </w:rPr>
        <w:t xml:space="preserve"> </w:t>
      </w:r>
    </w:p>
    <w:p>
      <w:pPr>
        <w:pStyle w:val="Para 26"/>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27700" cy="8597900"/>
            <wp:effectExtent l="0" r="0" t="0" b="0"/>
            <wp:wrapTopAndBottom/>
            <wp:docPr id="3" name="1000000000000321000004B1D55916B56EEF8DFA.png" descr="1000000000000321000004B1D55916B56EEF8DFA.png"/>
            <wp:cNvGraphicFramePr>
              <a:graphicFrameLocks noChangeAspect="1"/>
            </wp:cNvGraphicFramePr>
            <a:graphic>
              <a:graphicData uri="http://schemas.openxmlformats.org/drawingml/2006/picture">
                <pic:pic>
                  <pic:nvPicPr>
                    <pic:cNvPr id="0" name="1000000000000321000004B1D55916B56EEF8DFA.png" descr="1000000000000321000004B1D55916B56EEF8DFA.png"/>
                    <pic:cNvPicPr/>
                  </pic:nvPicPr>
                  <pic:blipFill>
                    <a:blip r:embed="rId7"/>
                    <a:stretch>
                      <a:fillRect/>
                    </a:stretch>
                  </pic:blipFill>
                  <pic:spPr>
                    <a:xfrm>
                      <a:off x="0" y="0"/>
                      <a:ext cx="5727700" cy="8597900"/>
                    </a:xfrm>
                    <a:prstGeom prst="rect">
                      <a:avLst/>
                    </a:prstGeom>
                  </pic:spPr>
                </pic:pic>
              </a:graphicData>
            </a:graphic>
          </wp:anchor>
        </w:drawing>
      </w:r>
      <w:r>
        <w:rPr>
          <w:lang w:bidi="en" w:val="en" w:eastAsia="en"/>
        </w:rPr>
        <w:t xml:space="preserve"> </w:t>
      </w:r>
    </w:p>
    <w:p>
      <w:pPr>
        <w:pStyle w:val="Para 27"/>
      </w:pPr>
      <w:r>
        <w:bookmarkStart w:id="8" w:name="anchor48"/>
        <w:t/>
        <w:bookmarkEnd w:id="8"/>
        <w:bookmarkStart w:id="9" w:name="anchor49"/>
        <w:t/>
        <w:bookmarkEnd w:id="9"/>
      </w:r>
    </w:p>
    <w:p>
      <w:pPr>
        <w:pStyle w:val="Para 13"/>
      </w:pPr>
      <w:r>
        <w:bookmarkStart w:id="10" w:name="anchor5"/>
        <w:t/>
        <w:bookmarkEnd w:id="10"/>
        <w:t>Предисловие</w:t>
        <w:bookmarkStart w:id="11" w:name="anchor50"/>
        <w:t/>
        <w:bookmarkEnd w:id="11"/>
        <w:bookmarkStart w:id="12" w:name="anchor51"/>
        <w:t/>
        <w:bookmarkEnd w:id="12"/>
      </w:r>
    </w:p>
    <w:p>
      <w:pPr>
        <w:pStyle w:val="Para 32"/>
      </w:pPr>
      <w:r>
        <w:t/>
      </w:r>
    </w:p>
    <w:p>
      <w:pPr>
        <w:pStyle w:val="Para 05"/>
      </w:pPr>
      <w:r>
        <w:rPr>
          <w:rStyle w:val="Text6"/>
        </w:rPr>
        <w:t/>
      </w:r>
      <w:r>
        <w:t xml:space="preserve">В середине </w:t>
        <w:t>м</w:t>
        <w:t xml:space="preserve">арта 1942 </w:t>
        <w:t xml:space="preserve">г. </w:t>
        <w:t xml:space="preserve">около </w:t>
        <w:t xml:space="preserve">75-80% жертв Холокоста ещё были живы, </w:t>
        <w:t xml:space="preserve">тогда как </w:t>
        <w:t xml:space="preserve">20-25% уже погибли. Всего одиннадцать месяцев спустя, к середине </w:t>
        <w:t>ф</w:t>
        <w:t xml:space="preserve">евраля 1943 </w:t>
        <w:t>г</w:t>
        <w:t>ода</w:t>
        <w:t xml:space="preserve"> </w:t>
        <w:t>эти</w:t>
        <w:t xml:space="preserve"> </w:t>
        <w:t>проценты</w:t>
        <w:t xml:space="preserve"> поменялись местами. В самом сердце Холокоста лежала короткая, интенсивная волна массовых убийств. Центром их стала Польша, где к марту 1942-</w:t>
        <w:t>го</w:t>
        <w:t xml:space="preserve">, несмотря на два с половиной года лишений, тяжёлых испытаний и гонений, каждое крупное </w:t>
        <w:t>е</w:t>
        <w:t xml:space="preserve">врейское сообщество уцелело, и где одиннадцать месяцев спустя лишь остатки польского еврейства сохранились в немногочисленных гетто и рабочих лагерях. </w:t>
        <w:t>Если коротко, то</w:t>
        <w:t xml:space="preserve"> немецкая атака на евреев Польши не была постепенной программой, растянутой во времени, </w:t>
        <w:t>а являлась</w:t>
        <w:t xml:space="preserve"> настоящим блицкригом — массивной операцией, требующей мобилизации большого количества ударных войск. Кроме того, это нападение началось, когда </w:t>
        <w:t>война</w:t>
        <w:t xml:space="preserve"> Германии </w:t>
        <w:t>в</w:t>
        <w:t xml:space="preserve"> </w:t>
        <w:t>СССР</w:t>
      </w:r>
      <w:hyperlink w:anchor="__2">
        <w:r>
          <w:rPr>
            <w:rStyle w:val="Text2"/>
          </w:rPr>
          <w:bookmarkStart w:id="13" w:name="2"/>
          <w:t>2</w:t>
          <w:bookmarkEnd w:id="13"/>
        </w:r>
      </w:hyperlink>
      <w:r>
        <w:rPr>
          <w:rStyle w:val="Text3"/>
        </w:rPr>
        <w:t xml:space="preserve"> </w:t>
      </w:r>
      <w:r>
        <w:t xml:space="preserve"> </w:t>
        <w:t xml:space="preserve"> </w:t>
        <w:t xml:space="preserve">находилась в критической фазе — периоде, в котором </w:t>
        <w:t>обновлённое продвижение немцев в сторону Крыма и Кавказа закончилось катастрофическим поражением в Сталинграде.</w:t>
      </w:r>
      <w:r>
        <w:rPr>
          <w:rStyle w:val="Text6"/>
        </w:rPr>
        <w:t xml:space="preserve"> </w:t>
      </w:r>
    </w:p>
    <w:p>
      <w:pPr>
        <w:pStyle w:val="Para 02"/>
      </w:pPr>
      <w:r>
        <w:t>Если немецкое наступление 1942-</w:t>
        <w:t>го</w:t>
        <w:t xml:space="preserve"> было в конечном счёте провалом, блицкриг против </w:t>
        <w:t>е</w:t>
        <w:t xml:space="preserve">вреев, особенно в Польше, поражением не был. </w:t>
        <w:t>Мы давно знали, как именно убивали евреев в крупных гетто</w:t>
        <w:t xml:space="preserve">, особенно в Варшаве и Лодзе, но большинство жило в маленьких городах и посёлках, где </w:t>
        <w:t>е</w:t>
        <w:t xml:space="preserve">вреев часто было больше 30%, а иногда 80% или 90%. Как </w:t>
        <w:t>же</w:t>
        <w:t xml:space="preserve"> немцы организовали и провели уничтожение так широко распространённого еврейского населения? И где </w:t>
        <w:t xml:space="preserve">в ключевой момент войны </w:t>
        <w:t>они нашли кадры для достижения так</w:t>
        <w:t>их</w:t>
        <w:t xml:space="preserve"> впечатляющ</w:t>
        <w:t>их высот в</w:t>
        <w:t xml:space="preserve"> логистик</w:t>
        <w:t>е</w:t>
        <w:t xml:space="preserve"> массовых убийств? Персонал концентрационных лагерей был минимален, но личный состав, необходимый для зачисток малых гетто — для захвата и депортации или расстрела массы польских евреев — должен был быть большим.</w:t>
      </w:r>
      <w:hyperlink w:anchor="__3">
        <w:r>
          <w:rPr>
            <w:rStyle w:val="Text2"/>
          </w:rPr>
          <w:bookmarkStart w:id="14" w:name="3"/>
          <w:t>3</w:t>
          <w:bookmarkEnd w:id="14"/>
        </w:r>
      </w:hyperlink>
      <w:r>
        <w:rPr>
          <w:rStyle w:val="Text3"/>
        </w:rPr>
        <w:t xml:space="preserve"> </w:t>
      </w:r>
      <w:r>
        <w:t xml:space="preserve"> </w:t>
      </w:r>
    </w:p>
    <w:p>
      <w:pPr>
        <w:pStyle w:val="Para 05"/>
      </w:pPr>
      <w:r>
        <w:t xml:space="preserve"> Мой поиск ответа на эти вопросы привёл меня к городку Людвигсбург около Штутгарта. Здесь расположено Центральное Управление Государственной Юстиции по Расследованию Преступлений Национал Социалистов</w:t>
      </w:r>
      <w:hyperlink w:anchor="__4">
        <w:r>
          <w:rPr>
            <w:rStyle w:val="Text2"/>
          </w:rPr>
          <w:bookmarkStart w:id="15" w:name="4"/>
          <w:t>4</w:t>
          <w:bookmarkEnd w:id="15"/>
        </w:r>
      </w:hyperlink>
      <w:r>
        <w:rPr>
          <w:rStyle w:val="Text3"/>
        </w:rPr>
        <w:t xml:space="preserve"> </w:t>
      </w:r>
      <w:r>
        <w:t xml:space="preserve"> </w:t>
        <w:t xml:space="preserve"> </w:t>
      </w:r>
      <w:r>
        <w:rPr>
          <w:rStyle w:val="Text7"/>
        </w:rPr>
        <w:t>—</w:t>
      </w:r>
      <w:r>
        <w:t xml:space="preserve"> офис Федеральной Республики Германии для координации расследований преступлений нацистов. Я просматривал их обширную коллекцию обвинений и приговоров буквально всех немецких трибуналов, касающихся преступлений нацистов против евреев Польши, где я впервые столкнулся с обвинениями против Полицейского Резервного Батальона 101 — отряд</w:t>
        <w:t>а</w:t>
        <w:t xml:space="preserve"> </w:t>
        <w:t>н</w:t>
        <w:t>емецкой Полиции Порядка.</w:t>
      </w:r>
      <w:r>
        <w:rPr>
          <w:rStyle w:val="Text7"/>
        </w:rPr>
        <w:t xml:space="preserve"> </w:t>
      </w:r>
    </w:p>
    <w:p>
      <w:pPr>
        <w:pStyle w:val="Para 02"/>
      </w:pPr>
      <w:r>
        <w:t xml:space="preserve">Хоть я и изучал архивные документы и протоколы судов Холокоста почти двадцать лет, впечатление, которое произвело на меня это обвинительное заключение было особенно сильным и </w:t>
        <w:t>тревожащим</w:t>
        <w:t xml:space="preserve">. Никогда до этого я не сталкивался с проблемой выбора, так драматично </w:t>
        <w:t xml:space="preserve">обрамлённой ходом событий </w:t>
        <w:t xml:space="preserve">и так открыто обсуждаемой хотя бы частью преступников. Никогда до этого я не видел чудовищные события </w:t>
        <w:t>Х</w:t>
        <w:t>олокоста в таком контрасте с человеческими лицами убийц.</w:t>
      </w:r>
    </w:p>
    <w:p>
      <w:pPr>
        <w:pStyle w:val="Para 02"/>
      </w:pPr>
      <w:r>
        <w:t xml:space="preserve">По обвинительному акту и </w:t>
        <w:t>содержащейся</w:t>
        <w:t xml:space="preserve"> в н</w:t>
        <w:t>ё</w:t>
        <w:t xml:space="preserve">м обширной коллекции цитат из досудебных допросов членов батальона становится ясно, что дело основано на необычно большом количестве показаний свидетелей. Более того, многие из этих показаний создают «впечатление» искренности и откровенности, часто </w:t>
        <w:t>заметно</w:t>
        <w:t xml:space="preserve"> отсутствующ</w:t>
        <w:t>е</w:t>
        <w:t xml:space="preserve">е в нагруженных оправданиями, алиби и ложью в судебных протоколах подобных дел. Расследование и судебное преследование Полицейского Резервного Батальона 101 длилось долго — с 1962 по 1972 </w:t>
        <w:t>гг</w:t>
        <w:t xml:space="preserve">. </w:t>
        <w:t>Они п</w:t>
        <w:t xml:space="preserve">роводились Государственной Прокуратурой </w:t>
        <w:t>[</w:t>
        <w:t>Staatsanwaltschaft</w:t>
        <w:t>]</w:t>
      </w:r>
      <w:hyperlink w:anchor="__5">
        <w:r>
          <w:rPr>
            <w:rStyle w:val="Text2"/>
          </w:rPr>
          <w:bookmarkStart w:id="16" w:name="5"/>
          <w:t>5</w:t>
          <w:bookmarkEnd w:id="16"/>
        </w:r>
      </w:hyperlink>
      <w:r>
        <w:rPr>
          <w:rStyle w:val="Text3"/>
        </w:rPr>
        <w:t xml:space="preserve"> </w:t>
      </w:r>
      <w:r>
        <w:t xml:space="preserve"> </w:t>
        <w:t xml:space="preserve"> </w:t>
        <w:t xml:space="preserve">в Гамбурге. Это министерство — одно из самых усердных и убеждённых обвинителей нацистских преступлений во всей Федеральной Республике — все ещё хранит </w:t>
        <w:t xml:space="preserve">относящиеся к делу </w:t>
        <w:t>судебные протоколы, и мне удалось получить разрешение ознакомиться с ними.</w:t>
      </w:r>
    </w:p>
    <w:p>
      <w:pPr>
        <w:pStyle w:val="Para 02"/>
      </w:pPr>
      <w:r>
        <w:t>В отличи</w:t>
        <w:t>е</w:t>
        <w:t xml:space="preserve"> от множества нацистских подразделений убийц, чьи составы </w:t>
        <w:t>могут быть</w:t>
        <w:t xml:space="preserve"> восстановлены лишь частично, состав Полицейского Резервного Батальона был полностью доступен для следователей. Мне удалось изучить допросы 210 человек из батальона, насчитывающего немногим меньше 500, когда он был дислоцирован в полном составе в Польше в </w:t>
        <w:t>и</w:t>
        <w:t>юне 1942-</w:t>
        <w:t>го</w:t>
        <w:t xml:space="preserve">. Это собрание допросов </w:t>
        <w:t>представляет собой</w:t>
        <w:t xml:space="preserve"> репрезентативн</w:t>
        <w:t>ую выборку</w:t>
        <w:t xml:space="preserve"> для статистического ответа о возрасте, нахождении в составе партии и СС, социального происхождения. Более того, около 125 из этих показаний были достаточно полн</w:t>
        <w:t>ыми как для последовательной реконструкции событий, так и для анализа внутренней динамики всего этого отряда убийц.</w:t>
        <w:t xml:space="preserve"> </w:t>
      </w:r>
    </w:p>
    <w:p>
      <w:pPr>
        <w:pStyle w:val="Para 02"/>
      </w:pPr>
      <w:r>
        <w:t xml:space="preserve">В конце концов Холокост случился потому, что на самом базовом уровне, отдельные люди </w:t>
        <w:t>продолжительный период времени</w:t>
        <w:t xml:space="preserve"> убивали в массовом количестве других людей. </w:t>
        <w:t>Обыкновенные соучастники</w:t>
        <w:t xml:space="preserve"> стали «профессиональными убийцами». Историки сталкиваются с большим количеством трудностей, пытаясь писать о подобных отрядах, одна из них — это проблема источников. Случай Полицейского Резервного Батальона 101 лежит в контрасте со многими отрядами работающими в Советском Союзе, где есть лишь малое количество документов и вообще нет таких</w:t>
      </w:r>
      <w:hyperlink w:anchor="__6">
        <w:r>
          <w:rPr>
            <w:rStyle w:val="Text2"/>
          </w:rPr>
          <w:bookmarkStart w:id="17" w:name="6"/>
          <w:t>6</w:t>
          <w:bookmarkEnd w:id="17"/>
        </w:r>
      </w:hyperlink>
      <w:r>
        <w:rPr>
          <w:rStyle w:val="Text3"/>
        </w:rPr>
        <w:t xml:space="preserve"> </w:t>
      </w:r>
      <w:r>
        <w:t xml:space="preserve"> , которые касались массовых убийств.</w:t>
      </w:r>
      <w:hyperlink w:anchor="__7">
        <w:r>
          <w:rPr>
            <w:rStyle w:val="Text2"/>
          </w:rPr>
          <w:bookmarkStart w:id="18" w:name="7"/>
          <w:t>7</w:t>
          <w:bookmarkEnd w:id="18"/>
        </w:r>
      </w:hyperlink>
      <w:r>
        <w:rPr>
          <w:rStyle w:val="Text3"/>
        </w:rPr>
        <w:t xml:space="preserve"> </w:t>
      </w:r>
      <w:r>
        <w:t xml:space="preserve"> Показания многих выживших евреев могут установить даты и </w:t>
        <w:t>масштаб</w:t>
        <w:t xml:space="preserve"> деятельности батальона в некоторых городах их дислокации. Однако если показания выживших могут пролить свет на видных преступников в гетто и лагерях — </w:t>
        <w:t>там,</w:t>
        <w:t xml:space="preserve"> где возможен длительный контакт, они мало могут нам сказать о постоянно перемещающемся подразделении </w:t>
        <w:t>вроде</w:t>
        <w:t xml:space="preserve"> Полицейского Резервного Батальона 101. Неизвестные люди прибыли, осуществили свою убийственную задачу и ушли. </w:t>
        <w:t xml:space="preserve">Во всяком случае, выжившие редко </w:t>
        <w:t>запоминали</w:t>
        <w:t xml:space="preserve"> даже </w:t>
        <w:t xml:space="preserve">своеобразную зелёную форму Полиции Порядка, </w:t>
        <w:t>что было бы полезно</w:t>
        <w:t xml:space="preserve"> для идентификации подразделения.</w:t>
      </w:r>
    </w:p>
    <w:p>
      <w:pPr>
        <w:pStyle w:val="Para 02"/>
      </w:pPr>
      <w:r>
        <w:t xml:space="preserve">В описании событий, следовательно, я буду сильно полагаться на судебные допросы 125 человек, осуществлённые в 1960-х. Чтение о событиях, описываемых 125 разными людьми, </w:t>
        <w:t>двадцатью</w:t>
        <w:t xml:space="preserve"> годами после самих событий может смутить историков, ищущих определённости. Каждый из этих людей играл разную роль. Они видели и делали разные вещи. Каждый впоследствии подавил или забыл некоторые аспекты своего опыта, или </w:t>
        <w:t xml:space="preserve">каким-либо образом </w:t>
        <w:t xml:space="preserve">изменил свои собственные воспоминания. Следовательно, допросы неизбежно представляют собой сбивающую с толку мешанину </w:t>
        <w:t>точек зрения</w:t>
        <w:t xml:space="preserve"> и воспоминаний. Парадоксально, я был бы более уверен в том, что произошло с батальоном, </w:t>
        <w:t>работая</w:t>
        <w:t xml:space="preserve"> с показаниями одного человека, </w:t>
        <w:t>а не</w:t>
        <w:t xml:space="preserve"> 125.</w:t>
      </w:r>
    </w:p>
    <w:p>
      <w:pPr>
        <w:pStyle w:val="Para 02"/>
      </w:pPr>
      <w:r>
        <w:t xml:space="preserve">Помимо различных </w:t>
        <w:t>точек зрения</w:t>
        <w:t xml:space="preserve"> и воспоминаний, </w:t>
        <w:t>важно ещё учитывать обстоятельства,</w:t>
        <w:t xml:space="preserve"> при</w:t>
        <w:t xml:space="preserve"> которых давались показания. </w:t>
        <w:t>Говоря п</w:t>
        <w:t>о простому, некоторые люди преднамеренно лгали, потому как боялись последствий раскрытия правды как</w:t>
        <w:t>ой</w:t>
        <w:t xml:space="preserve"> они её знали. Не только подавление и искажение, но </w:t>
        <w:t xml:space="preserve">и </w:t>
        <w:t xml:space="preserve">сознательная ложь формировали показания свидетелей. Более того, следователи задавали вопросы, соответствующие их задаче по сбору информации </w:t>
        <w:t xml:space="preserve">о </w:t>
        <w:t>конкретных, подсудных преступлени</w:t>
        <w:t>ях</w:t>
        <w:t xml:space="preserve">, совершенных конкретными людьми; но они не </w:t>
        <w:t>занимались систематическим</w:t>
        <w:t xml:space="preserve"> расследова</w:t>
        <w:t>нием</w:t>
        <w:t xml:space="preserve"> широкого</w:t>
        <w:t>, часто личн</w:t>
        <w:t>ого</w:t>
        <w:t xml:space="preserve"> и субъективн</w:t>
        <w:t xml:space="preserve">ого аспекта </w:t>
        <w:t>опыта полицейских, котор</w:t>
        <w:t>ы</w:t>
        <w:t>й</w:t>
        <w:t xml:space="preserve"> </w:t>
        <w:t xml:space="preserve">важен </w:t>
        <w:t xml:space="preserve">скорее </w:t>
        <w:t xml:space="preserve">для историков, </w:t>
        <w:t xml:space="preserve">чем </w:t>
        <w:t>для адвокатов.</w:t>
      </w:r>
    </w:p>
    <w:p>
      <w:pPr>
        <w:pStyle w:val="Para 02"/>
      </w:pPr>
      <w:r>
        <w:t xml:space="preserve">Как и бывает </w:t>
        <w:t>при использовании нескольких источников,</w:t>
        <w:t xml:space="preserve"> многие показания и </w:t>
        <w:t>взгляды</w:t>
        <w:t xml:space="preserve"> необходимо взвешивать и просеивать, </w:t>
        <w:t>а</w:t>
        <w:t xml:space="preserve"> н</w:t>
        <w:t xml:space="preserve">адёжность каждого свидетеля должна быть </w:t>
        <w:t>подвергнута</w:t>
        <w:t xml:space="preserve"> оценке. </w:t>
        <w:t>Любое п</w:t>
        <w:t xml:space="preserve">оказание может быть частично или полностью отклонено в </w:t>
        <w:t xml:space="preserve">свете наличия конфликтующих, но подтверждённых </w:t>
        <w:t>свидетельств</w:t>
        <w:t>.</w:t>
        <w:t xml:space="preserve"> Многие из таких решений очевидны </w:t>
        <w:t>и</w:t>
        <w:t xml:space="preserve"> просты, но в </w:t>
        <w:t>некоторых</w:t>
        <w:t xml:space="preserve"> случаях задача </w:t>
        <w:t>оказалась достаточно сложной</w:t>
        <w:t xml:space="preserve">. И </w:t>
        <w:t>насколько сознательным</w:t>
        <w:t xml:space="preserve"> я ни старался бы быть, я несомненно сделал несколько инстинктивных суждений, даже </w:t>
        <w:t>не осознавая это</w:t>
        <w:t>. Другие историки, глядя на описанные события, могут показать их в несколько ином свете.</w:t>
      </w:r>
    </w:p>
    <w:p>
      <w:pPr>
        <w:pStyle w:val="Para 02"/>
      </w:pPr>
      <w:r>
        <w:t xml:space="preserve">В последние десятилетия </w:t>
        <w:t>историки</w:t>
        <w:t xml:space="preserve"> вс</w:t>
        <w:t>ё</w:t>
        <w:t xml:space="preserve"> сильнее</w:t>
        <w:t xml:space="preserve"> обеспокоен</w:t>
        <w:t>ы</w:t>
        <w:t xml:space="preserve"> описанием истории «с низов», с реконструкцией опыта большинства «</w:t>
        <w:t>обыкновенных</w:t>
        <w:t xml:space="preserve"> людей», который до этого был часто игнорирован в угоду истории «</w:t>
        <w:t>высокой политики» и «высокой культуры»</w:t>
        <w:t xml:space="preserve">. Этот тренд достиг своего пика в </w:t>
      </w:r>
      <w:r>
        <w:rPr>
          <w:rStyle w:val="Text0"/>
        </w:rPr>
        <w:t>Alltagsgeschichte</w:t>
      </w:r>
      <w:r>
        <w:t xml:space="preserve"> — «истории повседневной жизни», достигнутой через подробное описание обычных впечатлений обычных людей. </w:t>
        <w:t>Однако к</w:t>
        <w:t>огда такой подход применяют к эре Третьего Рейха, его часто критикуют как попытку ухода от ответа, попытку сдвинуть фокус внимания от непревзойдённых ужасов нацистского геноцидального режима, на повседневные аспекты жизни, которые по большей части не были потревожены. Таким образом, сама попытка написать исследование о жизни отдельного батальона может показаться кому-то нежелательной.</w:t>
      </w:r>
    </w:p>
    <w:p>
      <w:pPr>
        <w:pStyle w:val="Para 02"/>
      </w:pPr>
      <w:r>
        <w:t xml:space="preserve">Как методология, однако, «история повседневной жизни» нейтральна. Она становится попыткой ухода </w:t>
        <w:t>от ответа —</w:t>
        <w:t xml:space="preserve"> попыткой «нормализовать» Третий Рейх, только если она проваливается в </w:t>
        <w:t>установлении</w:t>
        <w:t xml:space="preserve"> связи между убийственной политикой нацистского режима и тем, как эта политика неизбежно вмешивалась в повседневную жизнь людей. В частности, для немецких оккупантов расположенных в завоёванных территориях восточной Европы — для десяткой тысяч людей из всех слоёв общества, убийственная политика не была отклонением или исключением, едва затрагивающим поверхность повседневной жизни. Как показывает история Полицейского Резервного Батальона 101, массовые убийства и рутина стали </w:t>
        <w:t>едины</w:t>
        <w:t>. Нормальность сама по себе стала чрезвычайно ненормальной.</w:t>
      </w:r>
    </w:p>
    <w:p>
      <w:pPr>
        <w:pStyle w:val="Para 02"/>
      </w:pPr>
      <w:r>
        <w:t xml:space="preserve">Ещё одним возможным возражением против такого исследования становится степень эмпатии к преступникам, которая неизбежна </w:t>
        <w:t>при</w:t>
        <w:t xml:space="preserve"> попытке понять их. Совершенно точно, что история требует отказ</w:t>
        <w:t>а</w:t>
        <w:t xml:space="preserve"> от демонизации. Полицейские в батальоне — </w:t>
        <w:t>и</w:t>
        <w:t xml:space="preserve"> кто устраивал бойни </w:t>
        <w:t>с</w:t>
        <w:t xml:space="preserve"> депортаци</w:t>
        <w:t>ями</w:t>
        <w:t xml:space="preserve">, и малое количество </w:t>
        <w:t>тех, кто</w:t>
        <w:t xml:space="preserve"> отказывался —</w:t>
        <w:t xml:space="preserve"> были людьми. Я должен осознать, что в </w:t>
        <w:t>схожей</w:t>
        <w:t xml:space="preserve"> ситуации я мог бы стать и убийцей, и отказником (и </w:t>
        <w:t xml:space="preserve">они </w:t>
        <w:t xml:space="preserve">оба — люди), </w:t>
        <w:t>если я хочу понять и объяснить поведение обоих как можно лучше</w:t>
        <w:t xml:space="preserve">. Это осознание на самом деле является попыткой к эмпатии. Что я не принимаю, однако, так это старое клише — понять, осознать значит простить. Объяснение — не оправдание; понимание — не прощение. Отказ от попытки понять преступников </w:t>
        <w:t>по-человечески</w:t>
        <w:t xml:space="preserve"> означает невозможность не только этого исследования, но и любого исследования Холокоста, которое хочет зайти дальше однобокой карикатуры. Незадолго до своей смерти от рук нацистов французский еврей</w:t>
        <w:t>ский</w:t>
        <w:t xml:space="preserve"> историк Марк Блок написал: «Когда всё сказано и сделано, единственное слово «понимание» — маяк для наших исследований».</w:t>
      </w:r>
      <w:hyperlink w:anchor="__8">
        <w:r>
          <w:rPr>
            <w:rStyle w:val="Text2"/>
          </w:rPr>
          <w:bookmarkStart w:id="19" w:name="8"/>
          <w:t>8</w:t>
          <w:bookmarkEnd w:id="19"/>
        </w:r>
      </w:hyperlink>
      <w:r>
        <w:rPr>
          <w:rStyle w:val="Text3"/>
        </w:rPr>
        <w:t xml:space="preserve"> </w:t>
      </w:r>
      <w:r>
        <w:t xml:space="preserve"> Именно в таком духе я и старался написать эту книгу.</w:t>
      </w:r>
    </w:p>
    <w:p>
      <w:pPr>
        <w:pStyle w:val="Para 02"/>
      </w:pPr>
      <w:r>
        <w:t xml:space="preserve">Одно условие, поставленное передо мной для доступа к судебным допросам, </w:t>
        <w:t>необходимо прояснить</w:t>
        <w:t xml:space="preserve">. Регуляции и законы, касающиеся </w:t>
        <w:t>конфиденциальности частной жизни,</w:t>
        <w:t xml:space="preserve"> становятся </w:t>
        <w:t xml:space="preserve">в Германии </w:t>
        <w:t xml:space="preserve">все более </w:t>
        <w:t>ограничивающими</w:t>
        <w:t xml:space="preserve">, особенно в последние десятилетия. Правительство Гамбурга и его судебные протоколы </w:t>
        <w:t>исключением</w:t>
        <w:t xml:space="preserve"> не </w:t>
        <w:t>являются</w:t>
        <w:t xml:space="preserve">. </w:t>
        <w:t>Д</w:t>
        <w:t>ля</w:t>
        <w:t xml:space="preserve"> получения допуска</w:t>
        <w:t xml:space="preserve"> к ним, я пообещал не использовать настоящие имена. Имена командира батальона — </w:t>
        <w:t>м</w:t>
        <w:t>айора Вильгельма Траппа, трёх командиров роты — Капитана Вольфганга Хоффмана, Капитана Юлиуса Волауфа и лейтенанта Хартвига Гнáд</w:t>
        <w:t>е</w:t>
        <w:t xml:space="preserve"> — появляются в архивах вне Германии. Я использовал их настоящие имена, потому как тут нет приватности, которую можно нарушить. Однако, я использовал псевдонимы (обозначены звёздочкой*)</w:t>
      </w:r>
      <w:hyperlink w:anchor="__9">
        <w:r>
          <w:rPr>
            <w:rStyle w:val="Text2"/>
          </w:rPr>
          <w:bookmarkStart w:id="20" w:name="9"/>
          <w:t>9</w:t>
          <w:bookmarkEnd w:id="20"/>
        </w:r>
      </w:hyperlink>
      <w:r>
        <w:rPr>
          <w:rStyle w:val="Text3"/>
        </w:rPr>
        <w:t xml:space="preserve"> </w:t>
      </w:r>
      <w:r>
        <w:t xml:space="preserve"> для всех других членов батальона в этой книге. </w:t>
        <w:t xml:space="preserve">В примечаниях лица, дающие свидетельские показания, </w:t>
        <w:t>обозначены</w:t>
        <w:t xml:space="preserve"> просто </w:t>
        <w:t xml:space="preserve">именем </w:t>
        <w:t>и первой буквой фамилии.</w:t>
        <w:t xml:space="preserve"> Хотя</w:t>
        <w:t xml:space="preserve"> это обещание конфиденциальности и использование псевдонимов, по-моему, печальное ограничение для исторической точности, я не верю, что оно подрывает целостность или пользу </w:t>
        <w:t>данного</w:t>
        <w:t xml:space="preserve"> исследования.</w:t>
      </w:r>
    </w:p>
    <w:p>
      <w:pPr>
        <w:pStyle w:val="Para 02"/>
      </w:pPr>
      <w:r>
        <w:t/>
        <w:t xml:space="preserve">Ряд лиц и организаций </w:t>
        <w:t>оказали неоценимую помощь</w:t>
        <w:t xml:space="preserve"> во время исследования и написания книги. Главный прокурор</w:t>
      </w:r>
      <w:hyperlink w:anchor="__10">
        <w:r>
          <w:rPr>
            <w:rStyle w:val="Text2"/>
          </w:rPr>
          <w:bookmarkStart w:id="21" w:name="10"/>
          <w:t>10</w:t>
          <w:bookmarkEnd w:id="21"/>
        </w:r>
      </w:hyperlink>
      <w:r>
        <w:rPr>
          <w:rStyle w:val="Text3"/>
        </w:rPr>
        <w:t xml:space="preserve"> </w:t>
      </w:r>
      <w:r>
        <w:t xml:space="preserve"> Альфред </w:t>
        <w:t>С</w:t>
        <w:t xml:space="preserve">трейм </w:t>
        <w:t>[Alfred Streim]</w:t>
        <w:t xml:space="preserve"> предоставил мне доступ к несравненной коллекции немецких судебных протоколов в Людвигсбурге. </w:t>
        <w:t>Старший</w:t>
        <w:t xml:space="preserve"> прокурор Хельге Грабитц</w:t>
      </w:r>
      <w:hyperlink w:anchor="__11">
        <w:r>
          <w:rPr>
            <w:rStyle w:val="Text2"/>
          </w:rPr>
          <w:bookmarkStart w:id="22" w:name="11"/>
          <w:t>11</w:t>
          <w:bookmarkEnd w:id="22"/>
        </w:r>
      </w:hyperlink>
      <w:r>
        <w:rPr>
          <w:rStyle w:val="Text3"/>
        </w:rPr>
        <w:t xml:space="preserve"> </w:t>
      </w:r>
      <w:r>
        <w:t xml:space="preserve"> вдохновил</w:t>
        <w:t>а</w:t>
        <w:t xml:space="preserve"> меня на работу с судебными записями в Гамбурге, поддержал</w:t>
        <w:t>а</w:t>
        <w:t xml:space="preserve"> мою заявку на доступ и щедро помогал</w:t>
        <w:t>а</w:t>
        <w:t xml:space="preserve"> мне во время моего пребывания там. Тихоокеанский Лютеранский Университет предоставил мне финансирование для двух поездок в Германию в начале и конце исследования. Фонд Александра фон Гумбольдта так же проспонсировал одну поездку. Большая часть исследования и книги были сделаны во время творческого отпуска предоставленного Тихоокеанским Лютеранским Университетом и при поддержке Исследовательского гранта Фулбрайта в Израиле. Дэниэл Краускопф </w:t>
        <w:t>[Daniel Krauskopf] —</w:t>
        <w:t xml:space="preserve"> исполнительный секретарь совместной обучающей программы США и Израиля, заслуживает специальной благодарности за помощь в исследованиях в Германии и Израиле.</w:t>
      </w:r>
    </w:p>
    <w:p>
      <w:pPr>
        <w:pStyle w:val="Para 02"/>
      </w:pPr>
      <w:r>
        <w:t xml:space="preserve">Питер Хейс </w:t>
        <w:t xml:space="preserve">[Peter Hayes] </w:t>
        <w:t>из Северо-западного Университета и С</w:t>
        <w:t>ау</w:t>
        <w:t xml:space="preserve">л Фридлендер из Калифорнийского университета дали возможность представить </w:t>
        <w:t>первоначальные результаты исследования</w:t>
        <w:t xml:space="preserve"> на конференциях, организованных ими в их университетах. Множество коллег и друзей терпеливо слушали, предлагали идеи и ободряли меня во время работы. Филлип Нордквист </w:t>
        <w:t>[Philip Nordquist]</w:t>
        <w:t xml:space="preserve">, Деннис Мартин </w:t>
        <w:t>[Dennis Martin]</w:t>
        <w:t xml:space="preserve">, Одри Эйлер </w:t>
        <w:t>[Audrey Euyler]</w:t>
        <w:t xml:space="preserve">, Роберт Геллатели </w:t>
        <w:t>[Robert Gellately]</w:t>
        <w:t xml:space="preserve">, Роберт Хойер </w:t>
        <w:t>[Robert Hoyer]</w:t>
        <w:t xml:space="preserve">, Ян Кершоу </w:t>
        <w:t>[Ian Kershaw]</w:t>
        <w:t xml:space="preserve">, Иегуда Бауэр </w:t>
        <w:t>[Yehuda Bauer]</w:t>
        <w:t xml:space="preserve">, Дина Порат </w:t>
        <w:t>[Dinah Porat]</w:t>
        <w:t xml:space="preserve">, Майкл Маррус </w:t>
        <w:t>[Michael Marrus]</w:t>
        <w:t>, Беттина Би</w:t>
        <w:t xml:space="preserve">рн </w:t>
        <w:t>[Bettina Birn]</w:t>
        <w:t xml:space="preserve">, Джордж Мосс </w:t>
        <w:t>[George Mos</w:t>
        <w:t>s</w:t>
        <w:t>e]</w:t>
        <w:t xml:space="preserve">, Элизабет Домански </w:t>
        <w:t>[Elizabeth Domansky]</w:t>
        <w:t xml:space="preserve">, Гитта Серени </w:t>
        <w:t>[Gitta Sereny]</w:t>
        <w:t xml:space="preserve">, Карло Гинсбург </w:t>
        <w:t>[Carlo Ginzburg]</w:t>
        <w:t xml:space="preserve"> и Уве Адам </w:t>
        <w:t>[Uwe Adam]</w:t>
        <w:t xml:space="preserve"> заслуживают отдельного упоминания. </w:t>
        <w:t>Перед</w:t>
        <w:t xml:space="preserve"> Раул</w:t>
        <w:t xml:space="preserve">ем </w:t>
        <w:t>Хильберг</w:t>
        <w:t>ом</w:t>
        <w:t xml:space="preserve"> я в особом долгу</w:t>
        <w:t>. В 1982-</w:t>
        <w:t>м</w:t>
        <w:t xml:space="preserve"> он привлёк внимание к незаменимости Полиции Порядка для Холокоста, как и всегда прокладывая дорогу для дальнейших исследований.</w:t>
      </w:r>
      <w:hyperlink w:anchor="__12">
        <w:r>
          <w:rPr>
            <w:rStyle w:val="Text2"/>
          </w:rPr>
          <w:bookmarkStart w:id="23" w:name="12"/>
          <w:t>12</w:t>
          <w:bookmarkEnd w:id="23"/>
        </w:r>
      </w:hyperlink>
      <w:r>
        <w:rPr>
          <w:rStyle w:val="Text3"/>
        </w:rPr>
        <w:t xml:space="preserve"> </w:t>
      </w:r>
      <w:r>
        <w:t xml:space="preserve"> Впоследствии он лично заинтересовался публикацией исследования. За такую помощь сейчас и ранее </w:t>
        <w:t>в моей карьере</w:t>
        <w:t xml:space="preserve">, посвящение этой книги не будет </w:t>
        <w:t>достойным</w:t>
        <w:t xml:space="preserve"> выражением мое</w:t>
        <w:t>го уважения</w:t>
        <w:t xml:space="preserve"> и благодарности. Я особенно признателен моей семье за постоянную поддержку, понимание и терпение во время </w:t>
        <w:t>работы над</w:t>
        <w:t xml:space="preserve"> этой книг</w:t>
        <w:t>ой</w:t>
        <w:t>.</w:t>
      </w:r>
    </w:p>
    <w:p>
      <w:pPr>
        <w:pStyle w:val="Para 02"/>
      </w:pPr>
      <w:r>
        <w:t>Такома, Ноябрь 1991.</w:t>
      </w:r>
    </w:p>
    <w:p>
      <w:pPr>
        <w:pStyle w:val="Heading 2"/>
      </w:pPr>
      <w:r>
        <w:bookmarkStart w:id="24" w:name="anchor6"/>
        <w:t/>
        <w:bookmarkEnd w:id="24"/>
        <w:t>Глава 1</w:t>
        <w:bookmarkStart w:id="25" w:name="anchor52"/>
        <w:t/>
        <w:bookmarkEnd w:id="25"/>
        <w:bookmarkStart w:id="26" w:name="anchor53"/>
        <w:t/>
        <w:bookmarkEnd w:id="26"/>
      </w:r>
    </w:p>
    <w:p>
      <w:pPr>
        <w:pStyle w:val="Para 11"/>
      </w:pPr>
      <w:r>
        <w:bookmarkStart w:id="27" w:name="anchor7"/>
        <w:t/>
        <w:bookmarkEnd w:id="27"/>
        <w:t xml:space="preserve"> </w:t>
        <w:t>Одно утро в Юзефуве</w:t>
        <w:t xml:space="preserve"> </w:t>
      </w:r>
    </w:p>
    <w:p>
      <w:pPr>
        <w:pStyle w:val="Para 05"/>
      </w:pPr>
      <w:r>
        <w:rPr>
          <w:rStyle w:val="Text6"/>
        </w:rPr>
        <w:t/>
      </w:r>
      <w:r>
        <w:t xml:space="preserve">В ранние часы 13 </w:t>
        <w:t>и</w:t>
        <w:t xml:space="preserve">юля 1942 </w:t>
        <w:t xml:space="preserve">г. </w:t>
        <w:t xml:space="preserve">мужчин Полицейского Резервного Батальона подняли с их коек, расположенных в большом кирпичном здании школы, служившем им бараком в польском городе Билгорай </w:t>
        <w:t>[Biłgoraj]</w:t>
        <w:t xml:space="preserve">. Это семейные мужчины из Гамбурга, среднего возраста, рабочего или близкого к нему классам. </w:t>
        <w:t>С</w:t>
        <w:t>чита</w:t>
        <w:t xml:space="preserve">ясь </w:t>
        <w:t xml:space="preserve">слишком старыми для службы в немецкой армии, </w:t>
        <w:t xml:space="preserve">они </w:t>
        <w:t xml:space="preserve">вместо неё </w:t>
        <w:t xml:space="preserve">призывались </w:t>
        <w:t xml:space="preserve">на службу </w:t>
        <w:t>в</w:t>
        <w:t xml:space="preserve"> Полици</w:t>
        <w:t>ю</w:t>
        <w:t xml:space="preserve"> Порядка. Большинство были свежими рекрутами без какого-либо опыта </w:t>
        <w:t>службы</w:t>
        <w:t xml:space="preserve"> на оккупированных территориях. </w:t>
        <w:t>В</w:t>
        <w:t xml:space="preserve"> Польшу </w:t>
        <w:t>прибыли</w:t>
        <w:t xml:space="preserve"> за </w:t>
        <w:t>три</w:t>
        <w:t xml:space="preserve"> недели до события.</w:t>
      </w:r>
      <w:r>
        <w:rPr>
          <w:rStyle w:val="Text6"/>
        </w:rPr>
        <w:t xml:space="preserve"> </w:t>
      </w:r>
    </w:p>
    <w:p>
      <w:pPr>
        <w:pStyle w:val="Para 02"/>
      </w:pPr>
      <w:r>
        <w:t>Ещё было темно, когда мужчины погружались в ожидающие их грузовики. Каждому полицейскому выдали дополнительные патроны и коробки, которые грузили в тот же транспорт.</w:t>
      </w:r>
      <w:hyperlink w:anchor="__13">
        <w:r>
          <w:rPr>
            <w:rStyle w:val="Text2"/>
          </w:rPr>
          <w:bookmarkStart w:id="28" w:name="13"/>
          <w:t>13</w:t>
          <w:bookmarkEnd w:id="28"/>
        </w:r>
      </w:hyperlink>
      <w:r>
        <w:rPr>
          <w:rStyle w:val="Text3"/>
        </w:rPr>
        <w:t xml:space="preserve"> </w:t>
      </w:r>
      <w:r>
        <w:t xml:space="preserve"> Они направлялись на их первую миссию, хоть им и не сказали, чего стоит ожидать. </w:t>
      </w:r>
    </w:p>
    <w:p>
      <w:pPr>
        <w:pStyle w:val="Para 02"/>
      </w:pPr>
      <w:r>
        <w:t xml:space="preserve">Конвой грузовиков Батальона выдвинулся из Билгорая в темноте на восток по грунтовой дороге, </w:t>
        <w:t xml:space="preserve">ровной, как </w:t>
        <w:t xml:space="preserve">стиральная доска. Двигались медленно, </w:t>
        <w:t xml:space="preserve">так что </w:t>
        <w:t>путь</w:t>
        <w:t xml:space="preserve"> до цели — деревни Юзефув </w:t>
        <w:t xml:space="preserve">[Józefów] в каких-то </w:t>
        <w:t xml:space="preserve">тридцати километрах от их дислокации — </w:t>
        <w:t>занял от полутора до двух часов</w:t>
        <w:t xml:space="preserve">. </w:t>
        <w:t>На рассвете</w:t>
        <w:t xml:space="preserve"> конвой остановился не заходя в Юзефув. Это была типичная польская деревня со скромными белыми домами и крышами из сена. Среди </w:t>
        <w:t>её</w:t>
        <w:t xml:space="preserve"> жителей было 1 800 евреев.</w:t>
      </w:r>
    </w:p>
    <w:p>
      <w:pPr>
        <w:pStyle w:val="Para 02"/>
      </w:pPr>
      <w:r>
        <w:t>В деревне царила тишина.</w:t>
      </w:r>
      <w:hyperlink w:anchor="__14">
        <w:r>
          <w:rPr>
            <w:rStyle w:val="Text2"/>
          </w:rPr>
          <w:bookmarkStart w:id="29" w:name="14"/>
          <w:t>14</w:t>
          <w:bookmarkEnd w:id="29"/>
        </w:r>
      </w:hyperlink>
      <w:r>
        <w:rPr>
          <w:rStyle w:val="Text3"/>
        </w:rPr>
        <w:t xml:space="preserve"> </w:t>
      </w:r>
      <w:r>
        <w:t xml:space="preserve"> Бойцы Полицейского Батальона 101 высадились из грузовиков и полукругом собрались около </w:t>
        <w:t>своего</w:t>
        <w:t xml:space="preserve"> командира — майора Вильгельма Траппа. Тридцать три года, полицейский с карьерными амбициями. Известен своим людям как «Папа Трапп». Пришло его время обратиться к своим людям и разъяснить суть полученного батальоном задания.</w:t>
      </w:r>
    </w:p>
    <w:p>
      <w:pPr>
        <w:pStyle w:val="Para 02"/>
      </w:pPr>
      <w:r>
        <w:t xml:space="preserve">Бледный и нервный, </w:t>
        <w:t xml:space="preserve">с дрожащим голосом и </w:t>
        <w:t xml:space="preserve">слезами на глазах, Трапп явно </w:t>
        <w:t xml:space="preserve">боролся </w:t>
        <w:t>с собой</w:t>
        <w:t>, стараясь контролировать свою речь</w:t>
        <w:t xml:space="preserve">. </w:t>
        <w:t>В ней он</w:t>
        <w:t xml:space="preserve"> </w:t>
        <w:t xml:space="preserve">жалобно </w:t>
        <w:t>рассказа</w:t>
        <w:t>л</w:t>
        <w:t>, что б</w:t>
        <w:t xml:space="preserve">атальону предстоит выполнить пугающе неприятную задачу. Она ему не нравится, и о ней можно сожалеть, но приказ пришел с самого верха. Если им от этого легче, </w:t>
        <w:t xml:space="preserve">то </w:t>
        <w:t>мужчины должны помнить, что в Германии бомбы падают на женщин и детей.</w:t>
      </w:r>
    </w:p>
    <w:p>
      <w:pPr>
        <w:pStyle w:val="Para 02"/>
      </w:pPr>
      <w:r>
        <w:t xml:space="preserve">Затем он </w:t>
        <w:t>перешёл</w:t>
        <w:t xml:space="preserve"> к делу. </w:t>
        <w:t>Е</w:t>
        <w:t xml:space="preserve">вреи устроили американский бойкот, который вредит Германии, </w:t>
        <w:t>вспоминал слова Траппа один полицейский</w:t>
        <w:t xml:space="preserve">. Эти евреи — евреи в деревне Юзефув, согласно источникам, замешаны в партизанской деятельности. Батальону приказано захватить </w:t>
        <w:t>их</w:t>
        <w:t xml:space="preserve">. Мужчин рабочего возраста приказано отправить в рабочие лагеря. Оставшихся — женщин, детей и стариков, приказано расстрелять на месте. Объяснив, что требуется от батальона, Трапп сделал </w:t>
        <w:t>экстраординарное</w:t>
        <w:t xml:space="preserve"> предложение: если среди </w:t>
        <w:t xml:space="preserve">старших </w:t>
        <w:t xml:space="preserve">людей есть те, кто не </w:t>
        <w:t xml:space="preserve">чувствует себя </w:t>
        <w:t>способным</w:t>
        <w:t xml:space="preserve"> </w:t>
        <w:t>на такое</w:t>
        <w:t xml:space="preserve">, они </w:t>
        <w:t>могут выйти вперёд</w:t>
        <w:t>.</w:t>
      </w:r>
      <w:hyperlink w:anchor="__15">
        <w:r>
          <w:rPr>
            <w:rStyle w:val="Text2"/>
          </w:rPr>
          <w:bookmarkStart w:id="30" w:name="15"/>
          <w:t>15</w:t>
          <w:bookmarkEnd w:id="30"/>
        </w:r>
      </w:hyperlink>
      <w:r>
        <w:rPr>
          <w:rStyle w:val="Text3"/>
        </w:rPr>
        <w:t xml:space="preserve"> </w:t>
      </w:r>
      <w:r>
        <w:t xml:space="preserve"> </w:t>
      </w:r>
    </w:p>
    <w:p>
      <w:pPr>
        <w:pStyle w:val="Heading 2"/>
      </w:pPr>
      <w:r>
        <w:bookmarkStart w:id="31" w:name="anchor8"/>
        <w:t/>
        <w:bookmarkEnd w:id="31"/>
        <w:t>Глава 2</w:t>
        <w:bookmarkStart w:id="32" w:name="anchor54"/>
        <w:t/>
        <w:bookmarkEnd w:id="32"/>
        <w:bookmarkStart w:id="33" w:name="anchor55"/>
        <w:t/>
        <w:bookmarkEnd w:id="33"/>
      </w:r>
    </w:p>
    <w:p>
      <w:pPr>
        <w:pStyle w:val="Para 11"/>
      </w:pPr>
      <w:r>
        <w:bookmarkStart w:id="34" w:name="anchor9"/>
        <w:t/>
        <w:bookmarkEnd w:id="34"/>
        <w:t>Полиция Порядка</w:t>
      </w:r>
    </w:p>
    <w:p>
      <w:pPr>
        <w:pStyle w:val="Para 05"/>
      </w:pPr>
      <w:r>
        <w:rPr>
          <w:rStyle w:val="Text7"/>
        </w:rPr>
        <w:t/>
      </w:r>
      <w:r>
        <w:t xml:space="preserve">Как </w:t>
        <w:t>летом 1942-</w:t>
        <w:t>го</w:t>
        <w:t xml:space="preserve"> </w:t>
        <w:t xml:space="preserve">батальон полицейских </w:t>
        <w:t>запаса</w:t>
        <w:t xml:space="preserve"> среднего возраста оказался перед лицом приказа о расстреле </w:t>
        <w:t>около</w:t>
        <w:t xml:space="preserve"> 1 500 евреев в польской деревне Юзефув? Необходима некоторая предыстория о Полиции Порядка (Ordnungspolizei или Orpo) как об институте, его роли в нацист</w:t>
        <w:t>с</w:t>
        <w:t>кой политике и убийстве евреев в Европе.</w:t>
      </w:r>
      <w:r>
        <w:rPr>
          <w:rStyle w:val="Text7"/>
        </w:rPr>
        <w:t xml:space="preserve"> </w:t>
      </w:r>
    </w:p>
    <w:p>
      <w:pPr>
        <w:pStyle w:val="Para 02"/>
      </w:pPr>
      <w:r>
        <w:t>Полиция Порядка была третьей попыткой Германии создать полицейское формирование с военн</w:t>
        <w:t>ыми подготовкой</w:t>
        <w:t xml:space="preserve"> и </w:t>
        <w:t>снаряжением</w:t>
        <w:t xml:space="preserve"> в периоде между мировыми войнами.</w:t>
      </w:r>
      <w:hyperlink w:anchor="__16">
        <w:r>
          <w:rPr>
            <w:rStyle w:val="Text2"/>
          </w:rPr>
          <w:bookmarkStart w:id="35" w:name="16"/>
          <w:t>16</w:t>
          <w:bookmarkEnd w:id="35"/>
        </w:r>
      </w:hyperlink>
      <w:r>
        <w:rPr>
          <w:rStyle w:val="Text3"/>
        </w:rPr>
        <w:t xml:space="preserve"> </w:t>
      </w:r>
      <w:r>
        <w:t xml:space="preserve"> После поражения в Первой Мировой Войне в Германии разразилась революция. Пока Армия разваливалась, военные офицеры и государственные служащие, боясь быть сметёнными на обочину революционными силами, организовали контрреволюционные парамилитаристические подразделения, известные как Фрайкор </w:t>
        <w:t>[</w:t>
        <w:t>Freikorps</w:t>
        <w:t>]</w:t>
        <w:t>. Когда в 1919-</w:t>
        <w:t>м</w:t>
        <w:t xml:space="preserve"> ситуация в стране стабилизировалась, многие члены Фрайкора слились с регулярной полицией в единое формирование, дислоцированное в бараках и направленное на подавление возможной революционной угрозы. Союзники, однако, требовали расформирования этих полицейских объединений в 1920-</w:t>
        <w:t>м</w:t>
        <w:t>, потому как те потенциально нарушали Версальское Соглашение, ограничивающ</w:t>
        <w:t>е</w:t>
        <w:t>е немецкую армию 100 000 солдатами.</w:t>
      </w:r>
    </w:p>
    <w:p>
      <w:pPr>
        <w:pStyle w:val="Para 02"/>
      </w:pPr>
      <w:r>
        <w:rPr>
          <w:rStyle w:val="Text9"/>
        </w:rPr>
        <w:t/>
      </w:r>
      <w:r>
        <w:t>После установлени</w:t>
        <w:t>я</w:t>
        <w:t xml:space="preserve"> нацистского режима в 1933-</w:t>
        <w:t>м</w:t>
        <w:t xml:space="preserve">, была создана «полицейская армия» </w:t>
        <w:t>[</w:t>
        <w:t>Armee der Landespolizei</w:t>
        <w:t>]</w:t>
        <w:t xml:space="preserve"> численностью 56 000 человек. Как часть немецкого плана по скрытому перевооружению, эти подразделения получали полную военную подготовку и располагались в </w:t>
        <w:t>казармах</w:t>
        <w:t>. Когда Гитлер открыто отверг политику разоружения Версальского Мира и заново ввёл военный призыв в 1935-</w:t>
        <w:t>м</w:t>
        <w:t xml:space="preserve">, «полицейская армия» влилась в быстро расширяющуюся регулярную армию, предоставив </w:t>
        <w:t xml:space="preserve">той </w:t>
        <w:t xml:space="preserve">офицеров и унтер-офицеров. «Полицейская армия» </w:t>
        <w:t xml:space="preserve">в целом </w:t>
        <w:t>сыграла немалую роль в подготовке будущего офицерского корпуса. На 1942 год не менее 97 генералов немецкой армии ранее служили в «полицейской армии» в 1933-</w:t>
        <w:t>19</w:t>
        <w:t>35 годах.</w:t>
      </w:r>
      <w:hyperlink w:anchor="__17">
        <w:r>
          <w:rPr>
            <w:rStyle w:val="Text2"/>
          </w:rPr>
          <w:bookmarkStart w:id="36" w:name="17"/>
          <w:t>17</w:t>
          <w:bookmarkEnd w:id="36"/>
        </w:r>
      </w:hyperlink>
      <w:r>
        <w:rPr>
          <w:rStyle w:val="Text3"/>
        </w:rPr>
        <w:t xml:space="preserve"> </w:t>
      </w:r>
      <w:r>
        <w:t xml:space="preserve"> </w:t>
      </w:r>
      <w:r>
        <w:rPr>
          <w:rStyle w:val="Text9"/>
        </w:rPr>
        <w:t xml:space="preserve"> </w:t>
      </w:r>
    </w:p>
    <w:p>
      <w:pPr>
        <w:pStyle w:val="Para 02"/>
      </w:pPr>
      <w:r>
        <w:t xml:space="preserve">Сохранение военных формирований среди полицейских </w:t>
        <w:t xml:space="preserve">осуществлялось </w:t>
        <w:t xml:space="preserve">Генрихом Гиммлером, </w:t>
        <w:t>в 1936-</w:t>
        <w:t>м</w:t>
        <w:t xml:space="preserve"> </w:t>
        <w:t xml:space="preserve">уже являвшимся главой СС и главой немецкой полиции с юрисдикцией над всеми полицейскими </w:t>
        <w:t xml:space="preserve">силами </w:t>
        <w:t>Третье</w:t>
        <w:t>го</w:t>
        <w:t xml:space="preserve"> Рейх</w:t>
        <w:t>а</w:t>
        <w:t xml:space="preserve">. Гиммлер </w:t>
        <w:t xml:space="preserve">объединил различные формирования немецкой полиции в </w:t>
        <w:t xml:space="preserve">две ветви, обе под контролем главного офиса в Берлине. Под управлением Главного Управления Полиции Безопасности </w:t>
        <w:t>[</w:t>
        <w:t>Sicherheitspolizei</w:t>
        <w:t>]</w:t>
        <w:t xml:space="preserve"> Рейнхарда Гейдриха </w:t>
        <w:t>существовала</w:t>
        <w:t xml:space="preserve"> печально известная Тайная Государственная Полиция (Geheime Staatspolizei, или Gestapo — Гестапо) </w:t>
        <w:t>занимавшаяся</w:t>
        <w:t xml:space="preserve"> врагами политического режима, </w:t>
        <w:t>а также</w:t>
        <w:t xml:space="preserve"> криминальная полиция (Kriminalpolizei, или Kripo), которая по сути </w:t>
        <w:t xml:space="preserve">была </w:t>
        <w:t xml:space="preserve">детективной службой </w:t>
        <w:t xml:space="preserve">по работе с </w:t>
        <w:t>неполитически</w:t>
        <w:t>ми</w:t>
        <w:t xml:space="preserve"> преступлени</w:t>
        <w:t>ями</w:t>
        <w:t xml:space="preserve">. Второй ветвью полиции являлось Главное </w:t>
        <w:t>У</w:t>
        <w:t xml:space="preserve">правление Полиции Порядка под </w:t>
        <w:t>командованием</w:t>
        <w:t xml:space="preserve"> Курта Далюге. Далюге руководил городской (Schutzpolizei, или Schupo, далее «</w:t>
        <w:t>П</w:t>
        <w:t xml:space="preserve">олиция </w:t>
        <w:t>О</w:t>
        <w:t>храны»), сельской полицией —</w:t>
        <w:t xml:space="preserve"> </w:t>
        <w:t xml:space="preserve">эквивалентом Жандармерии </w:t>
        <w:t>[</w:t>
        <w:t>Gendarmerie</w:t>
        <w:t>]</w:t>
        <w:t xml:space="preserve">, и муниципальной полицией малых посёлков или коммун </w:t>
        <w:t>[</w:t>
        <w:t>Gemeindepolizei</w:t>
        <w:t>]</w:t>
        <w:t>.</w:t>
      </w:r>
    </w:p>
    <w:p>
      <w:pPr>
        <w:pStyle w:val="Para 02"/>
      </w:pPr>
      <w:r>
        <w:t xml:space="preserve">К 1938 году Далюге </w:t>
        <w:t>под своей юрисдикцией имел</w:t>
        <w:t xml:space="preserve"> более 62 000 полицейских. Около 9 000 из них были организованы в полицейские сотни (Polizei-Hundertschaften, далее «роты») по 108 человек каждая. В </w:t>
        <w:t xml:space="preserve">каждом из </w:t>
        <w:t xml:space="preserve">десяти </w:t>
        <w:t xml:space="preserve">крупнейших </w:t>
        <w:t>город</w:t>
        <w:t>ов</w:t>
        <w:t xml:space="preserve"> Германии </w:t>
        <w:t xml:space="preserve">по </w:t>
        <w:t xml:space="preserve">три полицейские роты </w:t>
        <w:t>объединялись</w:t>
        <w:t xml:space="preserve"> в ещё бол</w:t>
        <w:t>ее</w:t>
        <w:t xml:space="preserve"> крупные </w:t>
        <w:t>«полицейски</w:t>
        <w:t>е</w:t>
        <w:t xml:space="preserve"> тренировочны</w:t>
        <w:t>е</w:t>
        <w:t xml:space="preserve"> отряд</w:t>
        <w:t>ы</w:t>
        <w:t xml:space="preserve">» </w:t>
        <w:t>[</w:t>
        <w:t>Polizei-Ausbildungsabteilungen</w:t>
        <w:t>]</w:t>
        <w:t>.</w:t>
      </w:r>
    </w:p>
    <w:p>
      <w:pPr>
        <w:pStyle w:val="Para 02"/>
      </w:pPr>
      <w:r>
        <w:t xml:space="preserve">В 1938 и 1939 </w:t>
        <w:t>гг.</w:t>
        <w:t xml:space="preserve"> Полиция Порядка стремительно расширялась. На фоне вс</w:t>
        <w:t>ё</w:t>
        <w:t xml:space="preserve"> возрастающего риска войны, рекруты получали дополнительный стимул для поступления на службу. Вступив в Полицию Порядка, новые молодые полицейские исключались из призыва в армию. Более того, полицейские батальоны, как Национальная Гвардия США, организовывались и действовали в своих регионах, что давало гарантию несения военной службы не только в безопасности, но и близко к дому.</w:t>
      </w:r>
    </w:p>
    <w:p>
      <w:pPr>
        <w:pStyle w:val="Para 02"/>
      </w:pPr>
      <w:r>
        <w:t>С началом войны в сентябре 1939-</w:t>
        <w:t>го</w:t>
        <w:t xml:space="preserve"> Полиция Порядка насчитывала 131 000 человек. Больш</w:t>
        <w:t>ую</w:t>
        <w:t xml:space="preserve"> угроз</w:t>
        <w:t xml:space="preserve">у </w:t>
        <w:t xml:space="preserve">этой военной организации </w:t>
        <w:t>нёс</w:t>
        <w:t xml:space="preserve">, конечно, риск поглощения её немецкой армией. Этого удалось избежать компромиссом, за который Полиция Порядка заплатила высокую цену. Множество </w:t>
        <w:t>её</w:t>
        <w:t xml:space="preserve"> лучших отрядов </w:t>
        <w:t xml:space="preserve">объединили </w:t>
        <w:t xml:space="preserve">в полицейскую дивизию из 16 000 человек, которая перешла под контроль армии. (Впоследствии эта дивизия сражалась под Арденном в 1940 </w:t>
        <w:t xml:space="preserve">г. </w:t>
        <w:t>и участвовала в атаке на Ленинград в 1941-</w:t>
        <w:t>м</w:t>
        <w:t>, прежде чем Гиммлер вернул себе контроль над ней в 1942-</w:t>
        <w:t>м</w:t>
        <w:t xml:space="preserve"> в качестве четвёртой гренадерской дивизии СС </w:t>
        <w:t>[</w:t>
        <w:t>Fourth SS-Polizei Grenadier Division</w:t>
        <w:t>]</w:t>
        <w:t>)</w:t>
        <w:t xml:space="preserve">. Два полицейских полка, набранные в недавно захваченном Данциге, </w:t>
        <w:t xml:space="preserve">в октябре 1939 </w:t>
        <w:t>года</w:t>
        <w:t xml:space="preserve"> </w:t>
        <w:t>так же передали армии. И наконец, Полиция Порядка предоставила более 8 000 человек для полевой жандармерии (Feldgendarmerie — военная полиция). Взамен оставшиеся силы Полиции Порядка сохранили своё право на исключение из призыва в армию.</w:t>
      </w:r>
    </w:p>
    <w:p>
      <w:pPr>
        <w:pStyle w:val="Para 02"/>
      </w:pPr>
      <w:r>
        <w:t xml:space="preserve">Для пополнения своего состава Полиции Порядка разрешили рекрутировать 26 000 молодых немецких мужчин — 9 000 волонтёров рождённых между 1918 и 1920 </w:t>
        <w:t>гг.</w:t>
        <w:t xml:space="preserve">, и 17 000 волонтёров рождённых между 1909 и 1912 </w:t>
        <w:t>гг.</w:t>
        <w:t xml:space="preserve">, а так же 6 000 так называемых «этнических немцев» </w:t>
        <w:t>[</w:t>
        <w:t>Volksdeutsche</w:t>
        <w:t>]</w:t>
        <w:t xml:space="preserve">, проживавших вне границ Германии до 1939 </w:t>
        <w:t>г</w:t>
        <w:t xml:space="preserve">. </w:t>
        <w:t>Помимо этого</w:t>
        <w:t>, Полиция Порядка получил</w:t>
        <w:t>а</w:t>
        <w:t xml:space="preserve"> право на призыв 91 500 резервистов рождённых между 1901 и 1909 </w:t>
        <w:t xml:space="preserve">гг. </w:t>
        <w:t xml:space="preserve">— возрастная группа, на тот момент не </w:t>
        <w:t>подлежащая</w:t>
        <w:t xml:space="preserve"> призыву в армию. Набор в Полицию Порядка постепенно распространялся на всё более </w:t>
        <w:t>возрастную</w:t>
        <w:t xml:space="preserve"> категорию мужчин, и к середине 1940-</w:t>
        <w:t>г</w:t>
        <w:t xml:space="preserve">о года численность </w:t>
        <w:t>состава</w:t>
        <w:t xml:space="preserve"> достигла </w:t>
        <w:t>244 500.</w:t>
      </w:r>
      <w:hyperlink w:anchor="__18">
        <w:r>
          <w:rPr>
            <w:rStyle w:val="Text2"/>
          </w:rPr>
          <w:bookmarkStart w:id="37" w:name="18"/>
          <w:t>18</w:t>
          <w:bookmarkEnd w:id="37"/>
        </w:r>
      </w:hyperlink>
      <w:r>
        <w:rPr>
          <w:rStyle w:val="Text3"/>
        </w:rPr>
        <w:t xml:space="preserve"> </w:t>
      </w:r>
      <w:r>
        <w:t xml:space="preserve"> </w:t>
      </w:r>
    </w:p>
    <w:p>
      <w:pPr>
        <w:pStyle w:val="Para 02"/>
      </w:pPr>
      <w:r>
        <w:t xml:space="preserve">Полиция Порядка редко упоминалась в предвоенных мобилизационных планах, а о её роли в войне особенно не думали, но быстро достигнутые военные успехи создали необходимость в оккупационных войсках вдалеке от фронта. С началом войны 21 полицейский батальон, приблизительно по 500 человек каждый, сформировали на территории Германии из различных полицейских рот и учебных подразделений. </w:t>
        <w:t>13</w:t>
        <w:t xml:space="preserve"> из них были прикомандированы к наступающим в Польшу армиям. Они вовлекались в захват польских солдат, отрезанных от основных сил продвигающимися войсками, сбором оружия и военного оборудования, брошенного отступающими поляками и предоставлением различных услуг </w:t>
        <w:t>по</w:t>
        <w:t xml:space="preserve"> обеспечени</w:t>
        <w:t>ю</w:t>
        <w:t xml:space="preserve"> безопасности в тылу.</w:t>
      </w:r>
    </w:p>
    <w:p>
      <w:pPr>
        <w:pStyle w:val="Para 02"/>
      </w:pPr>
      <w:r>
        <w:t/>
        <w:t xml:space="preserve">К середине 1940 </w:t>
        <w:t>г.</w:t>
        <w:t xml:space="preserve"> ч</w:t>
        <w:t>исло полицейских батальоно</w:t>
        <w:t>в</w:t>
        <w:t xml:space="preserve"> резко увеличилось до 101, когда </w:t>
        <w:t>были сформированы</w:t>
        <w:t xml:space="preserve"> дополнительные подразделения из </w:t>
        <w:t>26 000 молодых призывников, а так же множеств</w:t>
        <w:t>а</w:t>
        <w:t xml:space="preserve"> резервистов </w:t>
        <w:t>в возрасте</w:t>
      </w:r>
      <w:hyperlink w:anchor="__19">
        <w:r>
          <w:rPr>
            <w:rStyle w:val="Text2"/>
          </w:rPr>
          <w:bookmarkStart w:id="38" w:name="19"/>
          <w:t>19</w:t>
          <w:bookmarkEnd w:id="38"/>
        </w:r>
      </w:hyperlink>
      <w:r>
        <w:rPr>
          <w:rStyle w:val="Text3"/>
        </w:rPr>
        <w:t xml:space="preserve"> </w:t>
      </w:r>
      <w:r>
        <w:t xml:space="preserve"> </w:t>
        <w:t xml:space="preserve">. Тринадцать батальонов располагались в оккупированной Германией центральной Польше, известной как Генерал-губернаторство </w:t>
        <w:t>[</w:t>
        <w:t>General Government</w:t>
        <w:t>]</w:t>
        <w:t>, ещё семь в аннексированных западных польских территориях, «включённых в состав» Германи</w:t>
        <w:t>и</w:t>
        <w:t>. Десять расположились на оккупированной территории Чехии — Богемии и Моравии, известной как Протекторат. Помимо этого, шесть батальонов дислоцировались в Норвегии, а ещё четыре в Нидерландах.</w:t>
      </w:r>
      <w:hyperlink w:anchor="__20">
        <w:r>
          <w:rPr>
            <w:rStyle w:val="Text2"/>
          </w:rPr>
          <w:bookmarkStart w:id="39" w:name="20"/>
          <w:t>20</w:t>
          <w:bookmarkEnd w:id="39"/>
        </w:r>
      </w:hyperlink>
      <w:r>
        <w:rPr>
          <w:rStyle w:val="Text3"/>
        </w:rPr>
        <w:t xml:space="preserve"> </w:t>
      </w:r>
      <w:r>
        <w:t xml:space="preserve"> Полиция </w:t>
        <w:t>П</w:t>
        <w:t>орядка быстро становилась незаменимым источником рабочей силы для оккупации Европы.</w:t>
      </w:r>
    </w:p>
    <w:p>
      <w:pPr>
        <w:pStyle w:val="Para 02"/>
      </w:pPr>
      <w:r>
        <w:t xml:space="preserve">Новые батальоны создавались двумя методами. В первом, </w:t>
        <w:t>для обеспечения кадрового состава офицеров</w:t>
        <w:t xml:space="preserve">, </w:t>
        <w:t xml:space="preserve">до унтер-офицеров повышались </w:t>
        <w:t xml:space="preserve">довоенные волонтёры </w:t>
        <w:t>и</w:t>
        <w:t xml:space="preserve"> профессиональные</w:t>
        <w:t xml:space="preserve"> полицейские из первоначальных батальонов. </w:t>
        <w:t xml:space="preserve">Затем их распределяли </w:t>
        <w:t xml:space="preserve">по новообразованным батальонам, </w:t>
        <w:t>чьи</w:t>
        <w:t xml:space="preserve"> ряды</w:t>
        <w:t xml:space="preserve"> заполнялись</w:t>
        <w:t xml:space="preserve"> «старыми» резервистами. Такие батальоны получили обозначение «полицейские резервные батальоны». Во втором, батальоны формировались </w:t>
        <w:t>и</w:t>
        <w:t>з 26 000 молодых добровольцев, набранных осенью 1939-</w:t>
        <w:t>го</w:t>
        <w:t xml:space="preserve">. </w:t>
        <w:t>Эти</w:t>
        <w:t xml:space="preserve"> батальоны получали отдельные номера (от 251 до 256, от 301 до 325) и являлись, по сути, новыми элитными формированиями Полиции Порядка.</w:t>
      </w:r>
      <w:hyperlink w:anchor="__21">
        <w:r>
          <w:rPr>
            <w:rStyle w:val="Text2"/>
          </w:rPr>
          <w:bookmarkStart w:id="40" w:name="21"/>
          <w:t>21</w:t>
          <w:bookmarkEnd w:id="40"/>
        </w:r>
      </w:hyperlink>
      <w:r>
        <w:rPr>
          <w:rStyle w:val="Text3"/>
        </w:rPr>
        <w:t xml:space="preserve"> </w:t>
      </w:r>
      <w:r>
        <w:t xml:space="preserve"> </w:t>
      </w:r>
    </w:p>
    <w:p>
      <w:pPr>
        <w:pStyle w:val="Para 02"/>
      </w:pPr>
      <w:r>
        <w:t xml:space="preserve">Полиция Порядка в Генерал-губернаторстве разделилась на два </w:t>
        <w:t>формата работы</w:t>
        <w:t xml:space="preserve">. В первом, в каждом из четырёх </w:t>
        <w:t>округов</w:t>
        <w:t xml:space="preserve"> Генерал-губернаторства основали постоянный штаб </w:t>
        <w:t>К</w:t>
        <w:t>омандира Полиции Порядка (Kommandeur Der Ordnungspolizei, или KdO) — Краков, Люблин, Радом и Варшава (пятый — Галиция, добавлен в 1941-</w:t>
        <w:t>м</w:t>
        <w:t xml:space="preserve">). Каждый </w:t>
        <w:t>окружной</w:t>
        <w:t xml:space="preserve"> полк состоял из трёх батальонов с постоянной ротацией с батальонами из Германии. Во втором, создали тонкую сеть </w:t>
        <w:t xml:space="preserve">из </w:t>
        <w:t xml:space="preserve">небольших подразделений Полиции Порядка по всему Генерал-губернаторству. В каждом крупном польском городе развернули отделения </w:t>
        <w:t>П</w:t>
        <w:t xml:space="preserve">олиции </w:t>
        <w:t>О</w:t>
        <w:t xml:space="preserve">храны, </w:t>
        <w:t xml:space="preserve">чьей основной </w:t>
        <w:t xml:space="preserve">задачей являлся надсмотр за польской муниципальной полицией. Дополнительно от тридцати до сорока малых постов Жандармерии расположились в каждом городе среднего размера в каждом </w:t>
        <w:t>округе</w:t>
        <w:t xml:space="preserve">. Жандармерия, </w:t>
        <w:t>П</w:t>
        <w:t xml:space="preserve">олиция </w:t>
        <w:t>О</w:t>
        <w:t>храны и все командиры трёх батальонов отчитывались командующему округ</w:t>
        <w:t>ом</w:t>
        <w:t xml:space="preserve"> Полиции Порядка (KdO). К концу 1942 </w:t>
        <w:t>года</w:t>
        <w:t xml:space="preserve"> численность состава Полиции Порядка в Генерал-губернаторстве достигла 15 186 человек. Польская полиция под её управлением насчитывала 14 297 человек.</w:t>
      </w:r>
      <w:hyperlink w:anchor="__22">
        <w:r>
          <w:rPr>
            <w:rStyle w:val="Text2"/>
          </w:rPr>
          <w:bookmarkStart w:id="41" w:name="22"/>
          <w:t>22</w:t>
          <w:bookmarkEnd w:id="41"/>
        </w:r>
      </w:hyperlink>
      <w:r>
        <w:rPr>
          <w:rStyle w:val="Text3"/>
        </w:rPr>
        <w:t xml:space="preserve"> </w:t>
      </w:r>
      <w:r>
        <w:t xml:space="preserve"> </w:t>
      </w:r>
    </w:p>
    <w:p>
      <w:pPr>
        <w:pStyle w:val="Para 05"/>
      </w:pPr>
      <w:r>
        <w:t xml:space="preserve"> Цепь командования вела вверх от батальонов Полиции Порядка, а так же сети малых отрядов, через </w:t>
        <w:t>К</w:t>
        <w:t xml:space="preserve">омандира </w:t>
        <w:t xml:space="preserve">Полиции Порядка </w:t>
        <w:t>(Kd</w:t>
        <w:t>O</w:t>
        <w:t xml:space="preserve">) к </w:t>
        <w:t>Г</w:t>
        <w:t>лавнокомандующему Полиции Порядка в Генерал-губернаторстве</w:t>
      </w:r>
      <w:hyperlink w:anchor="__23">
        <w:r>
          <w:rPr>
            <w:rStyle w:val="Text2"/>
          </w:rPr>
          <w:bookmarkStart w:id="42" w:name="23"/>
          <w:t>23</w:t>
          <w:bookmarkEnd w:id="42"/>
        </w:r>
      </w:hyperlink>
      <w:r>
        <w:rPr>
          <w:rStyle w:val="Text3"/>
        </w:rPr>
        <w:t xml:space="preserve"> </w:t>
      </w:r>
      <w:r>
        <w:t xml:space="preserve"> </w:t>
        <w:t xml:space="preserve"> в </w:t>
        <w:t>столичный город</w:t>
        <w:t xml:space="preserve"> Краков</w:t>
      </w:r>
      <w:hyperlink w:anchor="__24">
        <w:r>
          <w:rPr>
            <w:rStyle w:val="Text2"/>
          </w:rPr>
          <w:bookmarkStart w:id="43" w:name="24"/>
          <w:t>24</w:t>
          <w:bookmarkEnd w:id="43"/>
        </w:r>
      </w:hyperlink>
      <w:r>
        <w:rPr>
          <w:rStyle w:val="Text3"/>
        </w:rPr>
        <w:t xml:space="preserve"> </w:t>
      </w:r>
      <w:r>
        <w:t xml:space="preserve"> </w:t>
        <w:t xml:space="preserve"> и затем, наконец, в главный офис Далюге в Берлине. Это была цепь власти, касающаяся только местных сил Полиции Порядка. Однако была так же и вторая, </w:t>
        <w:t xml:space="preserve">руководившая </w:t>
        <w:t>совместным</w:t>
        <w:t>и</w:t>
        <w:t xml:space="preserve"> </w:t>
        <w:t>действиями</w:t>
        <w:t xml:space="preserve"> и операциями Полиции Порядка, Тайной Полиции и других подразделений СС. </w:t>
        <w:t xml:space="preserve">Как своего личного представителя и координатора </w:t>
        <w:t>совместной</w:t>
        <w:t xml:space="preserve"> деятельности различных ветвей своей полицейско</w:t>
        <w:t>й</w:t>
        <w:t xml:space="preserve"> империи </w:t>
        <w:t xml:space="preserve">и СС </w:t>
        <w:t>в</w:t>
        <w:t xml:space="preserve"> Генерал-губернаторстве, Генрих Гиммлер назначил Высшего Руководителя СС и Полиции (HSSPF)</w:t>
      </w:r>
      <w:hyperlink w:anchor="__25">
        <w:r>
          <w:rPr>
            <w:rStyle w:val="Text2"/>
          </w:rPr>
          <w:bookmarkStart w:id="44" w:name="25"/>
          <w:t>25</w:t>
          <w:bookmarkEnd w:id="44"/>
        </w:r>
      </w:hyperlink>
      <w:r>
        <w:rPr>
          <w:rStyle w:val="Text3"/>
        </w:rPr>
        <w:t xml:space="preserve"> </w:t>
      </w:r>
      <w:r>
        <w:t xml:space="preserve"> </w:t>
        <w:t xml:space="preserve"> — Фридриха Вильгельма Крюгера. В каждом </w:t>
        <w:t>округе</w:t>
        <w:t xml:space="preserve"> Губернаторства присутствовал Руководитель СС и Полиции (SSPF), который имел те же обязанности и ту же власть на уровне </w:t>
        <w:t>округа</w:t>
        <w:t xml:space="preserve">, что и Крюгер на уровне Генерал-губернаторства. В </w:t>
        <w:t>округе</w:t>
        <w:t xml:space="preserve"> Люблина, где действовал Полицейский Резервный Батальон 101 в 1942-43 </w:t>
        <w:t>годах</w:t>
        <w:t xml:space="preserve">, </w:t>
        <w:t xml:space="preserve">таким </w:t>
        <w:t xml:space="preserve">руководителем стал безжалостный и отвратительный Одило Глобочник, близкий друг Гиммлера, смещённый с поста главы партии в Австрии за коррупцию. Итак, отряды Полиции Порядка в </w:t>
        <w:t>округе</w:t>
        <w:t xml:space="preserve"> Люблина могли получать приказы либо от Далюге и главного офиса в Берлине </w:t>
        <w:t>через BdO</w:t>
        <w:t xml:space="preserve"> в Кракове и </w:t>
        <w:t>KdO на местах</w:t>
        <w:t xml:space="preserve">, или от Гиммлера, через Высшего </w:t>
        <w:t>Руководителя</w:t>
        <w:t xml:space="preserve"> СС </w:t>
        <w:t xml:space="preserve">(HSSPF) </w:t>
        <w:t xml:space="preserve">и Полиции руководителя </w:t>
        <w:t xml:space="preserve">округа </w:t>
        <w:t xml:space="preserve">Глобочника. Касаемо программы по убийству польских евреев, именно вторая цепь командования сыграла ключевую роль </w:t>
        <w:t>в</w:t>
        <w:t xml:space="preserve"> участи</w:t>
        <w:t>и</w:t>
        <w:t xml:space="preserve"> Полиции Порядка в </w:t>
        <w:t>Окончате</w:t>
        <w:t>льном Решении.</w:t>
      </w:r>
      <w:r>
        <w:rPr>
          <w:rStyle w:val="Text7"/>
        </w:rPr>
        <w:t xml:space="preserve"> </w:t>
      </w:r>
    </w:p>
    <w:p>
      <w:pPr>
        <w:pStyle w:val="Heading 2"/>
      </w:pPr>
      <w:r>
        <w:bookmarkStart w:id="45" w:name="anchor10"/>
        <w:t/>
        <w:bookmarkEnd w:id="45"/>
        <w:t>Глава 3</w:t>
        <w:bookmarkStart w:id="46" w:name="anchor56"/>
        <w:t/>
        <w:bookmarkEnd w:id="46"/>
        <w:bookmarkStart w:id="47" w:name="anchor57"/>
        <w:t/>
        <w:bookmarkEnd w:id="47"/>
      </w:r>
    </w:p>
    <w:p>
      <w:pPr>
        <w:pStyle w:val="Para 11"/>
      </w:pPr>
      <w:r>
        <w:bookmarkStart w:id="48" w:name="anchor11"/>
        <w:t/>
        <w:bookmarkEnd w:id="48"/>
        <w:t xml:space="preserve">Полиция Порядка и </w:t>
        <w:t>Окончательное</w:t>
        <w:t xml:space="preserve"> Решение: </w:t>
        <w:t>СССР</w:t>
        <w:t xml:space="preserve"> 1941</w:t>
      </w:r>
    </w:p>
    <w:p>
      <w:pPr>
        <w:pStyle w:val="Para 05"/>
      </w:pPr>
      <w:r>
        <w:rPr>
          <w:rStyle w:val="Text7"/>
        </w:rPr>
        <w:t/>
      </w:r>
      <w:r>
        <w:t xml:space="preserve">Участие Полиции Порядка в </w:t>
        <w:t>Окончательн</w:t>
        <w:t xml:space="preserve">ом Решении — массовом </w:t>
        <w:t xml:space="preserve">нацистском убийстве европейских евреев — началось не в Польше, но в </w:t>
        <w:t>Советском Союзе</w:t>
        <w:t xml:space="preserve"> летом и осенью 1941-</w:t>
        <w:t>го</w:t>
        <w:t xml:space="preserve">. В качестве подготовки к плану Гитлера по вторжению в </w:t>
        <w:t>СССР</w:t>
        <w:t xml:space="preserve"> и «войне на уничтожение» весной 1941-</w:t>
        <w:t>го</w:t>
        <w:t xml:space="preserve"> </w:t>
        <w:t>были сформированы</w:t>
        <w:t xml:space="preserve"> четыре специальных мобильных подразделения СС, известных как Айнзацгруппы </w:t>
        <w:t>[</w:t>
        <w:t>Einsatzgruppen</w:t>
        <w:t>]</w:t>
        <w:t xml:space="preserve">. Ядро этих групп составляли члены Тайной Полиции Гейдриха (Gestapo и Kripo), а так же члены его разведывательного аппарата (Службы Безопасности, Sicherheitsdienst, SD). Их дополнили малыми подразделениями войск СС (Waffen SS — военная ветвь СС Гиммлера). Три роты Полицейского Резервного Батальона 9 </w:t>
        <w:t xml:space="preserve">распределили между тремя </w:t>
        <w:t>(из четырёх)</w:t>
        <w:t xml:space="preserve"> </w:t>
        <w:t>Айнзацгруппами.</w:t>
      </w:r>
      <w:hyperlink w:anchor="__26">
        <w:r>
          <w:rPr>
            <w:rStyle w:val="Text2"/>
          </w:rPr>
          <w:bookmarkStart w:id="49" w:name="26"/>
          <w:t>26</w:t>
          <w:bookmarkEnd w:id="49"/>
        </w:r>
      </w:hyperlink>
      <w:r>
        <w:rPr>
          <w:rStyle w:val="Text3"/>
        </w:rPr>
        <w:t xml:space="preserve"> </w:t>
      </w:r>
      <w:r>
        <w:t xml:space="preserve"> </w:t>
        <w:t xml:space="preserve"> Таким образом, из </w:t>
        <w:t xml:space="preserve">прикреплённых к этим группам </w:t>
        <w:t xml:space="preserve">3 000 </w:t>
        <w:t>человек</w:t>
        <w:t>, 500 были членами Полиции Порядка.</w:t>
      </w:r>
      <w:r>
        <w:rPr>
          <w:rStyle w:val="Text7"/>
        </w:rPr>
        <w:t xml:space="preserve"> </w:t>
      </w:r>
    </w:p>
    <w:p>
      <w:pPr>
        <w:pStyle w:val="Para 02"/>
      </w:pPr>
      <w:r>
        <w:t xml:space="preserve">Айнзацгруппы </w:t>
        <w:t>стали</w:t>
        <w:t xml:space="preserve"> лишь остриём немецких </w:t>
        <w:t>подразделений</w:t>
        <w:t xml:space="preserve">, участвовавших в политических и расовых чистках </w:t>
        <w:t>в</w:t>
        <w:t xml:space="preserve"> СССР. </w:t>
        <w:t xml:space="preserve">В </w:t>
        <w:t>начале</w:t>
        <w:t xml:space="preserve"> июл</w:t>
        <w:t xml:space="preserve">я </w:t>
        <w:t>на территорию восточной Польши, которую ранее в 1939-41 гг. оккупировал СССР,</w:t>
        <w:t xml:space="preserve"> была послана </w:t>
        <w:t xml:space="preserve">пятая </w:t>
        <w:t>Айнзацгруппа</w:t>
        <w:t xml:space="preserve">, собранная </w:t>
        <w:t xml:space="preserve">специально </w:t>
        <w:t xml:space="preserve">для этого случая из персонала Полиции Порядка в Генерал-губернаторстве. Большинство </w:t>
        <w:t>её членов</w:t>
        <w:t xml:space="preserve"> станет </w:t>
        <w:t>частью</w:t>
        <w:t xml:space="preserve"> постоянного контингента Полиции Порядка на </w:t>
        <w:t xml:space="preserve">этой территории. </w:t>
        <w:t>В свою очередь,</w:t>
        <w:t xml:space="preserve"> </w:t>
        <w:t>ч</w:t>
        <w:t xml:space="preserve">етыре оригинальных Айнзацгруппы </w:t>
        <w:t>отправились</w:t>
        <w:t xml:space="preserve"> следом за продвигающимися армиями на территорию </w:t>
        <w:t>Советского Союза</w:t>
        <w:t xml:space="preserve">. </w:t>
        <w:t xml:space="preserve"> </w:t>
      </w:r>
    </w:p>
    <w:p>
      <w:pPr>
        <w:pStyle w:val="Para 02"/>
      </w:pPr>
      <w:r>
        <w:t xml:space="preserve">Для оккупации </w:t>
        <w:t>СССР</w:t>
        <w:t xml:space="preserve"> Гиммлер назначил три Высших </w:t>
        <w:t>Руководителя</w:t>
        <w:t xml:space="preserve"> СС и Полиции </w:t>
        <w:t xml:space="preserve">в </w:t>
        <w:t>соответственные</w:t>
        <w:t xml:space="preserve"> </w:t>
        <w:t xml:space="preserve">региональные </w:t>
        <w:t xml:space="preserve">Группы </w:t>
        <w:t xml:space="preserve">— </w:t>
        <w:t>Север</w:t>
        <w:t xml:space="preserve">, </w:t>
        <w:t xml:space="preserve">Центр </w:t>
        <w:t xml:space="preserve">и </w:t>
        <w:t>Юг</w:t>
        <w:t xml:space="preserve">. </w:t>
        <w:t xml:space="preserve">Все операции СС на территории Советского Союза координировались именно этими людьми </w:t>
        <w:t xml:space="preserve">. В дни эйфории, когда окончательная победа уже казалась близкой, Гитлер приказал усилить пацификацию тыловых </w:t>
        <w:t xml:space="preserve">оккупированных </w:t>
        <w:t xml:space="preserve">территорий. </w:t>
        <w:t xml:space="preserve">16 </w:t>
        <w:t>и</w:t>
        <w:t>юля 1941-</w:t>
        <w:t>го</w:t>
        <w:t xml:space="preserve"> Гитлер анонсировал, что с </w:t>
        <w:t xml:space="preserve">недавно захваченных </w:t>
        <w:t xml:space="preserve">восточных земель Германия никогда не уйдёт, на </w:t>
        <w:t>них</w:t>
        <w:t xml:space="preserve"> он создаст «</w:t>
        <w:t>рай на земле</w:t>
        <w:t xml:space="preserve">», </w:t>
        <w:t>и будут предприняты все необходимые для этого меры</w:t>
        <w:t xml:space="preserve">. </w:t>
        <w:t>Ему</w:t>
        <w:t xml:space="preserve"> показался удачным приказ Сталина о начале партизанской войны, ведь « ... это даёт возможность уничтожить любого враждебного нам. Естественно, обширные восточные территории должны быть пацифицированы так быстро, как это возможно. И лучш</w:t>
        <w:t>ий</w:t>
        <w:t xml:space="preserve"> способ осуществить это — расстрелять любого, кто косо на нас взглянет».</w:t>
      </w:r>
      <w:hyperlink w:anchor="__27">
        <w:r>
          <w:rPr>
            <w:rStyle w:val="Text2"/>
          </w:rPr>
          <w:bookmarkStart w:id="50" w:name="27"/>
          <w:t>27</w:t>
          <w:bookmarkEnd w:id="50"/>
        </w:r>
      </w:hyperlink>
      <w:r>
        <w:rPr>
          <w:rStyle w:val="Text3"/>
        </w:rPr>
        <w:t xml:space="preserve"> </w:t>
      </w:r>
      <w:r>
        <w:t xml:space="preserve"> </w:t>
      </w:r>
    </w:p>
    <w:p>
      <w:pPr>
        <w:pStyle w:val="Para 02"/>
      </w:pPr>
      <w:r>
        <w:t xml:space="preserve">Гиммлер не замедлил ответить увещеваниям своего хозяина. За неделю он отправил </w:t>
        <w:t>В</w:t>
        <w:t xml:space="preserve">ысшим </w:t>
        <w:t>Р</w:t>
        <w:t xml:space="preserve">уководителям </w:t>
        <w:t>(HSSPF)</w:t>
        <w:t xml:space="preserve"> СС </w:t>
        <w:t>Группы Центр</w:t>
        <w:t xml:space="preserve"> Эрих</w:t>
        <w:t>у</w:t>
        <w:t xml:space="preserve"> фон дем Бах-Зелевски и </w:t>
        <w:t>Группы Юг</w:t>
        <w:t xml:space="preserve"> СС Фридрих</w:t>
        <w:t>у</w:t>
        <w:t xml:space="preserve"> Еккельн</w:t>
        <w:t>у</w:t>
        <w:t xml:space="preserve"> по дополнительной бригаде СС, пополнив кровавую кампанию СС 11 000 </w:t>
        <w:t>солдатами</w:t>
        <w:t>.</w:t>
      </w:r>
      <w:hyperlink w:anchor="__28">
        <w:r>
          <w:rPr>
            <w:rStyle w:val="Text2"/>
          </w:rPr>
          <w:bookmarkStart w:id="51" w:name="28"/>
          <w:t>28</w:t>
          <w:bookmarkEnd w:id="51"/>
        </w:r>
      </w:hyperlink>
      <w:r>
        <w:rPr>
          <w:rStyle w:val="Text3"/>
        </w:rPr>
        <w:t xml:space="preserve"> </w:t>
      </w:r>
      <w:r>
        <w:t xml:space="preserve"> Более того, как минимум 11 полицейских батальонов, 9 из которых состояли из </w:t>
        <w:t>недавно призванных</w:t>
        <w:t xml:space="preserve"> молодых рекрутов, распределили между тремя «регионами» СС в </w:t>
        <w:t>СССР</w:t>
        <w:t>, добав</w:t>
        <w:t>ив</w:t>
        <w:t xml:space="preserve"> туда </w:t>
        <w:t>ещё 5 500 члено</w:t>
        <w:t>в</w:t>
        <w:t xml:space="preserve"> Полиции Порядка, помимо 500 уже приписанных к Айнзацгруппам.</w:t>
      </w:r>
      <w:hyperlink w:anchor="__29">
        <w:r>
          <w:rPr>
            <w:rStyle w:val="Text2"/>
          </w:rPr>
          <w:bookmarkStart w:id="52" w:name="29"/>
          <w:t>29</w:t>
          <w:bookmarkEnd w:id="52"/>
        </w:r>
      </w:hyperlink>
      <w:r>
        <w:rPr>
          <w:rStyle w:val="Text3"/>
        </w:rPr>
        <w:t xml:space="preserve"> </w:t>
      </w:r>
      <w:r>
        <w:t xml:space="preserve"> Между </w:t>
        <w:t>концом</w:t>
        <w:t xml:space="preserve"> июл</w:t>
        <w:t>я</w:t>
        <w:t xml:space="preserve"> и серединой </w:t>
        <w:t>а</w:t>
        <w:t xml:space="preserve">вгуста Гиммлер посетил восточный фронт, персонально призывая своих людей к массовым убийствам </w:t>
        <w:t>советски</w:t>
        <w:t>х евреев.</w:t>
      </w:r>
    </w:p>
    <w:p>
      <w:pPr>
        <w:pStyle w:val="Para 02"/>
      </w:pPr>
      <w:r>
        <w:t xml:space="preserve">Однако начало своей карьере убийц Полиция Порядка положила ещё в июле — до всех этих приготовлений. Событие произошло в городе Белосток </w:t>
        <w:t>[Białystok]</w:t>
        <w:t>, почти половину населения которого составляли евреи. Накануне вторжени</w:t>
        <w:t>я —</w:t>
        <w:t xml:space="preserve"> названного немцами Операция Барбаросса — </w:t>
        <w:t>м</w:t>
        <w:t xml:space="preserve">айор Вайс </w:t>
        <w:t>[Weis]</w:t>
        <w:t xml:space="preserve"> П</w:t>
        <w:t xml:space="preserve">олицейского </w:t>
        <w:t>Б</w:t>
        <w:t xml:space="preserve">атальона 309 встретился с командирами своих рот. Он </w:t>
        <w:t>ознакомил</w:t>
        <w:t xml:space="preserve"> и</w:t>
        <w:t xml:space="preserve">х с </w:t>
        <w:t>нескольк</w:t>
        <w:t>ими</w:t>
        <w:t xml:space="preserve"> приказ</w:t>
        <w:t>ами</w:t>
        <w:t xml:space="preserve">, которые передавались устно, что </w:t>
        <w:t xml:space="preserve">повсеместно </w:t>
        <w:t xml:space="preserve">происходило в отрядах немецкой армии и полиции, </w:t>
        <w:t>действующих в</w:t>
        <w:t xml:space="preserve"> СССР</w:t>
        <w:t>. Первы</w:t>
        <w:t>м</w:t>
        <w:t xml:space="preserve"> был печально известный «приказ о комиссарах» </w:t>
        <w:t>[</w:t>
        <w:t>Kommissarbefehl</w:t>
        <w:t>]</w:t>
        <w:t xml:space="preserve">: при малейшем признаке антинемецких настроений любые так называемые «коммунистические элементы» армии или гражданской администрации лишались статуса </w:t>
        <w:t xml:space="preserve">военнопленных </w:t>
        <w:t xml:space="preserve">и </w:t>
        <w:t xml:space="preserve">подлежали </w:t>
        <w:t>казни</w:t>
        <w:t>.</w:t>
      </w:r>
      <w:hyperlink w:anchor="__30">
        <w:r>
          <w:rPr>
            <w:rStyle w:val="Text2"/>
          </w:rPr>
          <w:bookmarkStart w:id="53" w:name="30"/>
          <w:t>30</w:t>
          <w:bookmarkEnd w:id="53"/>
        </w:r>
      </w:hyperlink>
      <w:r>
        <w:rPr>
          <w:rStyle w:val="Text3"/>
        </w:rPr>
        <w:t xml:space="preserve"> </w:t>
      </w:r>
      <w:r>
        <w:t xml:space="preserve"> Второй приказ — «приказ о военном судопроизводстве» исключил действия немецких солдат против гражданских в </w:t>
        <w:t>СССР</w:t>
        <w:t xml:space="preserve"> из </w:t>
        <w:t xml:space="preserve">под </w:t>
        <w:t>юрисдикции военных судов и недвусмысленно одобрил применение коллективных наказаний против целых поселений.</w:t>
      </w:r>
      <w:hyperlink w:anchor="__31">
        <w:r>
          <w:rPr>
            <w:rStyle w:val="Text2"/>
          </w:rPr>
          <w:bookmarkStart w:id="54" w:name="31"/>
          <w:t>31</w:t>
          <w:bookmarkEnd w:id="54"/>
        </w:r>
      </w:hyperlink>
      <w:r>
        <w:rPr>
          <w:rStyle w:val="Text3"/>
        </w:rPr>
        <w:t xml:space="preserve"> </w:t>
      </w:r>
      <w:r>
        <w:t xml:space="preserve"> Это была «лицензия на убийство» </w:t>
        <w:t>советских</w:t>
        <w:t xml:space="preserve"> гражданских. Майор Вайс </w:t>
        <w:t>же</w:t>
        <w:t xml:space="preserve"> пошёл ещё дальше — </w:t>
        <w:t>к</w:t>
        <w:t>ак он посчитал, в</w:t>
        <w:t xml:space="preserve">ойна </w:t>
        <w:t>шла</w:t>
        <w:t xml:space="preserve"> против евреев и большевиков, и он хотел, чтобы батальон был безжалостен по отношению к ним. С его точки зрения, смысл приказов Фюрера заключался в уничтожении всех евреев, </w:t>
        <w:t>в независимости от пола и возраста</w:t>
        <w:t>.</w:t>
      </w:r>
      <w:hyperlink w:anchor="__32">
        <w:r>
          <w:rPr>
            <w:rStyle w:val="Text2"/>
          </w:rPr>
          <w:bookmarkStart w:id="55" w:name="32"/>
          <w:t>32</w:t>
          <w:bookmarkEnd w:id="55"/>
        </w:r>
      </w:hyperlink>
      <w:r>
        <w:rPr>
          <w:rStyle w:val="Text3"/>
        </w:rPr>
        <w:t xml:space="preserve"> </w:t>
      </w:r>
      <w:r>
        <w:t xml:space="preserve"> </w:t>
      </w:r>
    </w:p>
    <w:p>
      <w:pPr>
        <w:pStyle w:val="Para 02"/>
      </w:pPr>
      <w:r>
        <w:t/>
        <w:t xml:space="preserve">27 </w:t>
        <w:t>и</w:t>
        <w:t>юн</w:t>
        <w:t xml:space="preserve">я </w:t>
        <w:t xml:space="preserve">после захода </w:t>
        <w:t>батальона</w:t>
        <w:t xml:space="preserve"> в город Белосток, Майор Вайс приказал прочесать жилища евреев и захватить мужчин, но не сказал, что делать с ними. Судя по всему, это оставили на усмотрение ротным командирам, находившимся под влиянием его речей перед вторжением. Всё началось как погром: избиени</w:t>
        <w:t>я</w:t>
        <w:t>, унижени</w:t>
        <w:t>я</w:t>
        <w:t>, сожжени</w:t>
        <w:t>я</w:t>
        <w:t xml:space="preserve"> бород, </w:t>
        <w:t xml:space="preserve">бесконтрольная стрельба; полицейские гнали евреев на рынок или </w:t>
        <w:t xml:space="preserve">в </w:t>
        <w:t>синагогу</w:t>
        <w:t xml:space="preserve">. Когда несколько еврейских лидеров предстали в штабе 221 дивизии безопасности под командованием генерала </w:t>
        <w:t>Пфлюгбайля [Phlugbeil]</w:t>
        <w:t xml:space="preserve"> и </w:t>
        <w:t>пали</w:t>
        <w:t xml:space="preserve"> на колени, моля о защите арми</w:t>
        <w:t>ю</w:t>
        <w:t xml:space="preserve">, один член Полицейского Батальона 309 расстегнул свою ширинку и помочился на </w:t>
        <w:t>просящих</w:t>
        <w:t>, а генерал повернулся к ним спиной.</w:t>
      </w:r>
    </w:p>
    <w:p>
      <w:pPr>
        <w:pStyle w:val="Para 02"/>
      </w:pPr>
      <w:r>
        <w:t xml:space="preserve">Что </w:t>
        <w:t>начиналось</w:t>
        <w:t xml:space="preserve"> как погром, быстро разрослось в систематическое массовое убийство. Собранных на рынке евреев вывозили в парк, строили вдоль стены и расстреливали. Убийства </w:t>
        <w:t>продолжались</w:t>
        <w:t xml:space="preserve"> до темноты. В синагоге, </w:t>
        <w:t xml:space="preserve">куда согнали минимум </w:t>
        <w:t>700 евреев, входы залили топливом</w:t>
      </w:r>
      <w:hyperlink w:anchor="__33">
        <w:r>
          <w:rPr>
            <w:rStyle w:val="Text2"/>
          </w:rPr>
          <w:bookmarkStart w:id="56" w:name="33"/>
          <w:t>33</w:t>
          <w:bookmarkEnd w:id="56"/>
        </w:r>
      </w:hyperlink>
      <w:r>
        <w:rPr>
          <w:rStyle w:val="Text3"/>
        </w:rPr>
        <w:t xml:space="preserve"> </w:t>
      </w:r>
      <w:r>
        <w:t xml:space="preserve"> , внутрь здания бросили гранаты, </w:t>
        <w:t xml:space="preserve">пытавшихся выбраться из горящего здания </w:t>
        <w:t>людей</w:t>
        <w:t xml:space="preserve"> п</w:t>
        <w:t xml:space="preserve">олиция расстреливала. Огонь распространился на соседние здания, </w:t>
        <w:t xml:space="preserve">где </w:t>
        <w:t xml:space="preserve">прятались евреи, </w:t>
        <w:t xml:space="preserve">и они </w:t>
        <w:t xml:space="preserve">тоже </w:t>
        <w:t xml:space="preserve">горели заживо. На следующий день тридцать </w:t>
        <w:t>вагонов</w:t>
      </w:r>
      <w:hyperlink w:anchor="__34">
        <w:r>
          <w:rPr>
            <w:rStyle w:val="Text2"/>
          </w:rPr>
          <w:bookmarkStart w:id="57" w:name="34"/>
          <w:t>34</w:t>
          <w:bookmarkEnd w:id="57"/>
        </w:r>
      </w:hyperlink>
      <w:r>
        <w:rPr>
          <w:rStyle w:val="Text3"/>
        </w:rPr>
        <w:t xml:space="preserve"> </w:t>
      </w:r>
      <w:r>
        <w:t xml:space="preserve"> </w:t>
        <w:t xml:space="preserve"> трупов доставили к месту массового захоронения. </w:t>
        <w:t xml:space="preserve">Согласно оценкам, </w:t>
        <w:t>было</w:t>
        <w:t xml:space="preserve"> убито от 2 000 до 2 200 евреев. Когда генерал </w:t>
        <w:t>Пфлюгбайль</w:t>
        <w:t xml:space="preserve"> отправил посыльного с вопросом майору Вайсу об огне, тот нашёл </w:t>
        <w:t>его</w:t>
        <w:t xml:space="preserve"> пьяным. </w:t>
        <w:t>Майор</w:t>
        <w:t xml:space="preserve"> заявил что о произошедшем ничего не знает, </w:t>
        <w:t>а впоследствии вместе со своими офицерами составил ложны</w:t>
        <w:t>й</w:t>
        <w:t xml:space="preserve"> </w:t>
        <w:t>отчёт о событиях</w:t>
        <w:t xml:space="preserve"> для </w:t>
        <w:t>Пфлюгбайля</w:t>
        <w:t>.</w:t>
      </w:r>
      <w:hyperlink w:anchor="__35">
        <w:r>
          <w:rPr>
            <w:rStyle w:val="Text2"/>
          </w:rPr>
          <w:bookmarkStart w:id="58" w:name="35"/>
          <w:t>35</w:t>
          <w:bookmarkEnd w:id="58"/>
        </w:r>
      </w:hyperlink>
      <w:r>
        <w:rPr>
          <w:rStyle w:val="Text3"/>
        </w:rPr>
        <w:t xml:space="preserve"> </w:t>
      </w:r>
      <w:r>
        <w:t xml:space="preserve"> </w:t>
      </w:r>
    </w:p>
    <w:p>
      <w:pPr>
        <w:pStyle w:val="Para 02"/>
      </w:pPr>
      <w:r>
        <w:t xml:space="preserve">Если первая резня в Белостоке была работой отдельных командиров, </w:t>
        <w:t>в</w:t>
        <w:t xml:space="preserve">ерно </w:t>
        <w:t xml:space="preserve">оценивших </w:t>
        <w:t xml:space="preserve">и </w:t>
        <w:t>предвосхитивших желания их</w:t>
        <w:t xml:space="preserve"> Фюрера, то вторая резня в середине </w:t>
        <w:t>и</w:t>
        <w:t xml:space="preserve">юля явно включала в себя систематическое подстрекательство с самых верхних эшелонов СС, в частности Эриха фон дем Баха, Курта Далюге и Генриха Гиммлера. Полицейский Батальон 309 двинулся на восток, </w:t>
        <w:t>а</w:t>
        <w:t xml:space="preserve"> его место в Белостоке заняли батальоны 316 и 322. </w:t>
        <w:t>Журнал боевых действий</w:t>
        <w:t xml:space="preserve">, или </w:t>
        <w:t>военный дневник</w:t>
        <w:t xml:space="preserve"> [</w:t>
        <w:t>Kriegstagebuch</w:t>
        <w:t>]</w:t>
        <w:t>, а так же различные рапорты и приказы 322 батальона являются редкими примерами документов, дошедших до Запада из советских архивов. Они позволили нам отследить дальнейшие события в Белостоке.</w:t>
      </w:r>
    </w:p>
    <w:p>
      <w:pPr>
        <w:pStyle w:val="Para 02"/>
      </w:pPr>
      <w:r>
        <w:t xml:space="preserve">Батальон 322 до вторжения, очевидно, не был так нацелен на беспощадность как 309, но и они точно не избежали идеологической обработки. Генерал-майор Рецлафф </w:t>
        <w:t xml:space="preserve">[Retzlaff] </w:t>
        <w:t>произнёс</w:t>
        <w:t xml:space="preserve"> прощальную речь </w:t>
        <w:t>перед бат</w:t>
        <w:t>а</w:t>
        <w:t>льоном</w:t>
        <w:t xml:space="preserve"> в Варшаве 10 июня, </w:t>
        <w:t>в которой</w:t>
        <w:t xml:space="preserve"> советовал каждому члену быть аккуратным, «предстать перед славянами как хозяева и показать им что такое немец».</w:t>
      </w:r>
      <w:hyperlink w:anchor="__36">
        <w:r>
          <w:rPr>
            <w:rStyle w:val="Text2"/>
          </w:rPr>
          <w:bookmarkStart w:id="59" w:name="36"/>
          <w:t>36</w:t>
          <w:bookmarkEnd w:id="59"/>
        </w:r>
      </w:hyperlink>
      <w:r>
        <w:rPr>
          <w:rStyle w:val="Text3"/>
        </w:rPr>
        <w:t xml:space="preserve"> </w:t>
      </w:r>
      <w:r>
        <w:t xml:space="preserve"> Перед отправкой </w:t>
        <w:t>2 июля</w:t>
        <w:t xml:space="preserve"> в </w:t>
        <w:t>Советский Союз</w:t>
        <w:t xml:space="preserve"> людям </w:t>
        <w:t>объявили</w:t>
        <w:t>, что каждый «политический комиссар должен быть расстрелян», и что они должны быть «твёрдыми, решительными и безжалостными».</w:t>
      </w:r>
      <w:hyperlink w:anchor="__37">
        <w:r>
          <w:rPr>
            <w:rStyle w:val="Text2"/>
          </w:rPr>
          <w:bookmarkStart w:id="60" w:name="37"/>
          <w:t>37</w:t>
          <w:bookmarkEnd w:id="60"/>
        </w:r>
      </w:hyperlink>
      <w:r>
        <w:rPr>
          <w:rStyle w:val="Text3"/>
        </w:rPr>
        <w:t xml:space="preserve"> </w:t>
      </w:r>
      <w:r>
        <w:t xml:space="preserve"> </w:t>
      </w:r>
    </w:p>
    <w:p>
      <w:pPr>
        <w:pStyle w:val="Para 02"/>
      </w:pPr>
      <w:r>
        <w:t xml:space="preserve">Двумя днями </w:t>
        <w:t xml:space="preserve">позже </w:t>
        <w:t xml:space="preserve">— </w:t>
        <w:t xml:space="preserve">5 июля — </w:t>
        <w:t xml:space="preserve">батальон прибыл в Белосток и получил приказ «прочесать весь город ... в поисках комиссаров </w:t>
        <w:t xml:space="preserve">большевиков </w:t>
        <w:t xml:space="preserve">и коммунистов». Журнал боевых действий последующего дня </w:t>
        <w:t xml:space="preserve">ясно даёт понять значение этого приказа — </w:t>
        <w:t>«</w:t>
        <w:t>обыск</w:t>
        <w:t xml:space="preserve"> еврейских жилищ», якобы для поиска вещей награбленных евреями перед приходом немцев. Во время рейда немецкая полиция захватила двадцать вагонов вещей. К 8 июля батальон расстрелял двадцать одного человека. «Это касалось ... практически исключительно евреев».</w:t>
      </w:r>
      <w:hyperlink w:anchor="__38">
        <w:r>
          <w:rPr>
            <w:rStyle w:val="Text2"/>
          </w:rPr>
          <w:bookmarkStart w:id="61" w:name="38"/>
          <w:t>38</w:t>
          <w:bookmarkEnd w:id="61"/>
        </w:r>
      </w:hyperlink>
      <w:r>
        <w:rPr>
          <w:rStyle w:val="Text3"/>
        </w:rPr>
        <w:t xml:space="preserve"> </w:t>
      </w:r>
      <w:r>
        <w:t xml:space="preserve"> </w:t>
      </w:r>
    </w:p>
    <w:p>
      <w:pPr>
        <w:pStyle w:val="Para 02"/>
      </w:pPr>
      <w:r>
        <w:t>В тот же день рейда — 8 июля — батальон неожиданно посетил</w:t>
        <w:t>и</w:t>
        <w:t xml:space="preserve"> Рейхсфюрер СС и Глава Полиции Генрих Гиммлер, а так же командир Полиции Порядка Курт Далюге. Командир батальона Майор Нагель </w:t>
        <w:t>[Nagel]</w:t>
        <w:t xml:space="preserve"> получил приглашение на устроенный Бахом званный ужин в честь Гиммлера. На следующее утро Далюге в присутствии Гиммлера провёл смотр полицейских батальонов в Белостоке. В своей речи он подчеркнул, что Полицейские Батальоны «должны быть горды своим участием в борьбе с мировым врагом — большевизмом. Никакая другая кампания не имела такую значимость как эта. Теперь большевики будут наконец-то уничтожены на благо Германии, Европы, </w:t>
        <w:t>да и</w:t>
        <w:t xml:space="preserve"> всего мира».</w:t>
      </w:r>
      <w:hyperlink w:anchor="__39">
        <w:r>
          <w:rPr>
            <w:rStyle w:val="Text2"/>
          </w:rPr>
          <w:bookmarkStart w:id="62" w:name="39"/>
          <w:t>39</w:t>
          <w:bookmarkEnd w:id="62"/>
        </w:r>
      </w:hyperlink>
      <w:r>
        <w:rPr>
          <w:rStyle w:val="Text3"/>
        </w:rPr>
        <w:t xml:space="preserve"> </w:t>
      </w:r>
      <w:r>
        <w:t xml:space="preserve"> </w:t>
      </w:r>
    </w:p>
    <w:p>
      <w:pPr>
        <w:pStyle w:val="Para 02"/>
      </w:pPr>
      <w:r>
        <w:t xml:space="preserve">11 июля, </w:t>
        <w:t xml:space="preserve">два </w:t>
        <w:t>дня спустя, полковник Монтуа Полицейской Группы Центр, включавше</w:t>
        <w:t xml:space="preserve">й </w:t>
        <w:t>Полицейские Батальоны 316 и 322, издал следующий приказ:</w:t>
      </w:r>
    </w:p>
    <w:p>
      <w:pPr>
        <w:pStyle w:val="Para 33"/>
      </w:pPr>
      <w:r>
        <w:t/>
      </w:r>
    </w:p>
    <w:p>
      <w:pPr>
        <w:pStyle w:val="Para 15"/>
      </w:pPr>
      <w:r>
        <w:rPr>
          <w:rStyle w:val="Text6"/>
        </w:rPr>
        <w:t/>
      </w:r>
      <w:r>
        <w:t>«Конфиденциально!</w:t>
      </w:r>
      <w:r>
        <w:rPr>
          <w:rStyle w:val="Text6"/>
        </w:rPr>
        <w:t xml:space="preserve"> </w:t>
      </w:r>
    </w:p>
    <w:p>
      <w:pPr>
        <w:pStyle w:val="Para 04"/>
      </w:pPr>
      <w:r>
        <w:t xml:space="preserve">1. По приказу </w:t>
        <w:t xml:space="preserve">Высшего </w:t>
        <w:t>Руководителя</w:t>
        <w:t xml:space="preserve"> СС и Полиции ... все мужчины-евреи возрастом от 17 до 45, осуждённые как грабители, в соответствии с военным законом, должны быть расстреляны. Расстрелы проводить вдали от городов, дерев</w:t>
        <w:t>ень</w:t>
        <w:t xml:space="preserve"> и дорог. Могилы сравнивать с землёй, дабы не возникли места для паломничества. Я запрещаю фотографирование и </w:t>
        <w:t xml:space="preserve">присутствие </w:t>
        <w:t xml:space="preserve">наблюдателей на казнях. Казни и места захоронений должны </w:t>
        <w:t xml:space="preserve">оставаться </w:t>
        <w:t>в тайне.</w:t>
      </w:r>
    </w:p>
    <w:p>
      <w:pPr>
        <w:pStyle w:val="Para 04"/>
      </w:pPr>
      <w:r>
        <w:t xml:space="preserve">2. Командиры батальонов и рот должны предоставить духовную помощь людям, участвующим в этом действии. </w:t>
        <w:t>Р</w:t>
        <w:t>азвлечения по вечерам должны затмить впечатления дней. Людей следует постоянно инструктировать о политической необходимости подобных мер».</w:t>
      </w:r>
      <w:hyperlink w:anchor="__40">
        <w:r>
          <w:rPr>
            <w:rStyle w:val="Text2"/>
          </w:rPr>
          <w:bookmarkStart w:id="63" w:name="40"/>
          <w:t>40</w:t>
          <w:bookmarkEnd w:id="63"/>
        </w:r>
      </w:hyperlink>
      <w:r>
        <w:rPr>
          <w:rStyle w:val="Text3"/>
        </w:rPr>
        <w:t xml:space="preserve"> </w:t>
      </w:r>
      <w:r>
        <w:t xml:space="preserve"> </w:t>
      </w:r>
    </w:p>
    <w:p>
      <w:pPr>
        <w:pStyle w:val="Para 34"/>
      </w:pPr>
      <w:r>
        <w:t/>
      </w:r>
    </w:p>
    <w:p>
      <w:pPr>
        <w:pStyle w:val="Para 05"/>
      </w:pPr>
      <w:r>
        <w:rPr>
          <w:rStyle w:val="Text6"/>
        </w:rPr>
        <w:t/>
      </w:r>
      <w:r>
        <w:t>Журнал боевых действий странным образом умалчивает о событиях в Белостоке после приказов Монтуа, но последующие суды в Германии приоткрыли завесу тайны.</w:t>
      </w:r>
      <w:hyperlink w:anchor="__41">
        <w:r>
          <w:rPr>
            <w:rStyle w:val="Text2"/>
          </w:rPr>
          <w:bookmarkStart w:id="64" w:name="41"/>
          <w:t>41</w:t>
          <w:bookmarkEnd w:id="64"/>
        </w:r>
      </w:hyperlink>
      <w:r>
        <w:rPr>
          <w:rStyle w:val="Text3"/>
        </w:rPr>
        <w:t xml:space="preserve"> </w:t>
      </w:r>
      <w:r>
        <w:t xml:space="preserve"> </w:t>
        <w:t xml:space="preserve"> Естественно, не было расследований, судов и приговоров для так называемых «грабителей». </w:t>
        <w:t>12</w:t>
        <w:t xml:space="preserve"> июля мужчины-евреи — кто выглядел на возраст между 17 и 45 — были просто захвачены и доставлены на стадион в Белостоке. Когда тот почти заполнился, </w:t>
        <w:t xml:space="preserve">его посетил </w:t>
        <w:t>Высший Руководитель СС и Полиции</w:t>
        <w:t xml:space="preserve"> </w:t>
        <w:t xml:space="preserve">Бах-Зелевски, и у евреев отобрали все ценности. Это был жаркий день, в течении которого никто из </w:t>
        <w:t>захваченных</w:t>
        <w:t xml:space="preserve"> </w:t>
        <w:t>не получал ни вод</w:t>
        <w:t>ы</w:t>
        <w:t>, ни доступ</w:t>
        <w:t>а</w:t>
        <w:t xml:space="preserve"> в туалет. </w:t>
      </w:r>
      <w:r>
        <w:rPr>
          <w:rStyle w:val="Text6"/>
        </w:rPr>
        <w:t xml:space="preserve"> </w:t>
      </w:r>
    </w:p>
    <w:p>
      <w:pPr>
        <w:pStyle w:val="Para 02"/>
      </w:pPr>
      <w:r>
        <w:t xml:space="preserve">В </w:t>
        <w:t>тот же день</w:t>
        <w:t xml:space="preserve"> или на следующее утро челночным методо</w:t>
        <w:t>м</w:t>
        <w:t xml:space="preserve"> грузовики из обоих батальонов начали перевозить евреев со стадиона к противотанковым траншеям в лесу </w:t>
        <w:t>за чертой</w:t>
        <w:t xml:space="preserve"> города. Большая часть батальона 316 и одна рота 322 охраняли зону расстрела и формировали расстрельные </w:t>
        <w:t>команды</w:t>
        <w:t xml:space="preserve">. Бах-Зелевски снова появился на сцене и дал оправдательную речь. </w:t>
        <w:t>Управиться с расстрелами до темноты не удалось</w:t>
        <w:t xml:space="preserve">, и полицейские </w:t>
        <w:t>по</w:t>
        <w:t xml:space="preserve">пытались продолжить под светом фар грузовиков. Когда эта мера показала себя неудовлетворительной, расстрелы временно </w:t>
        <w:t>при</w:t>
        <w:t xml:space="preserve">остановили и продолжили на следующий день. Немецкие суды заключили, что убили как минимум 3 000 евреев — однако надо держать в уме, что для удобства судебной системы такие цифры всегда представляют собой </w:t>
        <w:t xml:space="preserve">минимально неоспоримое </w:t>
        <w:t xml:space="preserve">количество жертв, а не наиболее вероятное. </w:t>
        <w:t xml:space="preserve">Таким образом, </w:t>
        <w:t>проблема</w:t>
        <w:t xml:space="preserve"> </w:t>
        <w:t xml:space="preserve">оценки численности </w:t>
        <w:t>исключается из судебного спора</w:t>
        <w:t>.</w:t>
      </w:r>
    </w:p>
    <w:p>
      <w:pPr>
        <w:pStyle w:val="Para 02"/>
      </w:pPr>
      <w:r>
        <w:t xml:space="preserve">Убийственная кампания против </w:t>
        <w:t>советс</w:t>
        <w:t>ких евреев ускорилась к концу лета 1941-</w:t>
        <w:t>го</w:t>
        <w:t xml:space="preserve">, </w:t>
        <w:t>а</w:t>
        <w:t xml:space="preserve"> военный дневник</w:t>
        <w:t xml:space="preserve"> Полицейского Батальона 322 раскрывает их дальнейшую вовлеченность. 23 июля батальон перешёл из под командования тыловой армии: «</w:t>
        <w:t>д</w:t>
        <w:t xml:space="preserve">ля исполнения неотложных задач батальона, он переходит под прямое командование Высшего </w:t>
        <w:t>Руководителя</w:t>
        <w:t xml:space="preserve"> СС и Полиции группенфюрера фон дем Баха».</w:t>
      </w:r>
      <w:hyperlink w:anchor="__42">
        <w:r>
          <w:rPr>
            <w:rStyle w:val="Text2"/>
          </w:rPr>
          <w:bookmarkStart w:id="65" w:name="42"/>
          <w:t>42</w:t>
          <w:bookmarkEnd w:id="65"/>
        </w:r>
      </w:hyperlink>
      <w:r>
        <w:rPr>
          <w:rStyle w:val="Text3"/>
        </w:rPr>
        <w:t xml:space="preserve"> </w:t>
      </w:r>
      <w:r>
        <w:t xml:space="preserve"> </w:t>
        <w:t xml:space="preserve"> В августе</w:t>
        <w:t xml:space="preserve"> три роты Полицейского Батальона 322 переместились из Белостока в Минск. </w:t>
        <w:t>По пути туда л</w:t>
        <w:t xml:space="preserve">ейтенант третьей роты Рибель </w:t>
        <w:t>[Riebel]</w:t>
        <w:t xml:space="preserve"> особенно отличился в убийстве евреев. Журнал боевых действий говорит следующее о чистках </w:t>
        <w:t>2</w:t>
        <w:t xml:space="preserve"> августа в лесах </w:t>
        <w:t>около</w:t>
        <w:t xml:space="preserve"> Беловежа</w:t>
        <w:t xml:space="preserve"> [Białowieża]</w:t>
        <w:t>: «Третья рота должна закончить ликвидацию евреев до отправки».</w:t>
      </w:r>
      <w:hyperlink w:anchor="__43">
        <w:r>
          <w:rPr>
            <w:rStyle w:val="Text2"/>
          </w:rPr>
          <w:bookmarkStart w:id="66" w:name="43"/>
          <w:t>43</w:t>
          <w:bookmarkEnd w:id="66"/>
        </w:r>
      </w:hyperlink>
      <w:r>
        <w:rPr>
          <w:rStyle w:val="Text3"/>
        </w:rPr>
        <w:t xml:space="preserve"> </w:t>
      </w:r>
      <w:r>
        <w:t xml:space="preserve"> Рибель после рапортовал: «В ранние часы 10 августа третьей ротой была произведена ликвидация евреев, расположенных в лагере сбора заключённых. Семьдесят семь мужчин-евреев возрастом от 16 до 45 расстреляны. Инцидентов не возникло, ни единого случая сопротивления».</w:t>
      </w:r>
      <w:hyperlink w:anchor="__44">
        <w:r>
          <w:rPr>
            <w:rStyle w:val="Text2"/>
          </w:rPr>
          <w:bookmarkStart w:id="67" w:name="44"/>
          <w:t>44</w:t>
          <w:bookmarkEnd w:id="67"/>
        </w:r>
      </w:hyperlink>
      <w:r>
        <w:rPr>
          <w:rStyle w:val="Text3"/>
        </w:rPr>
        <w:t xml:space="preserve"> </w:t>
      </w:r>
      <w:r>
        <w:t xml:space="preserve"> Это не было </w:t>
        <w:t>исключительным</w:t>
        <w:t xml:space="preserve"> случаем, пять дней спустя Рибель рапортовал: «15 августа 1941, третья рота занималась еврейским делом. 259 женщин и 162 ребёнка отправлены в Кобрин </w:t>
        <w:t>[Кобрын]</w:t>
        <w:t>. Всего за 15 августа 1941 расстреляны один поляк за мародёрство и 232 еврея. Казнь евреев прошла гладко и без инцидентов».</w:t>
      </w:r>
      <w:hyperlink w:anchor="__45">
        <w:r>
          <w:rPr>
            <w:rStyle w:val="Text2"/>
          </w:rPr>
          <w:bookmarkStart w:id="68" w:name="45"/>
          <w:t>45</w:t>
          <w:bookmarkEnd w:id="68"/>
        </w:r>
      </w:hyperlink>
      <w:r>
        <w:rPr>
          <w:rStyle w:val="Text3"/>
        </w:rPr>
        <w:t xml:space="preserve"> </w:t>
      </w:r>
      <w:r>
        <w:t xml:space="preserve"> </w:t>
      </w:r>
    </w:p>
    <w:p>
      <w:pPr>
        <w:pStyle w:val="Para 02"/>
      </w:pPr>
      <w:r>
        <w:t>К концу августа батальон прибыл в Минск, и 29 числа там встретились Бах-Зелевски и Далюге.</w:t>
      </w:r>
      <w:hyperlink w:anchor="__46">
        <w:r>
          <w:rPr>
            <w:rStyle w:val="Text2"/>
          </w:rPr>
          <w:bookmarkStart w:id="69" w:name="46"/>
          <w:t>46</w:t>
          <w:bookmarkEnd w:id="69"/>
        </w:r>
      </w:hyperlink>
      <w:r>
        <w:rPr>
          <w:rStyle w:val="Text3"/>
        </w:rPr>
        <w:t xml:space="preserve"> </w:t>
      </w:r>
      <w:r>
        <w:t xml:space="preserve"> Как и ранее в Белостоке их встреча </w:t>
        <w:t>стала</w:t>
        <w:t xml:space="preserve"> прелюдией для участия Полиции Порядка в крупном массовом убийстве евреев. 30 августа командир батальона Майор Нагель был вызван для обсуждения «простого еврейского вопроса», запланированного на 31 августа и 1 сентября. Батальон должен был предоставить две роты.</w:t>
      </w:r>
      <w:hyperlink w:anchor="__47">
        <w:r>
          <w:rPr>
            <w:rStyle w:val="Text2"/>
          </w:rPr>
          <w:bookmarkStart w:id="70" w:name="47"/>
          <w:t>47</w:t>
          <w:bookmarkEnd w:id="70"/>
        </w:r>
      </w:hyperlink>
      <w:r>
        <w:rPr>
          <w:rStyle w:val="Text3"/>
        </w:rPr>
        <w:t xml:space="preserve"> </w:t>
      </w:r>
      <w:r>
        <w:t xml:space="preserve"> </w:t>
      </w:r>
    </w:p>
    <w:p>
      <w:pPr>
        <w:pStyle w:val="Para 02"/>
      </w:pPr>
      <w:r>
        <w:t xml:space="preserve">31 августа две роты Полицейского Батальона 322 (теперь под названием 7 и 9 роты Полиции Группы Центр) выдвинулись в минское гетто, где захватили около 700 евреев, </w:t>
        <w:t>из них</w:t>
        <w:t xml:space="preserve"> 74 женщин</w:t>
        <w:t>ы</w:t>
        <w:t>. На следующий день девятая рота Рибеля приняла участие в казни более чем 900 евреев, включая захвачен</w:t>
        <w:t>ных</w:t>
        <w:t xml:space="preserve"> днём ранее. Автор </w:t>
        <w:t xml:space="preserve">военного дневника </w:t>
        <w:t xml:space="preserve">посчитал нужным предоставить оправдание первому расстрелу большого количества еврейских женщин: «во время облавы они были замечены без </w:t>
        <w:t>еврейских звёзд</w:t>
      </w:r>
      <w:hyperlink w:anchor="__48">
        <w:r>
          <w:rPr>
            <w:rStyle w:val="Text2"/>
          </w:rPr>
          <w:bookmarkStart w:id="71" w:name="48"/>
          <w:t>48</w:t>
          <w:bookmarkEnd w:id="71"/>
        </w:r>
      </w:hyperlink>
      <w:r>
        <w:rPr>
          <w:rStyle w:val="Text3"/>
        </w:rPr>
        <w:t xml:space="preserve"> </w:t>
      </w:r>
      <w:r>
        <w:t xml:space="preserve"> </w:t>
        <w:t xml:space="preserve"> </w:t>
        <w:t>... Так же в Минске было замечено, что женщины особенно часто избавлялись от знаков отличия на своей одежде».</w:t>
      </w:r>
      <w:hyperlink w:anchor="__49">
        <w:r>
          <w:rPr>
            <w:rStyle w:val="Text2"/>
          </w:rPr>
          <w:bookmarkStart w:id="72" w:name="49"/>
          <w:t>49</w:t>
          <w:bookmarkEnd w:id="72"/>
        </w:r>
      </w:hyperlink>
      <w:r>
        <w:rPr>
          <w:rStyle w:val="Text3"/>
        </w:rPr>
        <w:t xml:space="preserve"> </w:t>
      </w:r>
      <w:r>
        <w:t xml:space="preserve"> Стремясь получить награду за свои заслуги, Рибель покорно рапортовал: «В деле евреев </w:t>
        <w:t>от</w:t>
        <w:t xml:space="preserve"> 1 сентября захваченные 31 августа </w:t>
        <w:t>евреи</w:t>
        <w:t xml:space="preserve"> были </w:t>
        <w:t>расстреляны</w:t>
        <w:t xml:space="preserve"> девятой ротой. 290 мужчин и 40 женщин. Казнь прошла гладко, никто не сопротивлялся».</w:t>
      </w:r>
      <w:hyperlink w:anchor="__50">
        <w:r>
          <w:rPr>
            <w:rStyle w:val="Text2"/>
          </w:rPr>
          <w:bookmarkStart w:id="73" w:name="50"/>
          <w:t>50</w:t>
          <w:bookmarkEnd w:id="73"/>
        </w:r>
      </w:hyperlink>
      <w:r>
        <w:rPr>
          <w:rStyle w:val="Text3"/>
        </w:rPr>
        <w:t xml:space="preserve"> </w:t>
      </w:r>
      <w:r>
        <w:t xml:space="preserve"> </w:t>
      </w:r>
    </w:p>
    <w:p>
      <w:pPr>
        <w:pStyle w:val="Para 02"/>
      </w:pPr>
      <w:r>
        <w:t>В последующих акциях</w:t>
      </w:r>
      <w:hyperlink w:anchor="__51">
        <w:r>
          <w:rPr>
            <w:rStyle w:val="Text2"/>
          </w:rPr>
          <w:bookmarkStart w:id="74" w:name="51"/>
          <w:t>51</w:t>
          <w:bookmarkEnd w:id="74"/>
        </w:r>
      </w:hyperlink>
      <w:r>
        <w:rPr>
          <w:rStyle w:val="Text3"/>
        </w:rPr>
        <w:t xml:space="preserve"> </w:t>
      </w:r>
      <w:r>
        <w:t xml:space="preserve"> в Могил</w:t>
        <w:t>ё</w:t>
        <w:t xml:space="preserve">ве </w:t>
        <w:t xml:space="preserve">[Магілёў] </w:t>
        <w:t xml:space="preserve">в </w:t>
        <w:t>начале</w:t>
        <w:t xml:space="preserve"> октябр</w:t>
        <w:t>я</w:t>
        <w:t xml:space="preserve"> объяснений </w:t>
        <w:t>необходимост</w:t>
        <w:t xml:space="preserve">и </w:t>
        <w:t>казн</w:t>
        <w:t>ей</w:t>
        <w:t xml:space="preserve"> женщин уже не требовал</w:t>
        <w:t>о</w:t>
        <w:t xml:space="preserve">сь. Журнал боевых действий от 2 октября говорит: «9 октября. С 3:30 дня, </w:t>
        <w:t>рота в полном составе</w:t>
        <w:t>. Еврейский вопрос в гетто Могил</w:t>
        <w:t>ё</w:t>
        <w:t xml:space="preserve">ва, совместно со штабом Высшего </w:t>
        <w:t>Руководителя</w:t>
        <w:t xml:space="preserve"> СС и Полиции Группы Центр и Украинской вспомогательной полиции: захвачено 2 208 евреев обоих полов, 65 расстелены на месте за попытку бегства». На следующий день: «Седьмая и девятая рота вместе со штабом Высшего </w:t>
        <w:t>Руководителя</w:t>
        <w:t xml:space="preserve"> СС и Полиции Группы Центр — казнь 2 208 евреев и евреек за городом Могилев, недалеко от лесного лагеря (расстрелы седьмой ротой — 378, девятой — 545).</w:t>
      </w:r>
      <w:hyperlink w:anchor="__52">
        <w:r>
          <w:rPr>
            <w:rStyle w:val="Text2"/>
          </w:rPr>
          <w:bookmarkStart w:id="75" w:name="52"/>
          <w:t>52</w:t>
          <w:bookmarkEnd w:id="75"/>
        </w:r>
      </w:hyperlink>
      <w:r>
        <w:rPr>
          <w:rStyle w:val="Text3"/>
        </w:rPr>
        <w:t xml:space="preserve"> </w:t>
      </w:r>
      <w:r>
        <w:t xml:space="preserve"> </w:t>
      </w:r>
    </w:p>
    <w:p>
      <w:pPr>
        <w:pStyle w:val="Para 05"/>
      </w:pPr>
      <w:r>
        <w:t xml:space="preserve"> Деятельность полицейских батальонов в центральном регионе </w:t>
        <w:t>СССР</w:t>
        <w:t xml:space="preserve"> нельзя назвать уникальной — </w:t>
        <w:t>р</w:t>
        <w:t xml:space="preserve">едкие дошедшие до нас документы указывают на схожую деятельность на юге и севере. Высший Руководитель СС и Полиции </w:t>
        <w:t>Г</w:t>
        <w:t xml:space="preserve">руппы Юг Еккельн Фридрих в </w:t>
        <w:t>своих</w:t>
        <w:t xml:space="preserve"> загадочных дневных рапортах </w:t>
        <w:t xml:space="preserve">был крайне аккуратен </w:t>
        <w:t>и точен</w:t>
        <w:t>. Под его командованием находил</w:t>
        <w:t>и</w:t>
        <w:t>сь пять полицейских батальон</w:t>
        <w:t>ов</w:t>
        <w:t xml:space="preserve"> — 304 и 320, а так же Польская Группа Юг — 45, 303 и 314. Таким образом, </w:t>
        <w:t xml:space="preserve">все, </w:t>
        <w:t>кроме одного состояли из молодых новобранцев. Из неполной коллекции его рапортов о</w:t>
        <w:t>б</w:t>
        <w:t xml:space="preserve"> их деятельности можно вывести следующее:</w:t>
      </w:r>
      <w:hyperlink w:anchor="__53">
        <w:r>
          <w:rPr>
            <w:rStyle w:val="Text2"/>
          </w:rPr>
          <w:bookmarkStart w:id="76" w:name="53"/>
          <w:t>53</w:t>
          <w:bookmarkEnd w:id="76"/>
        </w:r>
      </w:hyperlink>
      <w:r>
        <w:rPr>
          <w:rStyle w:val="Text3"/>
        </w:rPr>
        <w:t xml:space="preserve"> </w:t>
      </w:r>
      <w:r>
        <w:t xml:space="preserve"> </w:t>
      </w:r>
      <w:r>
        <w:rPr>
          <w:rStyle w:val="Text7"/>
        </w:rPr>
        <w:t xml:space="preserve"> </w:t>
      </w:r>
    </w:p>
    <w:tbl>
      <w:tblPr>
        <w:tblW w:type="dxa" w:w="9634"/>
      </w:tblP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Август 19</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Батальон 314 расстрелял 25 евреев. Батальон 45 в Славуте расстрелял 522.</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Август 22</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 xml:space="preserve">Батальон 45 расстрелял 66 и 471 еврея в двух </w:t>
              <w:t>операциях</w:t>
              <w:t>.</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Август 23</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Батальон 314 расстрелял 367 евреев в качестве «зачистки».</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Август 24</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Батальон 314 расстрелял 294 евреев, Батальон 45 расстрелял 61 еврея, и «полицейский эскадрон» (</w:t>
              <w:t>конная полиция</w:t>
              <w:t>) 113 евреев.</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Август 25</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Полицейская Группа Юг расстреляла 1 324 еврея.</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Август 27</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Согласно первому из двух рапортов, Полицейская Группа Юг расстреляла 549 евреев и Батальон 314 расстрелял 69 евреев. Во втором указывалось, что Полицейская Группа Юг расстреляла 914 евреев.</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Август 28</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Полицейская Группа Юг расстреляла 369 евреев.</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Август 29</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 xml:space="preserve">Батальон 320 предоставил «кордон», пока </w:t>
              <w:t>штатная рота</w:t>
              <w:t xml:space="preserve"> HSSPF расстрелял</w:t>
              <w:t>а</w:t>
              <w:t xml:space="preserve"> 15 000 евреев в Каменец-Подольске в августе 26-27 и ещё 7 000 в августе 28.</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Август 31</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 xml:space="preserve">Батальон 320 расстрелял 2200 евреев в Миньковцах. </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Сентябрь 1</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Полицейская Группа Юг расстрелял 88 евреев; Батальон 320 расстрелял 380.</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Сентябрь 2</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Полицейская Группа Юг расстреляла 45 евреев.</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Сентябрь 4</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Полицейская Группа Юг расстреляла 4 144 еврея.</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Сентябрь 6</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Полицейская Группа Юг расстреляла 144 еврея.</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Сентябрь 11</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Полицейская Группа Юг расстреляла 1 548 евреев.</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Сентябрь 12</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Полицейская Группа Юг расстреляла 1 255 евреев.</w:t>
            </w:r>
          </w:p>
        </w:tc>
      </w:tr>
      <w:tr>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Октябрь 5</w:t>
            </w:r>
          </w:p>
        </w:tc>
        <w:tc>
          <w:tcPr>
            <w:tcW w:type="auto" w:w="0"/>
            <w:tcBorders>
              <w:left w:val="single" w:sz="4" w:color="000000"/>
              <w:top w:val="single" w:sz="4" w:color="000000"/>
              <w:right w:val="single" w:sz="4" w:color="000000"/>
              <w:bottom w:val="single" w:sz="4" w:color="000000"/>
            </w:tcBorders>
            <w:tcMar>
              <w:left w:type="dxa" w:w="40"/>
              <w:top w:type="dxa" w:w="40"/>
              <w:right w:type="dxa" w:w="40"/>
              <w:bottom w:type="dxa" w:w="40"/>
            </w:tcMar>
            <w:vAlign w:val="center"/>
          </w:tcPr>
          <w:p>
            <w:pPr>
              <w:pStyle w:val="Para 07"/>
            </w:pPr>
            <w:r>
              <w:t>Полицейский Батальон 304 расстрелял 305 евреев.</w:t>
            </w:r>
          </w:p>
        </w:tc>
      </w:tr>
    </w:tbl>
    <w:p>
      <w:pPr>
        <w:pStyle w:val="Para 33"/>
      </w:pPr>
      <w:r>
        <w:t/>
      </w:r>
    </w:p>
    <w:p>
      <w:pPr>
        <w:pStyle w:val="Para 05"/>
      </w:pPr>
      <w:r>
        <w:rPr>
          <w:rStyle w:val="Text7"/>
        </w:rPr>
        <w:t/>
      </w:r>
      <w:r>
        <w:t xml:space="preserve">Послевоенные судебные допросы в Федеральной Республике Германия, несмотря на скудные данные журнала, раскрыли полосу убийств, оставленную Полицейскими Батальонами 45 и 314 на территории Советского Союза осенью 1941 </w:t>
        <w:t>г</w:t>
        <w:t xml:space="preserve">. </w:t>
        <w:t>24 июля П</w:t>
        <w:t xml:space="preserve">олицейский Батальон 45 достиг украинского города Шепетовка </w:t>
        <w:t xml:space="preserve">[Шепеті́вка], </w:t>
        <w:t>где их командир</w:t>
        <w:t xml:space="preserve"> </w:t>
        <w:t>м</w:t>
        <w:t xml:space="preserve">айор Бессер </w:t>
        <w:t xml:space="preserve">[Besser] </w:t>
        <w:t xml:space="preserve">был вызван Главой Полицейской Группы Юг Полковником Францем. </w:t>
        <w:t>Тот</w:t>
        <w:t xml:space="preserve"> сообщил Бессеру о приказе об уничтожении евреев на территории </w:t>
        <w:t>СССР</w:t>
        <w:t xml:space="preserve"> и о роли в этом Полицейского Батальона 45. За считанные дни батальон устроил казнь нескольких сотен оставшихся евреев </w:t>
        <w:t xml:space="preserve">Шепетовки, включая женщин и детей. </w:t>
        <w:t>В конце августа последовали к</w:t>
        <w:t>азни сот</w:t>
        <w:t>ен</w:t>
        <w:t xml:space="preserve"> людей </w:t>
        <w:t xml:space="preserve">в </w:t>
        <w:t xml:space="preserve">различных украинских городах. В сентябре батальон предоставлял кордон, эскорт и стрелков для казни тысяч евреев в Бердичеве </w:t>
        <w:t>[Берд</w:t>
        <w:t>и</w:t>
        <w:t xml:space="preserve">чів или Berdyczów] </w:t>
        <w:t xml:space="preserve">и Виннице </w:t>
        <w:t>[Вінниця]</w:t>
        <w:t>. Безжалостная деятельность батальона достигла своего пика 29 и 30 сентября в Киеве, где полицейские снова предоставили кордон, эскорт и стрелков для убийства более чем 33 0</w:t>
        <w:t>0</w:t>
        <w:t xml:space="preserve">0 евреев в урочище Бабий Яр </w:t>
        <w:t>[Бабин Яр]</w:t>
        <w:t xml:space="preserve">. До конца года батальон продолжал проводить небольшие казни — Хорол, Кременчуг </w:t>
        <w:t>[Кременчук]</w:t>
        <w:t>, Полтава.</w:t>
      </w:r>
      <w:hyperlink w:anchor="__54">
        <w:r>
          <w:rPr>
            <w:rStyle w:val="Text2"/>
          </w:rPr>
          <w:bookmarkStart w:id="77" w:name="54"/>
          <w:t>54</w:t>
          <w:bookmarkEnd w:id="77"/>
        </w:r>
      </w:hyperlink>
      <w:r>
        <w:rPr>
          <w:rStyle w:val="Text3"/>
        </w:rPr>
        <w:t xml:space="preserve"> </w:t>
      </w:r>
      <w:r>
        <w:t xml:space="preserve"> </w:t>
        <w:t xml:space="preserve"> 22 июля Полицейский Батальон 314 так же начал с относительно «небольших» казней </w:t>
        <w:t>исчислявшимися</w:t>
        <w:t xml:space="preserve"> сотнями жертв. </w:t>
        <w:t>В</w:t>
        <w:t xml:space="preserve"> сентябре 1941 </w:t>
        <w:t xml:space="preserve">г. </w:t>
        <w:t xml:space="preserve">он присоединился к Полицейскому Батальону 45 </w:t>
        <w:t>при</w:t>
        <w:t xml:space="preserve"> казни нескольких тысяч евреев в Виннице и расстрелял от 7 000 до 8 000 евреев в Днепропетровске 10-14 октября. Последний раскрытый расстрел датирован поздним январём 1942-</w:t>
        <w:t>го</w:t>
        <w:t xml:space="preserve"> в Харькове.</w:t>
      </w:r>
      <w:hyperlink w:anchor="__55">
        <w:r>
          <w:rPr>
            <w:rStyle w:val="Text2"/>
          </w:rPr>
          <w:bookmarkStart w:id="78" w:name="55"/>
          <w:t>55</w:t>
          <w:bookmarkEnd w:id="78"/>
        </w:r>
      </w:hyperlink>
      <w:r>
        <w:rPr>
          <w:rStyle w:val="Text3"/>
        </w:rPr>
        <w:t xml:space="preserve"> </w:t>
      </w:r>
      <w:r>
        <w:t xml:space="preserve"> </w:t>
      </w:r>
      <w:r>
        <w:rPr>
          <w:rStyle w:val="Text7"/>
        </w:rPr>
        <w:t xml:space="preserve"> </w:t>
      </w:r>
    </w:p>
    <w:p>
      <w:pPr>
        <w:pStyle w:val="Para 02"/>
      </w:pPr>
      <w:r>
        <w:t xml:space="preserve">Документация </w:t>
        <w:t>с юга</w:t>
        <w:t xml:space="preserve"> СССР</w:t>
        <w:t xml:space="preserve"> предоставляет лишь </w:t>
        <w:t>эпизод</w:t>
        <w:t xml:space="preserve"> из широкого и продолжительного участия отрядов Полиции Порядка в массовых расстрелах евреев, но не содержит в себе деталей. Документация об операции на севере прямо противоположна — </w:t>
        <w:t>з</w:t>
        <w:t xml:space="preserve">десь не ясен размах и черты, но мы имеем одно невероятно яркое описание операции Полицейского Батальона 11, дислоцированного с </w:t>
        <w:t>начала</w:t>
        <w:t xml:space="preserve"> июля 1941-</w:t>
        <w:t>го</w:t>
        <w:t xml:space="preserve"> в районе Ковно </w:t>
        <w:t>[Kaunas]</w:t>
        <w:t>. Его третья рота «охраняла» местное гетто.</w:t>
      </w:r>
      <w:hyperlink w:anchor="__56">
        <w:r>
          <w:rPr>
            <w:rStyle w:val="Text2"/>
          </w:rPr>
          <w:bookmarkStart w:id="79" w:name="56"/>
          <w:t>56</w:t>
          <w:bookmarkEnd w:id="79"/>
        </w:r>
      </w:hyperlink>
      <w:r>
        <w:rPr>
          <w:rStyle w:val="Text3"/>
        </w:rPr>
        <w:t xml:space="preserve"> </w:t>
      </w:r>
      <w:r>
        <w:t xml:space="preserve"> В середине октября командира батальона с двумя ротами Батальона 11 и двумя ротами вспомогательной литовской полиции послали в Минск. Офицеры 707 </w:t>
        <w:t>Д</w:t>
        <w:t xml:space="preserve">ивизии </w:t>
        <w:t>Б</w:t>
        <w:t xml:space="preserve">езопасности дали полицейским их первое задание (впоследствии те заявляли, что это было их первое </w:t>
        <w:t>задание</w:t>
        <w:t xml:space="preserve"> из двух): казнить всех евреев в деревне Смолевичи </w:t>
        <w:t>[Смалявічы]</w:t>
        <w:t xml:space="preserve"> к востоку от Минска, в качестве предупредительного удара и предостережения всему гражданскому населению не помогать партизанам. Командир батальона утверждал, что протестовал, но офицеры дивизии и её командир сказали ему, что полиция будет лишь предоставлять кордон, а расстрелы оставит литовцам. Резня в Смолевичах была проведена как и приказывалось.</w:t>
      </w:r>
    </w:p>
    <w:p>
      <w:pPr>
        <w:pStyle w:val="Para 02"/>
      </w:pPr>
      <w:r>
        <w:t xml:space="preserve">В конце октября две роты Полиции Порядка и их литовские вспомогательные </w:t>
        <w:t>подразделения</w:t>
        <w:t xml:space="preserve"> </w:t>
        <w:t xml:space="preserve">получили приказ от армии на ликвидацию всех евреев в Слуцке </w:t>
        <w:t>[Слуцак]</w:t>
        <w:t xml:space="preserve">, к югу от Минска, в городе с населением около 12 000, </w:t>
        <w:t>т</w:t>
        <w:t xml:space="preserve">реть </w:t>
        <w:t>е</w:t>
        <w:t xml:space="preserve">вреи. И снова такая мера преподносилась как средство устрашения для защиты немецких войск. Глава гражданской администрации </w:t>
        <w:t>рапортовал</w:t>
        <w:t xml:space="preserve"> своему начальнику Вильгельму Кубе в Минске о произошедшем в Слуцке 27 октября:</w:t>
      </w:r>
    </w:p>
    <w:p>
      <w:pPr>
        <w:pStyle w:val="Para 35"/>
      </w:pPr>
      <w:r>
        <w:t/>
      </w:r>
    </w:p>
    <w:p>
      <w:pPr>
        <w:pStyle w:val="Para 04"/>
      </w:pPr>
      <w:r>
        <w:rPr>
          <w:rStyle w:val="Text9"/>
        </w:rPr>
        <w:t/>
      </w:r>
      <w:r>
        <w:t xml:space="preserve"> Слуцк, 30 октября 1941</w:t>
      </w:r>
      <w:r>
        <w:rPr>
          <w:rStyle w:val="Text9"/>
        </w:rPr>
        <w:t xml:space="preserve"> </w:t>
      </w:r>
    </w:p>
    <w:p>
      <w:pPr>
        <w:pStyle w:val="Para 04"/>
      </w:pPr>
      <w:r>
        <w:t>Региональный Комиссар Слуцка</w:t>
      </w:r>
    </w:p>
    <w:p>
      <w:pPr>
        <w:pStyle w:val="Para 04"/>
      </w:pPr>
      <w:r>
        <w:t xml:space="preserve">Кому: </w:t>
        <w:t>Генеральному</w:t>
        <w:t xml:space="preserve"> Комиссару в Минске</w:t>
      </w:r>
    </w:p>
    <w:p>
      <w:pPr>
        <w:pStyle w:val="Para 04"/>
      </w:pPr>
      <w:r>
        <w:t>Тема: Еврейский вопрос</w:t>
      </w:r>
    </w:p>
    <w:p>
      <w:pPr>
        <w:pStyle w:val="Para 04"/>
      </w:pPr>
      <w:r>
        <w:t/>
      </w:r>
    </w:p>
    <w:p>
      <w:pPr>
        <w:pStyle w:val="Para 04"/>
      </w:pPr>
      <w:r>
        <w:t xml:space="preserve">В дополнение к моему докладу по телефону 27 октября 1941 </w:t>
        <w:t>г.</w:t>
        <w:t xml:space="preserve">, я прилагаю следующее в письме: </w:t>
      </w:r>
    </w:p>
    <w:p>
      <w:pPr>
        <w:pStyle w:val="Para 04"/>
      </w:pPr>
      <w:r>
        <w:t xml:space="preserve">Утром 27 октября около 8 </w:t>
        <w:t>часов</w:t>
        <w:t xml:space="preserve"> прибыл старший лейтенант Полицейского Батальона 11 из Ковно (Литва). Он представился как адъютант командующего батальоном Полиции Безопасности (</w:t>
      </w:r>
      <w:r>
        <w:rPr>
          <w:rStyle w:val="Text0"/>
        </w:rPr>
        <w:t>sic</w:t>
        <w:t>!</w:t>
      </w:r>
      <w:r>
        <w:t xml:space="preserve">). Старший лейтенант объявил, что согласно приказу, полицейский батальон обязан за два дня осуществить ликвидацию всех евреев Слуцка; </w:t>
        <w:t xml:space="preserve">что </w:t>
        <w:t xml:space="preserve">приближается командующий батальона с четырьмя ротами, две из которых литовские вспомогательные; а приступить к исполнению требуется немедленно. Я ответил старшему лейтенанту, что </w:t>
        <w:t>как бы то ни было</w:t>
        <w:t xml:space="preserve">, </w:t>
        <w:t>но</w:t>
        <w:t xml:space="preserve"> я </w:t>
        <w:t xml:space="preserve">сначала </w:t>
        <w:t xml:space="preserve">должен обсудить это с командующим. Примерно через полчаса полицейский батальон прибыл в Слуцк. Как </w:t>
        <w:t xml:space="preserve">я </w:t>
        <w:t>и запрашивал, разговор с командующим случился незамедлительно по его прибыти</w:t>
        <w:t>и</w:t>
        <w:t xml:space="preserve">. Я объяснил ему, что едва ли возможно выполнить подобный приказ без предварительной подготовки, потому как все евреи уже были посланы на работы и возникнет ужасная путаница. Ему следовало дать предупреждение как минимум за день. Затем я попросил его отложить выполнение на один день. Он, однако, отверг моё предложение, заметив, что ему необходимо провести подобные операции во множестве городов и на работу в Слуцке есть только два дня, к концу которых тот должен быть абсолютно свободен от евреев. Я незамедлительно подал резкий протест, в котором подчеркнул, что ликвидация евреев не может производиться сдуру. Большая часть оставшихся в городе евреев состояла из ремесленников и их семей, </w:t>
        <w:t>н</w:t>
        <w:t xml:space="preserve">ельзя так просто отказаться от их услуг — они необходимы для поддержки экономики. Далее я заметил, что белорусские ремесленники, были, по-простому говоря, абсолютно недоступны; следовательно, если убрать евреев, все жизненно необходимые предприятия парализует одним ударом. В заключение нашего разговора я упомянул, что ремесленники и специалисты, </w:t>
        <w:t>насколько они</w:t>
        <w:t xml:space="preserve"> были незаменимы, имели на руках документы, свидетельствующие об их работе в мастерских. Мы пришли к соглашению, </w:t>
        <w:t>по которому</w:t>
        <w:t xml:space="preserve"> все евреи в городе, особенно ремесленники и их семьи, которых я тоже не хотел отправлять на ликвидацию, прежде всего должны быть доставлены в гетто для сортировки . Провести сортировку были авторизованы два моих представителя. Командующий не противился моей позиции, </w:t>
        <w:t>поэтому</w:t>
        <w:t xml:space="preserve"> я </w:t>
        <w:t>по</w:t>
        <w:t>верил, что операция пройдёт согласно уговору.</w:t>
      </w:r>
    </w:p>
    <w:p>
      <w:pPr>
        <w:pStyle w:val="Para 04"/>
      </w:pPr>
      <w:r>
        <w:t>Проблемы п</w:t>
        <w:t>р</w:t>
        <w:t xml:space="preserve">оявились всего через пару часов. Мне стало известно, что командир не следует нашему уговору. Вопреки ему, с заводов и мастерских забирали всех евреев без исключений. Часть из них мне удалось отобрать в гетто, но большинство </w:t>
        <w:t xml:space="preserve">просто </w:t>
        <w:t xml:space="preserve">грузили в грузовики и без промедлений ликвидировали за </w:t>
        <w:t>чертой</w:t>
        <w:t xml:space="preserve"> города. </w:t>
        <w:t>П</w:t>
        <w:t xml:space="preserve">осле полудня </w:t>
        <w:t>ж</w:t>
        <w:t xml:space="preserve">алобы начали поступать из мастерских — они не были способны продолжать работу без еврейских ремесленников. </w:t>
        <w:t>К</w:t>
        <w:t xml:space="preserve">омандующий </w:t>
        <w:t xml:space="preserve">уже </w:t>
        <w:t xml:space="preserve">уехал в Барановичи </w:t>
        <w:t>[Баранавічы]</w:t>
        <w:t xml:space="preserve">, </w:t>
        <w:t xml:space="preserve">так что </w:t>
        <w:t xml:space="preserve">после долгих поисков я связался с заместителем — капитаном, и потребовал немедленно остановить происходящее, потому как мои инструкции </w:t>
        <w:t>нарушались</w:t>
        <w:t xml:space="preserve">, а урон экономике ни к чему хорошему не приведёт. Капитан был просто поражён моей позицией и объяснил, что получил приказ от командующего освободить город от евреев, не делая никаких исключений; </w:t>
        <w:t>ч</w:t>
        <w:t xml:space="preserve">истка основывается на политических причинах и не имеет ничего общего с экономическими. Благодаря моим активным вмешательствам, он всё же </w:t>
        <w:t xml:space="preserve">остановил операцию </w:t>
        <w:t>ближе к вечеру.</w:t>
      </w:r>
    </w:p>
    <w:p>
      <w:pPr>
        <w:pStyle w:val="Para 04"/>
      </w:pPr>
      <w:r>
        <w:t xml:space="preserve">Что ещё меня беспокоит — к своему глубочайшему сожалению я должен подчеркнуть — так это то, что происходящее граничит с садизмом. Во время чистки город представлял собой страшную картину. С неописуемой жестокостью немецкие полицейские, </w:t>
        <w:t>но</w:t>
        <w:t xml:space="preserve"> особенно литов</w:t>
        <w:t>ские</w:t>
        <w:t xml:space="preserve">, </w:t>
        <w:t xml:space="preserve">вытаскивали евреев и белорусов из жилищ и </w:t>
        <w:t xml:space="preserve">гнали </w:t>
        <w:t>толпой</w:t>
        <w:t xml:space="preserve">. По всему городу слышалась стрельба, на некоторых улицах лежали кучи трупов евреев. Белорусам с трудом удавалось не впутываться в эту ситуацию. Помимо жестокого, пугающего, варварского обращения с евреями прямо </w:t>
        <w:t>у них на глазах</w:t>
        <w:t>, белорусы и сами попадали под удар</w:t>
        <w:t>ы</w:t>
        <w:t xml:space="preserve"> жезлов и дубинок</w:t>
        <w:t xml:space="preserve">. Нельзя назвать это „еврейским </w:t>
        <w:t>делом“</w:t>
        <w:t xml:space="preserve">, больше похоже на революцию. Весь день я со своими представителями пытались спасти то, что ещё можно было спасти. Неоднократно мне приходилось выдворять немецкую и литовскую полицию из мастерских буквально под дулом револьвера. Мои жандармы занимались тем же, но из-за происходящей дикости на улице часто </w:t>
        <w:t xml:space="preserve">им </w:t>
        <w:t>приходилось прятаться, чтобы самим не попасть под пули. Все происходящее было более чем ужасным. Во второй половине дня на улиц</w:t>
        <w:t>ах</w:t>
        <w:t xml:space="preserve"> осталось много конных повозок без возни</w:t>
        <w:t>чих</w:t>
        <w:t xml:space="preserve">, </w:t>
        <w:t>поэтому</w:t>
        <w:t xml:space="preserve"> я приказал администрации разобраться с ними. Оказалось, что это были еврейские повозки, прикреплённые к армии для транспортировки амуниции. Евреев просто сняли с них, бросив повозки на улице.</w:t>
      </w:r>
    </w:p>
    <w:p>
      <w:pPr>
        <w:pStyle w:val="Para 04"/>
      </w:pPr>
      <w:r>
        <w:t xml:space="preserve">Я не присутствовал на расстрелах за городом, так что не могу ничего сказать об их жестокости, но достаточно сказать, что </w:t>
        <w:t xml:space="preserve">некоторые из расстрелянных </w:t>
        <w:t xml:space="preserve">часы спустя </w:t>
        <w:t>выкопали себя из могилы</w:t>
        <w:t>. Касаясь экономического ущерба я должен заметить, что сильнее всего был</w:t>
        <w:t>о</w:t>
        <w:t xml:space="preserve"> затронут</w:t>
        <w:t>о</w:t>
        <w:t xml:space="preserve"> кожевенное производство</w:t>
        <w:t xml:space="preserve">. </w:t>
        <w:t xml:space="preserve">На нём </w:t>
        <w:t xml:space="preserve">работало двадцать шесть </w:t>
        <w:t>специалистов</w:t>
        <w:t xml:space="preserve">. Одним махом пятнадцать лучших </w:t>
        <w:t xml:space="preserve">из них </w:t>
        <w:t xml:space="preserve">расстреляли. Ещё четверо сбежало из повозок. Семь ещё до захвата. Пятеро работали в колёсной мастерской — четверо мертвы, </w:t>
        <w:t>м</w:t>
        <w:t xml:space="preserve">астерская не сможет работать с одним мастером. Пропали и другие ремесленники — краснодеревщики, кузнецы и так далее. Пока что мне не удалось </w:t>
        <w:t>составить</w:t>
        <w:t xml:space="preserve"> детальную картину. Как я и упоминал в начале, семьи ремесленников должны были пощадить. Однако, как сегодня стало ясно, в каждой из семей есть пропавшие. Доклады приходят отовсюду: </w:t>
        <w:t>г</w:t>
        <w:t xml:space="preserve">де-то пропал ремесленник, где-то его жена, где-то дети. Таким образом, почти все семьи были разорваны. В таких обстоятельствах очень сомнительно, </w:t>
        <w:t>что</w:t>
        <w:t xml:space="preserve"> оставшиеся ремесленники будут испытывать энтузиазм и продуктивно работать — </w:t>
        <w:t>п</w:t>
        <w:t xml:space="preserve">ока </w:t>
        <w:t xml:space="preserve">что </w:t>
        <w:t xml:space="preserve">они ходят вокруг с кровавыми следами жестоких избиений. Белорусы, </w:t>
        <w:t>чьим доверием мы до этого пользовались</w:t>
        <w:t xml:space="preserve">, стоят повсюду в ошеломлении. Хоть они и запуганы, и не смеют высказывать своё мнение, </w:t>
        <w:t xml:space="preserve">всё же </w:t>
        <w:t xml:space="preserve">можно услышать, что этот день не </w:t>
        <w:t>станет триумфом для Германии</w:t>
        <w:t xml:space="preserve"> и никогда не будет забыт. Я придерживаюсь мнения, что подобная акция уничтожила множество достижений последних месяцев, и пройдёт немало времени, прежде чем на</w:t>
        <w:t>м</w:t>
        <w:t xml:space="preserve"> удастся снова </w:t>
        <w:t>завоевать</w:t>
        <w:t xml:space="preserve"> доверие населения. </w:t>
      </w:r>
    </w:p>
    <w:p>
      <w:pPr>
        <w:pStyle w:val="Para 04"/>
      </w:pPr>
      <w:r>
        <w:t>В заключение, я должен заметить, что во время этого события полиция разбойничала в самой возмутительной форме. Пострадали не только еврейские дома, но и много жилищ белорусов. Они забирали всё, что могло оказаться полезным — ботинки, кожу, текстиль, золото и прочие ценности. Согласно показаниям членов армии, с евреев срывали часы прямо на улице, кольца срывали с пальцев самым безжалостным образом. Од</w:t>
        <w:t>ин</w:t>
        <w:t xml:space="preserve"> старый казначей доложил, что полиция приказала еврейской девушке немедленно принести 5 000 рублей, и только после этого её отец будет отпущен. По слухам, девушка бегала повсюду в поисках денег. Бараки с еврейскими вещами в гетто, закрытые гражданской администрацией на доски и гвозди, полиция вскрыла и разворовала. Даже там, где располагался сам отряд, </w:t>
        <w:t xml:space="preserve">выдернули </w:t>
        <w:t xml:space="preserve">двери и оконные рамы и пустили </w:t>
        <w:t>их</w:t>
        <w:t xml:space="preserve"> на костры. Во вторник утром я говорил с адъютантом командующего о грабежах и получил от него обещание, что в город полиция заходить больше не будет, однако всего несколько часов спустя мне пришлось арестовать двух вооружённых литовцев, уличённых мно</w:t>
        <w:t>й</w:t>
        <w:t xml:space="preserve"> в мародёрстве. В ночь со вторника на среду батальон покинул город в направлении Барановичей. Население </w:t>
        <w:t>откровенно радовалось</w:t>
        <w:t xml:space="preserve"> их уходу. </w:t>
      </w:r>
    </w:p>
    <w:p>
      <w:pPr>
        <w:pStyle w:val="Para 04"/>
      </w:pPr>
      <w:r>
        <w:t xml:space="preserve">Больше докладывать не о чем. Я прибуду в Минск в ближайшем будущем в целях обсуждения этого вопроса лично. На данный момент я не могу продолжать заниматься «еврейским вопросом», </w:t>
        <w:t>с</w:t>
        <w:t xml:space="preserve">начала должен быть возвращён мир. </w:t>
        <w:t>Н</w:t>
        <w:t>есмотря на все сложности и ущерб экономике, надеюсь восстановить его как можно скорее. Сейчас я могу попросить лишь об одном: „в будущем, постарайтесь изо всех сил избавить меня от этого полицейского батальона“».</w:t>
      </w:r>
    </w:p>
    <w:p>
      <w:pPr>
        <w:pStyle w:val="Para 04"/>
      </w:pPr>
      <w:r>
        <w:t>Карл.</w:t>
      </w:r>
      <w:hyperlink w:anchor="__57">
        <w:r>
          <w:rPr>
            <w:rStyle w:val="Text2"/>
          </w:rPr>
          <w:bookmarkStart w:id="80" w:name="57"/>
          <w:t>57</w:t>
          <w:bookmarkEnd w:id="80"/>
        </w:r>
      </w:hyperlink>
      <w:r>
        <w:rPr>
          <w:rStyle w:val="Text3"/>
        </w:rPr>
        <w:t xml:space="preserve"> </w:t>
      </w:r>
      <w:r>
        <w:t xml:space="preserve"> </w:t>
      </w:r>
    </w:p>
    <w:p>
      <w:pPr>
        <w:pStyle w:val="Para 05"/>
      </w:pPr>
      <w:r>
        <w:rPr>
          <w:rStyle w:val="Text7"/>
        </w:rPr>
        <w:t/>
      </w:r>
      <w:r>
        <w:t xml:space="preserve">Хоть </w:t>
      </w:r>
      <w:r>
        <w:rPr>
          <w:rStyle w:val="Text0"/>
        </w:rPr>
        <w:t>подробной</w:t>
      </w:r>
      <w:r>
        <w:t xml:space="preserve"> документации об участии полицейских батальонов в массовых убийствах в </w:t>
        <w:t>Советском Союзе</w:t>
        <w:t xml:space="preserve"> нет, её достаточно для безоговорочного опровержения послевоенного алиби Далюге. Он якобы достиг соглашения с Гиммлером, по которому Полиция Порядка помогала Полиции Безопасности любыми методами, кроме как расстрелами. Это алиби, как и послевоенное заявление </w:t>
        <w:t>войск</w:t>
        <w:t xml:space="preserve"> СС, что они как и все остальные были обычными солдатами и не участвовали в идеологической программе СС, было успешно применено как минимум в одном судебном деле Полицейского Батальона 11. Защитники убедили суд, что только после двух казней — по приказу армии в районе Минска — им удалось исполнить «соглашение» Далюге об отзыве их в Ковно.</w:t>
      </w:r>
      <w:hyperlink w:anchor="__58">
        <w:r>
          <w:rPr>
            <w:rStyle w:val="Text2"/>
          </w:rPr>
          <w:bookmarkStart w:id="81" w:name="58"/>
          <w:t>58</w:t>
          <w:bookmarkEnd w:id="81"/>
        </w:r>
      </w:hyperlink>
      <w:r>
        <w:rPr>
          <w:rStyle w:val="Text3"/>
        </w:rPr>
        <w:t xml:space="preserve"> </w:t>
      </w:r>
      <w:r>
        <w:t xml:space="preserve"> </w:t>
      </w:r>
      <w:r>
        <w:rPr>
          <w:rStyle w:val="Text7"/>
        </w:rPr>
        <w:t xml:space="preserve"> </w:t>
      </w:r>
    </w:p>
    <w:p>
      <w:pPr>
        <w:pStyle w:val="Para 05"/>
      </w:pPr>
      <w:r>
        <w:rPr>
          <w:rStyle w:val="Text10"/>
        </w:rPr>
        <w:t/>
      </w:r>
      <w:r>
        <w:t xml:space="preserve">Как показывает документация, </w:t>
        <w:t xml:space="preserve">имелось прямое, всепроникающее участие </w:t>
        <w:t>Полици</w:t>
        <w:t xml:space="preserve">и </w:t>
        <w:t xml:space="preserve">Порядка в массовых казнях </w:t>
        <w:t>совет</w:t>
        <w:t>ских евреев летом и осенью 1941-</w:t>
        <w:t>го</w:t>
        <w:t xml:space="preserve"> под юрисдикцией глав Северной, Центральной и Южной групп СС (HSSPF), а так же в Белостоке. Более того, резня в Белостоке в середине июля произошла непосредственно после встречи Далюге, Гиммлера и Бах-Зелевски, а резня первого марта в Минске сразу после встречи Далюге и Баха. Очевидно, </w:t>
        <w:t xml:space="preserve">что </w:t>
        <w:t xml:space="preserve">Далюге не запрещал, </w:t>
        <w:t>а</w:t>
        <w:t xml:space="preserve"> подстрекал к участию Полиции Порядка к массовым убийствам.</w:t>
      </w:r>
      <w:r>
        <w:rPr>
          <w:rStyle w:val="Text10"/>
        </w:rPr>
        <w:t xml:space="preserve"> </w:t>
      </w:r>
    </w:p>
    <w:p>
      <w:pPr>
        <w:pStyle w:val="Para 05"/>
      </w:pPr>
      <w:r>
        <w:t xml:space="preserve"> Её вовлеченность в массовые расстрелы в </w:t>
        <w:t>СССР</w:t>
        <w:t xml:space="preserve"> после осени 1941-</w:t>
        <w:t>го</w:t>
        <w:t xml:space="preserve"> не так хорошо задокументирована и, скорее всего, </w:t>
        <w:t>случалась</w:t>
        <w:t xml:space="preserve"> реже. Большим исключением осенью 1942 </w:t>
        <w:t>г.</w:t>
        <w:t xml:space="preserve"> стало её участие в расстреле евреев в районе Пинска.</w:t>
      </w:r>
      <w:hyperlink w:anchor="__59">
        <w:r>
          <w:rPr>
            <w:rStyle w:val="Text2"/>
          </w:rPr>
          <w:bookmarkStart w:id="82" w:name="59"/>
          <w:t>59</w:t>
          <w:bookmarkEnd w:id="82"/>
        </w:r>
      </w:hyperlink>
      <w:r>
        <w:rPr>
          <w:rStyle w:val="Text3"/>
        </w:rPr>
        <w:t xml:space="preserve"> </w:t>
      </w:r>
      <w:r>
        <w:t xml:space="preserve"> </w:t>
        <w:t xml:space="preserve"> Во время военного кризиса зимы 1941-42 </w:t>
        <w:t>годов</w:t>
        <w:t xml:space="preserve"> многие полицейские батальоны вынужденно отправили на фронт, </w:t>
        <w:t>д</w:t>
        <w:t xml:space="preserve">ругим </w:t>
        <w:t xml:space="preserve">же </w:t>
        <w:t>пришлось бороться с растущим партизанским движением. Более того, в 1942-</w:t>
        <w:t>м</w:t>
        <w:t xml:space="preserve"> число рекрутов из местного населения во вспомогательные отряды </w:t>
        <w:t>Полиции Порядка возросло десятикратно — с 33 000 до 300 000.</w:t>
      </w:r>
      <w:hyperlink w:anchor="__60">
        <w:r>
          <w:rPr>
            <w:rStyle w:val="Text2"/>
          </w:rPr>
          <w:bookmarkStart w:id="83" w:name="60"/>
          <w:t>60</w:t>
          <w:bookmarkEnd w:id="83"/>
        </w:r>
      </w:hyperlink>
      <w:r>
        <w:rPr>
          <w:rStyle w:val="Text3"/>
        </w:rPr>
        <w:t xml:space="preserve"> </w:t>
      </w:r>
      <w:r>
        <w:t xml:space="preserve"> </w:t>
        <w:t xml:space="preserve"> Возникла тенденция перекладывать психологическую ношу с немецкой полиции на коллабора</w:t>
        <w:t>нтов</w:t>
        <w:t xml:space="preserve">, назначая на расстрелы именно их. Психологическая ноша была серьёзной и </w:t>
        <w:t>тяжёлой</w:t>
        <w:t xml:space="preserve"> даже для самого Бах-Зелевски — </w:t>
        <w:t>в</w:t>
        <w:t>есной 1942-</w:t>
        <w:t>го</w:t>
        <w:t xml:space="preserve"> </w:t>
        <w:t>д</w:t>
        <w:t>октор Гиммлера доложил Рейхсфюреру о выводящей из строя болезни Баха, заметив, что командир СС страдал «главным образом от зрелища проводимых им расстрелов евреев, а так же от других полученных на востоке тяжёлых переживаний».</w:t>
      </w:r>
      <w:hyperlink w:anchor="__61">
        <w:r>
          <w:rPr>
            <w:rStyle w:val="Text2"/>
          </w:rPr>
          <w:bookmarkStart w:id="84" w:name="61"/>
          <w:t>61</w:t>
          <w:bookmarkEnd w:id="84"/>
        </w:r>
      </w:hyperlink>
      <w:r>
        <w:rPr>
          <w:rStyle w:val="Text3"/>
        </w:rPr>
        <w:t xml:space="preserve"> </w:t>
      </w:r>
      <w:r>
        <w:t xml:space="preserve"> </w:t>
      </w:r>
      <w:r>
        <w:rPr>
          <w:rStyle w:val="Text7"/>
        </w:rPr>
        <w:t xml:space="preserve"> </w:t>
      </w:r>
    </w:p>
    <w:p>
      <w:pPr>
        <w:pStyle w:val="Heading 2"/>
      </w:pPr>
      <w:r>
        <w:bookmarkStart w:id="85" w:name="anchor12"/>
        <w:t/>
        <w:bookmarkEnd w:id="85"/>
        <w:t>Глава 4</w:t>
        <w:bookmarkStart w:id="86" w:name="anchor58"/>
        <w:t/>
        <w:bookmarkEnd w:id="86"/>
        <w:bookmarkStart w:id="87" w:name="anchor59"/>
        <w:t/>
        <w:bookmarkEnd w:id="87"/>
      </w:r>
    </w:p>
    <w:p>
      <w:pPr>
        <w:pStyle w:val="Para 11"/>
      </w:pPr>
      <w:r>
        <w:bookmarkStart w:id="88" w:name="anchor13"/>
        <w:t/>
        <w:bookmarkEnd w:id="88"/>
        <w:t xml:space="preserve">Полиция Порядка и </w:t>
        <w:t>Окончательное</w:t>
        <w:t xml:space="preserve"> Решение: Депортация</w:t>
      </w:r>
    </w:p>
    <w:p>
      <w:pPr>
        <w:pStyle w:val="Para 36"/>
      </w:pPr>
      <w:r>
        <w:t/>
      </w:r>
    </w:p>
    <w:p>
      <w:pPr>
        <w:pStyle w:val="Para 05"/>
      </w:pPr>
      <w:r>
        <w:rPr>
          <w:rStyle w:val="Text6"/>
        </w:rPr>
        <w:t/>
      </w:r>
      <w:r>
        <w:t xml:space="preserve">Со снижением роли Полиции Порядка в вырезании </w:t>
        <w:t>совет</w:t>
        <w:t>ских евреев осенью 1941-</w:t>
        <w:t>го</w:t>
        <w:t xml:space="preserve">, Далюге взялся за новое жизненно важное для </w:t>
        <w:t>Окончательно</w:t>
        <w:t xml:space="preserve">го Решения </w:t>
        <w:t>задание</w:t>
        <w:t xml:space="preserve"> — охрану депортационных поездов «на восток». В конце сентября 1941-</w:t>
        <w:t>го</w:t>
        <w:t xml:space="preserve"> Гитлер одобрил начало депортации евреев из Третьего Рейха. Организацией занимался Рейнхард Гейдрих при помощи его «эксперта по евреям» в Берлине Адольфа Эйхмана и региональных </w:t>
        <w:t>отделений</w:t>
        <w:t xml:space="preserve"> Полиции Безопасности по всей Германии.</w:t>
      </w:r>
      <w:hyperlink w:anchor="__62">
        <w:r>
          <w:rPr>
            <w:rStyle w:val="Text2"/>
          </w:rPr>
          <w:bookmarkStart w:id="89" w:name="62"/>
          <w:t>62</w:t>
          <w:bookmarkEnd w:id="89"/>
        </w:r>
      </w:hyperlink>
      <w:r>
        <w:rPr>
          <w:rStyle w:val="Text3"/>
        </w:rPr>
        <w:t xml:space="preserve"> </w:t>
      </w:r>
      <w:r>
        <w:t xml:space="preserve"> </w:t>
        <w:t xml:space="preserve"> Единственными исключениями на местном уровне стали Вена и Прага, где депортацией занимал</w:t>
        <w:t>о</w:t>
        <w:t>сь Центральн</w:t>
        <w:t>ое</w:t>
        <w:t xml:space="preserve"> Агентств</w:t>
        <w:t>о</w:t>
        <w:t xml:space="preserve"> по Эмиграции Евреев, созданн</w:t>
        <w:t>о</w:t>
        <w:t>е Эйхманом ещё до войны, состоявш</w:t>
        <w:t>е</w:t>
        <w:t xml:space="preserve">е из лично отобранных им людей. Практически сразу Гейдрих заключил с Далюге соглашение о разделении обязанностей. Полиция Порядка Далюге будет охранять транспортировку, организованную Полицией Безопасности Гейдриха. Обычно для каждой транспортировки она предоставляла одного офицера и пятнадцать </w:t>
        <w:t>рядовых</w:t>
        <w:t>.</w:t>
      </w:r>
      <w:hyperlink w:anchor="__63">
        <w:r>
          <w:rPr>
            <w:rStyle w:val="Text2"/>
          </w:rPr>
          <w:bookmarkStart w:id="90" w:name="63"/>
          <w:t>63</w:t>
          <w:bookmarkEnd w:id="90"/>
        </w:r>
      </w:hyperlink>
      <w:r>
        <w:rPr>
          <w:rStyle w:val="Text3"/>
        </w:rPr>
        <w:t xml:space="preserve"> </w:t>
      </w:r>
      <w:r>
        <w:t xml:space="preserve"> </w:t>
      </w:r>
      <w:r>
        <w:rPr>
          <w:rStyle w:val="Text6"/>
        </w:rPr>
        <w:t xml:space="preserve"> </w:t>
      </w:r>
    </w:p>
    <w:p>
      <w:pPr>
        <w:pStyle w:val="Para 02"/>
      </w:pPr>
      <w:r>
        <w:t xml:space="preserve">Каков был </w:t>
        <w:t>масштаб</w:t>
        <w:t xml:space="preserve"> этих операций? Между осенью 1941-</w:t>
        <w:t>го</w:t>
        <w:t xml:space="preserve"> и весной 1945-</w:t>
        <w:t>го</w:t>
        <w:t xml:space="preserve"> более 260 депортационных поездов отправили немецких, австрийских и чешских евреев прямиком в гетто и лагеря смерти «на востоке» (</w:t>
        <w:t>то есть</w:t>
        <w:t xml:space="preserve"> в Польшу и </w:t>
        <w:t>СССР</w:t>
        <w:t>), или в транзитное гетто Терезиенштадт к северу от Праги, а оттуда уже дальше «на восток».</w:t>
      </w:r>
      <w:hyperlink w:anchor="__64">
        <w:r>
          <w:rPr>
            <w:rStyle w:val="Text2"/>
          </w:rPr>
          <w:bookmarkStart w:id="91" w:name="64"/>
          <w:t>64</w:t>
          <w:bookmarkEnd w:id="91"/>
        </w:r>
      </w:hyperlink>
      <w:r>
        <w:rPr>
          <w:rStyle w:val="Text3"/>
        </w:rPr>
        <w:t xml:space="preserve"> </w:t>
      </w:r>
      <w:r>
        <w:t xml:space="preserve"> Как минимум 147 поездов из Венгрии, 87 из Нидерландов, 76 из Франции, 63 из Словакии, 27 из Бельгии, 23 из Греции, 11 из Италии, 7 из Болгарии и 6 из Хорватии — таким образом, под надзором немецкой охраны в какой-то момент своего путешествия находилось почти 450 дополнительных поездов из западной и южной Европы.</w:t>
      </w:r>
      <w:hyperlink w:anchor="__65">
        <w:r>
          <w:rPr>
            <w:rStyle w:val="Text2"/>
          </w:rPr>
          <w:bookmarkStart w:id="92" w:name="65"/>
          <w:t>65</w:t>
          <w:bookmarkEnd w:id="92"/>
        </w:r>
      </w:hyperlink>
      <w:r>
        <w:rPr>
          <w:rStyle w:val="Text3"/>
        </w:rPr>
        <w:t xml:space="preserve"> </w:t>
      </w:r>
      <w:r>
        <w:t xml:space="preserve"> Нет даже приблизительной оценк</w:t>
        <w:t>и</w:t>
        <w:t xml:space="preserve"> количества поездов, задействованных в депортации евреев из польских городов в местные лагеря смерти, но очевидно, что множество сотен. </w:t>
        <w:t>И</w:t>
        <w:t xml:space="preserve"> все они охранялись </w:t>
        <w:t>Полици</w:t>
        <w:t>ей Порядка.</w:t>
        <w:t xml:space="preserve"> </w:t>
      </w:r>
    </w:p>
    <w:p>
      <w:pPr>
        <w:pStyle w:val="Para 02"/>
      </w:pPr>
      <w:r>
        <w:t xml:space="preserve">Что это значило в контексте переживаний для самой Полиции Порядка? В Англии и Германии уже опубликован один красочный доклад лейтенанта Пола Салиттера </w:t>
        <w:t>[Paul Salitter]</w:t>
        <w:t xml:space="preserve"> об охране депортационного поезда из Дюссельдорфа в Ригу в декабре 1941 </w:t>
        <w:t>г</w:t>
        <w:t>.</w:t>
      </w:r>
      <w:hyperlink w:anchor="__66">
        <w:r>
          <w:rPr>
            <w:rStyle w:val="Text2"/>
          </w:rPr>
          <w:bookmarkStart w:id="93" w:name="66"/>
          <w:t>66</w:t>
          <w:bookmarkEnd w:id="93"/>
        </w:r>
      </w:hyperlink>
      <w:r>
        <w:rPr>
          <w:rStyle w:val="Text3"/>
        </w:rPr>
        <w:t xml:space="preserve"> </w:t>
      </w:r>
      <w:r>
        <w:t xml:space="preserve"> Два других раппорта о депортации поездом из Вены в Собибор и из Коломыя в Галиции в Белжец </w:t>
        <w:t>[Bełżec]</w:t>
        <w:t xml:space="preserve"> примечательны для понимания того, ч</w:t>
        <w:t>ем</w:t>
        <w:t xml:space="preserve"> именно более тысячи раз </w:t>
        <w:t>занимались</w:t>
        <w:t xml:space="preserve"> отряд</w:t>
        <w:t xml:space="preserve">ы </w:t>
        <w:t>Полиции Порядка. Сначала Венская транспортировка.</w:t>
      </w:r>
    </w:p>
    <w:p>
      <w:pPr>
        <w:pStyle w:val="Para 04"/>
      </w:pPr>
      <w:r>
        <w:t/>
      </w:r>
    </w:p>
    <w:p>
      <w:pPr>
        <w:pStyle w:val="Para 04"/>
      </w:pPr>
      <w:r>
        <w:t>152 Полицейский Участок Вена, 20 июня, 1942</w:t>
      </w:r>
    </w:p>
    <w:p>
      <w:pPr>
        <w:pStyle w:val="Para 16"/>
      </w:pPr>
      <w:r>
        <w:t>Отчёт об опыте</w:t>
      </w:r>
    </w:p>
    <w:p>
      <w:pPr>
        <w:pStyle w:val="Para 16"/>
      </w:pPr>
      <w:r>
        <w:t>Тема: транспортная команда для еврейского транспорта Вена - Аспангбанхоф</w:t>
      </w:r>
      <w:hyperlink w:anchor="__67">
        <w:r>
          <w:rPr>
            <w:rStyle w:val="Text2"/>
          </w:rPr>
          <w:bookmarkStart w:id="94" w:name="67"/>
          <w:t>67</w:t>
          <w:bookmarkEnd w:id="94"/>
        </w:r>
      </w:hyperlink>
      <w:r>
        <w:rPr>
          <w:rStyle w:val="Text3"/>
        </w:rPr>
        <w:t xml:space="preserve"> </w:t>
      </w:r>
      <w:r>
        <w:t xml:space="preserve"> в Собибор, </w:t>
        <w:t>1</w:t>
        <w:t>4 июня, 1942</w:t>
      </w:r>
    </w:p>
    <w:p>
      <w:pPr>
        <w:pStyle w:val="Para 04"/>
      </w:pPr>
      <w:r>
        <w:t/>
      </w:r>
    </w:p>
    <w:p>
      <w:pPr>
        <w:pStyle w:val="Para 04"/>
      </w:pPr>
      <w:r>
        <w:t xml:space="preserve">Транспортная команда состояла из лейтенанта запаса Фишманна </w:t>
        <w:t xml:space="preserve">[Fishmann] </w:t>
        <w:t xml:space="preserve">в качестве </w:t>
        <w:t>командира</w:t>
        <w:t xml:space="preserve">, двух сержантов и 13 полицейских запаса из Первой </w:t>
        <w:t>Резервный Роты Восток</w:t>
        <w:t xml:space="preserve">. В соответствии с предварительным телефонным запросом от гауптштурмфюрера СС Бруннера </w:t>
        <w:t>[Brunner]</w:t>
        <w:t xml:space="preserve">, команда заступила на службу 14 июня 1942 </w:t>
        <w:t>г.</w:t>
        <w:t xml:space="preserve"> в 11 утра в Аспангбанхофе.</w:t>
      </w:r>
    </w:p>
    <w:p>
      <w:pPr>
        <w:pStyle w:val="Para 04"/>
      </w:pPr>
      <w:r>
        <w:t>1. Погрузка евреев:</w:t>
      </w:r>
    </w:p>
    <w:p>
      <w:pPr>
        <w:pStyle w:val="Para 04"/>
      </w:pPr>
      <w:r>
        <w:t xml:space="preserve">Под управлением и надсмотром гауптштурмфюрера СС Бруннера и гауптштурмфюрера СС Гирзика </w:t>
        <w:t>[Girzik]</w:t>
        <w:t xml:space="preserve"> погрузка евреев в специальные поезда, ожидающие в Аспангбанхофе, началась в полдень и прошла гладко. К несению охранных обязанностей приступили без задержки. В общей сложности депортировали 1 000 евреев. Трансфер произошёл по расписанию в четыре часа дня. Из-за недостатка машин команде транспортировки пришлось довольствоваться автомобилями третьего класса вместо второго.</w:t>
      </w:r>
    </w:p>
    <w:p>
      <w:pPr>
        <w:pStyle w:val="Para 04"/>
      </w:pPr>
      <w:r>
        <w:t>2. Поездка из Вены в Собибор:</w:t>
      </w:r>
    </w:p>
    <w:p>
      <w:pPr>
        <w:pStyle w:val="Para 15"/>
      </w:pPr>
      <w:r>
        <w:t xml:space="preserve">Поезд 38 отбыл из Вены 14 июня 1942 </w:t>
        <w:t>г.</w:t>
        <w:t xml:space="preserve"> в 7:08 вечера, и вместо запланированного маршрута в Избицу, отправился в Собибор через Люнденбург [Břeclav], Брунн [Brno], Нейсе [</w:t>
        <w:t>Nysa</w:t>
        <w:t xml:space="preserve">], Оппельн [Opole], Ченстохову </w:t>
        <w:t>[Częstochowa]</w:t>
        <w:t>, Кельце</w:t>
        <w:t xml:space="preserve"> [Kielce]</w:t>
        <w:t xml:space="preserve">, Радом, Демблин </w:t>
        <w:t>[Dęblin]</w:t>
        <w:t xml:space="preserve">, Люблин </w:t>
        <w:t xml:space="preserve">и Хелм. Прибытие в Собибор 17 июня 1942 </w:t>
        <w:t xml:space="preserve">г </w:t>
        <w:t>в</w:t>
        <w:t xml:space="preserve"> 8:05 утра. </w:t>
        <w:t xml:space="preserve">Поезд прибыл </w:t>
        <w:t xml:space="preserve">в Люблин 16 июня в 9 вечера, </w:t>
        <w:t xml:space="preserve">где его уже ждал </w:t>
        <w:t xml:space="preserve">оберштурмфюрер СС Пол </w:t>
        <w:t xml:space="preserve">[Pohl]. </w:t>
        <w:t xml:space="preserve">Тот </w:t>
        <w:t xml:space="preserve">снял с транспорта 51 способного к работе еврея возрастом от 15 до 50 и отправил </w:t>
        <w:t>их</w:t>
        <w:t xml:space="preserve"> в трудовой лагерь. В тоже время он отдал приказ отправить остальных 949 евреев в трудовой лагерь Собибор. Полу передали два списка имён, три фургона вещей (вместе с запасами еды), а так же 100 000 злотых. В 11 вечера поезд отбыл из Люблина в Собибор. В 30 километрах от Люблина в еврейском лагере Травники фургоны с вещами и едой передали шарфюреру СС Майерхоферу.</w:t>
      </w:r>
      <w:r>
        <w:rPr>
          <w:rStyle w:val="Text7"/>
        </w:rPr>
        <w:t xml:space="preserve"> </w:t>
      </w:r>
    </w:p>
    <w:p>
      <w:pPr>
        <w:pStyle w:val="Para 04"/>
      </w:pPr>
      <w:r>
        <w:t>3. Доставка евреев в Собибор:</w:t>
      </w:r>
    </w:p>
    <w:p>
      <w:pPr>
        <w:pStyle w:val="Para 04"/>
      </w:pPr>
      <w:r>
        <w:t>1</w:t>
        <w:t>7</w:t>
        <w:t xml:space="preserve"> июня </w:t>
        <w:t>в</w:t>
        <w:t xml:space="preserve"> 8:15 утра, поезд прибыл на железнодорожную станцию трудового лагеря рядом с Собибором, где комендант лагеря старший лейтенант Штангль принял поставку 949 евреев. Разгрузка началась </w:t>
        <w:t>незамедлительно</w:t>
        <w:t xml:space="preserve"> и была закончена в 9:15 утра.</w:t>
      </w:r>
    </w:p>
    <w:p>
      <w:pPr>
        <w:pStyle w:val="Para 04"/>
      </w:pPr>
      <w:r>
        <w:t>4. Поездка из Собибора в Вену:</w:t>
      </w:r>
    </w:p>
    <w:p>
      <w:pPr>
        <w:pStyle w:val="Para 04"/>
      </w:pPr>
      <w:r>
        <w:t xml:space="preserve">Около 10 утра, сразу после разгрузки евреев, </w:t>
        <w:t xml:space="preserve">отправились обратно </w:t>
        <w:t xml:space="preserve">в специальном поезде. Прибыли в Люблин 18 июня </w:t>
        <w:t xml:space="preserve">в </w:t>
        <w:t xml:space="preserve">2:30 утра. Расходов на поездку потрачено не было. Из Люблина отправились 18 июня в 8:13 утра экспресс-поездом в Краков, куда </w:t>
        <w:t>добрались</w:t>
        <w:t xml:space="preserve"> в 5:30 вечера того же дня. В Кракове расквартировались вместе с третьей ротой Полицейского Резервного Батальона 74. 19 июня эта рота раздала рационы каждому из 16 человек. </w:t>
        <w:t xml:space="preserve">19 июня в 8:08 вечера в </w:t>
        <w:t>Краков</w:t>
        <w:t>е</w:t>
        <w:t xml:space="preserve"> сели на </w:t>
        <w:t xml:space="preserve">экспресс-поезд. Прибыли на восточную железнодорожную станцию Вены </w:t>
        <w:t xml:space="preserve">20 июня </w:t>
        <w:t>в 6:30 утра.</w:t>
      </w:r>
    </w:p>
    <w:p>
      <w:pPr>
        <w:pStyle w:val="Para 04"/>
      </w:pPr>
      <w:r>
        <w:t>5. Остановка транспортной команды в Кракове:</w:t>
      </w:r>
    </w:p>
    <w:p>
      <w:pPr>
        <w:pStyle w:val="Para 04"/>
      </w:pPr>
      <w:r>
        <w:t>Остановка продлилась 26 с половиной часов.</w:t>
      </w:r>
    </w:p>
    <w:p>
      <w:pPr>
        <w:pStyle w:val="Para 04"/>
      </w:pPr>
      <w:r>
        <w:t>6. Переход границы:</w:t>
      </w:r>
    </w:p>
    <w:p>
      <w:pPr>
        <w:pStyle w:val="Para 04"/>
      </w:pPr>
      <w:r>
        <w:t xml:space="preserve">Поезд специального назначения пересёк границу из Рейха в Генерал-губернаторство 15 июня в 1:45 дня, экспресс поезд на обратном маршруте 20 июня </w:t>
        <w:t xml:space="preserve">в </w:t>
        <w:t>12:15 утра.</w:t>
      </w:r>
    </w:p>
    <w:p>
      <w:pPr>
        <w:pStyle w:val="Para 04"/>
      </w:pPr>
      <w:r>
        <w:t>7. Провизия:</w:t>
      </w:r>
    </w:p>
    <w:p>
      <w:pPr>
        <w:pStyle w:val="Para 04"/>
      </w:pPr>
      <w:r>
        <w:t>Транспортной команде выделили холодные пайки на четыре дня. Они состояли из колбасы, хлеба, мармелада и масла, но этого было недостаточно. Пайки третьей роты Полицейского Резервного Батальона 74 были хороши и достаточны.</w:t>
      </w:r>
    </w:p>
    <w:p>
      <w:pPr>
        <w:pStyle w:val="Para 04"/>
      </w:pPr>
      <w:r>
        <w:t>8. Предложения:</w:t>
      </w:r>
    </w:p>
    <w:p>
      <w:pPr>
        <w:pStyle w:val="Para 04"/>
      </w:pPr>
      <w:r>
        <w:t>В будущем необходимо предоставлять транспортным командам походные пайки, потому как холодные не подходят для летнего периода. Колбасы — это была варёная колбаса — при получении 15 июня уже оказались вскрыты, и из-за риска прокисания пришлось их съесть ещё до третьего дня. На четвёртый день людям пришлось обходиться мармеладом, потому как из-за страшной жары в поезде масло протухло. Размер пайков был так же скуден.</w:t>
      </w:r>
    </w:p>
    <w:p>
      <w:pPr>
        <w:pStyle w:val="Para 04"/>
      </w:pPr>
      <w:r>
        <w:t>9. Инциденты:</w:t>
      </w:r>
    </w:p>
    <w:p>
      <w:pPr>
        <w:pStyle w:val="Para 04"/>
      </w:pPr>
      <w:r>
        <w:t xml:space="preserve">Инцидентов </w:t>
        <w:t>по</w:t>
        <w:t xml:space="preserve"> пути </w:t>
        <w:t xml:space="preserve">туда </w:t>
        <w:t>или обратно не произошло.</w:t>
      </w:r>
    </w:p>
    <w:p>
      <w:pPr>
        <w:pStyle w:val="Para 04"/>
      </w:pPr>
      <w:r>
        <w:t>(подписано) Фишманн</w:t>
      </w:r>
    </w:p>
    <w:p>
      <w:pPr>
        <w:pStyle w:val="Para 04"/>
      </w:pPr>
      <w:r>
        <w:t>Участковый лейтенант Полиции Охраны (Schutzpolizei)</w:t>
      </w:r>
      <w:hyperlink w:anchor="__68">
        <w:r>
          <w:rPr>
            <w:rStyle w:val="Text2"/>
          </w:rPr>
          <w:bookmarkStart w:id="95" w:name="68"/>
          <w:t>68</w:t>
          <w:bookmarkEnd w:id="95"/>
        </w:r>
      </w:hyperlink>
      <w:r>
        <w:rPr>
          <w:rStyle w:val="Text3"/>
        </w:rPr>
        <w:t xml:space="preserve"> </w:t>
      </w:r>
      <w:r>
        <w:t xml:space="preserve"> </w:t>
      </w:r>
    </w:p>
    <w:p>
      <w:pPr>
        <w:pStyle w:val="Para 04"/>
      </w:pPr>
      <w:r>
        <w:t/>
      </w:r>
    </w:p>
    <w:p>
      <w:pPr>
        <w:pStyle w:val="Para 05"/>
      </w:pPr>
      <w:r>
        <w:rPr>
          <w:rStyle w:val="Text6"/>
        </w:rPr>
        <w:t/>
      </w:r>
      <w:r>
        <w:t>Депортация ничего не подозревающих венских евреев, по большей части стариков и женщин, прошла с таким малым количеством происшествий, что Фишманн мог сконцентрироваться на таких трудностях, как получение авто третьего класса, недостаточных пайках, жаре летом и испортившемся масле. Никаких упоминаний, конечно же, о запертых в поезде на 61 час без еды и воды евреях. Однако Фишманн отдавал себе отчёт в действиях, так как предусмотрел, чтобы 949 евреев, отправленных якобы в трудовой лагерей, не имели доступа к своим вещам и еде. Газовые камеры Собибора располагались глубоко в лесу и не были видны с разгрузочных площадок. Вопреки отрицанию Полиции Порядка, Фишманн и его команда, судя по всему, входила в лагерь и наблюдала за разгрузкой.</w:t>
      </w:r>
      <w:r>
        <w:rPr>
          <w:rStyle w:val="Text6"/>
        </w:rPr>
        <w:t xml:space="preserve"> </w:t>
      </w:r>
    </w:p>
    <w:p>
      <w:pPr>
        <w:pStyle w:val="Para 02"/>
      </w:pPr>
      <w:r>
        <w:t xml:space="preserve">Полиция Порядка, охранявшая депортационный поезд из Коломыя </w:t>
        <w:t xml:space="preserve">[Kołomyja] </w:t>
        <w:t>в Галиции столкнулась с заметно большим количеством проблем. Действительно, в Галиции, где евреи подвергались резне летом и осенью 1941-</w:t>
        <w:t xml:space="preserve">го </w:t>
        <w:t>и застали первые волны депортации весной 1942-</w:t>
        <w:t>го</w:t>
        <w:t xml:space="preserve">, знали чего ожидать от депортаций </w:t>
        <w:t xml:space="preserve">в </w:t>
        <w:t>август</w:t>
        <w:t>е</w:t>
        <w:t xml:space="preserve">. В середине сентября 1942 </w:t>
        <w:t>г.</w:t>
        <w:t xml:space="preserve"> капитан Полиции Порядка Полицейского Резервного Батальона 133 </w:t>
        <w:t>из</w:t>
        <w:t xml:space="preserve"> П</w:t>
        <w:t>олицейско</w:t>
        <w:t>го</w:t>
        <w:t xml:space="preserve"> Подразделени</w:t>
        <w:t>я</w:t>
        <w:t xml:space="preserve"> </w:t>
        <w:t>24 рапортовал о впечатлениях от одной недели операции:</w:t>
      </w:r>
    </w:p>
    <w:p>
      <w:pPr>
        <w:pStyle w:val="Para 33"/>
      </w:pPr>
      <w:r>
        <w:t/>
      </w:r>
    </w:p>
    <w:p>
      <w:pPr>
        <w:pStyle w:val="Para 15"/>
      </w:pPr>
      <w:r>
        <w:rPr>
          <w:rStyle w:val="Text7"/>
        </w:rPr>
        <w:t/>
      </w:r>
      <w:r>
        <w:t>7./Пол. 24. Лемберг [Львов], 14 сентября 1942</w:t>
      </w:r>
      <w:r>
        <w:rPr>
          <w:rStyle w:val="Text7"/>
        </w:rPr>
        <w:t xml:space="preserve"> </w:t>
      </w:r>
    </w:p>
    <w:p>
      <w:pPr>
        <w:pStyle w:val="Para 04"/>
      </w:pPr>
      <w:r>
        <w:t xml:space="preserve">Кому: Командующему Полиции Порядка в </w:t>
        <w:t>округе</w:t>
        <w:t xml:space="preserve"> Галиции, Лемберг.</w:t>
      </w:r>
    </w:p>
    <w:p>
      <w:pPr>
        <w:pStyle w:val="Para 04"/>
      </w:pPr>
      <w:r>
        <w:t>Тема: Переселение евреев</w:t>
      </w:r>
    </w:p>
    <w:p>
      <w:pPr>
        <w:pStyle w:val="Para 04"/>
      </w:pPr>
      <w:r>
        <w:t xml:space="preserve">Вечером </w:t>
        <w:t>6</w:t>
        <w:t xml:space="preserve"> сентября седьмая рота Полицейского Полка </w:t>
        <w:t xml:space="preserve">24 </w:t>
        <w:t xml:space="preserve">согласно приказу прибыла в Коломыя после переселений </w:t>
        <w:t>3</w:t>
        <w:t xml:space="preserve"> и </w:t>
        <w:t xml:space="preserve">5 </w:t>
        <w:t>сентября в Сколе, Стрые и Ходорове, во главе которых стоял Капитан Полиции Охраны Кр</w:t>
        <w:t>е</w:t>
        <w:t xml:space="preserve">пелин </w:t>
        <w:t>[Kröpelin].</w:t>
        <w:t xml:space="preserve"> Подробный рапорт им уже составлен</w:t>
        <w:t xml:space="preserve">. Я незамедлительно связался с комиссаром Криминальной Полиции </w:t>
        <w:t>[</w:t>
        <w:t>Kriminalkommissar</w:t>
        <w:t>]</w:t>
        <w:t xml:space="preserve"> и оберштурмфюрером СС Лейтмарицем </w:t>
        <w:t>[Leitmaritz]</w:t>
        <w:t xml:space="preserve">, главой местного отделения Полиции Безопасности в Коломыя и старшим лейтенантом поста Полиции Охраны Коломыя Гертелом </w:t>
        <w:t>[Hertel]</w:t>
        <w:t>.</w:t>
      </w:r>
    </w:p>
    <w:p>
      <w:pPr>
        <w:pStyle w:val="Para 04"/>
      </w:pPr>
      <w:r>
        <w:t xml:space="preserve">Вразрез с опытом операции в Стрые </w:t>
        <w:t>[Stryj]</w:t>
        <w:t xml:space="preserve">, операцию </w:t>
        <w:t>7</w:t>
        <w:t xml:space="preserve"> сентября в Коломыя хорошо спланировали и подготовили — для участников сложности не представляла. Евреи были проинформированы вышеупомянутыми агентствами и Службой Труда о необходимости собраться на регистрацию в </w:t>
        <w:t>7</w:t>
        <w:t xml:space="preserve"> сентября 5:30 утра. Около 5 300 евреев действительно пришли в указанное время. С предоставленными мне силами мы оцепили еврейский квартал, обыскали его и захватили ещё около 600 евреев.</w:t>
      </w:r>
    </w:p>
    <w:p>
      <w:pPr>
        <w:pStyle w:val="Para 04"/>
      </w:pPr>
      <w:r>
        <w:t xml:space="preserve">Погрузка на транспортный поезд завершилась примерно в </w:t>
        <w:t>7</w:t>
        <w:t xml:space="preserve"> вечера. 4 769 евре</w:t>
        <w:t>ев</w:t>
        <w:t xml:space="preserve"> был</w:t>
        <w:t>о</w:t>
        <w:t xml:space="preserve"> переселен</w:t>
        <w:t>о</w:t>
        <w:t xml:space="preserve">, около 1 000 </w:t>
        <w:t>отпущено</w:t>
        <w:t xml:space="preserve">. В каждый вагон поместили сотню евреев. Жара в тот день сильно затруднила процесс </w:t>
        <w:t xml:space="preserve">и </w:t>
        <w:t xml:space="preserve">замедлила погрузку. После привычных заколачивания и запечатывания вагонов, поезд отправился в путь в Белжец около </w:t>
        <w:t>9</w:t>
        <w:t xml:space="preserve"> вечера. Охранялся одним офицером и девятью </w:t>
        <w:t>рядовыми</w:t>
        <w:t xml:space="preserve">. </w:t>
        <w:t>С</w:t>
        <w:t xml:space="preserve"> наступлением ночи </w:t>
        <w:t xml:space="preserve">заключённые </w:t>
        <w:t xml:space="preserve">сняли колючую проволоку, и </w:t>
        <w:t xml:space="preserve">многие евреи </w:t>
        <w:t xml:space="preserve">сбежали через отверстия для воздуха. Тогда как охране удалось многих застрелить на месте, большинство сбежавших были устранены той же ночью или на следующий день охраной железных путей или полицейскими отрядами. Несмотря на темноту и длину поезда, транспорт прибыл в Белжец без заслуживающих внимания инцидентов. Однако вернувшись 11 сентября в Станиславов, охранник шестой роты Полицейского Батальона 24 </w:t>
        <w:t>лично мне доложил</w:t>
        <w:t>, что охраны было явно недостаточно.</w:t>
      </w:r>
    </w:p>
    <w:p>
      <w:pPr>
        <w:pStyle w:val="Para 04"/>
      </w:pPr>
      <w:r>
        <w:t xml:space="preserve">8 сентября </w:t>
        <w:t xml:space="preserve">казнили </w:t>
        <w:t xml:space="preserve">слишком старых, больных, немощных и тех, кого уже не перевезти — всего около 300. Согласно приказу от </w:t>
        <w:t xml:space="preserve">4 </w:t>
        <w:t xml:space="preserve">сентября об использовании амуниции, о котором меня уведомили </w:t>
        <w:t xml:space="preserve">6 </w:t>
        <w:t xml:space="preserve">сентября, 90% казнили с помощью карабинов и винтовок, </w:t>
        <w:t>пистолеты использовали</w:t>
        <w:t xml:space="preserve"> т</w:t>
        <w:t>олько в отдельных случаях.</w:t>
      </w:r>
    </w:p>
    <w:p>
      <w:pPr>
        <w:pStyle w:val="Para 04"/>
      </w:pPr>
      <w:r>
        <w:t xml:space="preserve">8 и 10 сентября проведены операции в Кутах [Kuty], Косове [Kosov], Городенке [Horodenka], Заплатове [Zaplatov] и Снятыне [Śniatyn]. Около 1 500 евреев пришлось вести маршем примерно 50 километров от Куты или 35 километров от Косова до Коломыя, где их оставили на ночь во дворе тюрьмы Полиции Порядка вместе с другими собранными по региону евреями. В Городенке и Снятыне Полицией Порядка погружено по десять вагонов евреев. Тридцать вагонов в Коломые. Всего </w:t>
        <w:t>10</w:t>
        <w:t xml:space="preserve"> сентября поездом отправлено 8 205 еврея.</w:t>
      </w:r>
    </w:p>
    <w:p>
      <w:pPr>
        <w:pStyle w:val="Para 04"/>
      </w:pPr>
      <w:r>
        <w:t xml:space="preserve">В операциях </w:t>
        <w:t>около</w:t>
        <w:t xml:space="preserve"> Коломыя 8 и 10 сентября около 400 евреев пришлось расстрелять по всем известной причине. В </w:t>
        <w:t xml:space="preserve">ходе </w:t>
        <w:t xml:space="preserve">большой акции по переселению Полиция порядка, несмотря на мой протест, погрузила всех евреев в доступные 30 вагонов поезда. Многие из них после марша, после четырёх жарких дней ожидания и </w:t>
        <w:t xml:space="preserve">без </w:t>
        <w:t>какой-либо провизии. Всё это, а так же необходимость погружать от 180 до 200 евреев в каждый вагон, оказало на транспортировку катастрофически негативное влияние.</w:t>
      </w:r>
    </w:p>
    <w:p>
      <w:pPr>
        <w:pStyle w:val="Para 04"/>
      </w:pPr>
      <w:r>
        <w:t xml:space="preserve">Как плотно были загружены евреями каждый из десяти вагонов в Городенке и Снятыне мне неизвестно. В любом случае, оба поезда прибыли в Коломыя с </w:t>
        <w:t>ненадлежащей</w:t>
        <w:t xml:space="preserve"> охраной, так что колючая проволока вокруг отверстий для воздуха почти полностью отсутствовала. Как можно быстрее я вывел поезд </w:t>
        <w:t>с</w:t>
        <w:t>о</w:t>
        <w:t xml:space="preserve"> станции Коломыя на дополнительные пути и сцепил с тридцатью вагонами вдали от ста</w:t>
        <w:t>н</w:t>
        <w:t xml:space="preserve">ции. Еврейская полиция </w:t>
        <w:t>[</w:t>
        <w:t>Ordnungsdienst</w:t>
        <w:t>]</w:t>
        <w:t xml:space="preserve"> и строители железнодорожной станции из Коломыя </w:t>
        <w:t xml:space="preserve">до ночи латали </w:t>
        <w:t>дыр</w:t>
        <w:t>ы</w:t>
        <w:t xml:space="preserve"> в вагонах согласно регуляциям. Для предотвращения попыток бегства команде из одного офицера и пятнадцати человек под руководством капитана Цицмана </w:t>
        <w:t>[Zitzmann]</w:t>
        <w:t xml:space="preserve"> приказали охранять поезд из 50 вагонов до самой отправки. Из-за уже вышеописанных условий для евреев, жары и битком забитых вагонов, они снова и снова пытались выбраться из припаркованного поезда. Стемнело в 7:30. В 7:50 на дополнительные пути прибыла охранная команда поезда из девяти человек под руководством капрала Джеклейна </w:t>
        <w:t>[Jäcklein]</w:t>
        <w:t>. В условиях темноты пресечь попытки бегства и расстрелять бежавших было невозможно. Из-за жары в вагонах евреи полностью разделись.</w:t>
      </w:r>
    </w:p>
    <w:p>
      <w:pPr>
        <w:pStyle w:val="Para 04"/>
      </w:pPr>
      <w:r>
        <w:t xml:space="preserve">Поезд отправился из Коломыя согласно расписанию в 8:50 вечера, и охрана заняла свои позиции. Как я изначально предложил, команда разделилась на две группы по пять человек — одна группа в пассажирском вагоне во главе поезда, одна </w:t>
        <w:t>группа</w:t>
        <w:t xml:space="preserve"> в его конце. Учитывая длину поезда и его нагрузку в 8 205 евре</w:t>
        <w:t>я</w:t>
        <w:t xml:space="preserve">, такое распределение показало свою несостоятельность. В следующий раз капрал Ж. </w:t>
        <w:t>р</w:t>
        <w:t xml:space="preserve">аспределит охрану по всему поезду. Для предотвращения </w:t>
        <w:t>побегов</w:t>
        <w:t xml:space="preserve">, </w:t>
        <w:t>ей</w:t>
        <w:t xml:space="preserve"> всю дорогу пришлось сидеть в камбузах. Вскоре после отправки евреи предприняли попытку прорваться с разных сторон поезда, некоторые даже через крыши. </w:t>
        <w:t>Они в этом преуспели</w:t>
        <w:t>, так что за пять остановок до Станиславова капралу Ж. пришлось просить по телефону начальника станции заранее отложить доски и гвозди для ремонта вагонов, а так же попросил охрану станции следить за поездом. Работники станции и её охрана приступи к задаче как только поезд прибыл на станцию.</w:t>
      </w:r>
    </w:p>
    <w:p>
      <w:pPr>
        <w:pStyle w:val="Para 04"/>
      </w:pPr>
      <w:r>
        <w:t>Работы заняли полтора час</w:t>
        <w:t>а, после чего</w:t>
        <w:t xml:space="preserve"> п</w:t>
        <w:t xml:space="preserve">оезд возобновил движение. На следующей станции стало ясно, что евреи снова проделали огромные дыры и сорвали колючую проволоку. В одном </w:t>
        <w:t>вагоне</w:t>
        <w:t xml:space="preserve"> даже поработали молотком и пилой. Во время допрос</w:t>
        <w:t>а</w:t>
        <w:t xml:space="preserve"> они признались, что Полиция Безопасности оставила свои инструменты, потому как те могли пригодиться в работе в дальнейшем. Капрал Ж. заставил евреев отдать инструменты. </w:t>
        <w:t>П</w:t>
        <w:t xml:space="preserve">оезду требовался ремонт на каждой остановке, иначе мы бы не смогли даже ехать. В 11:15 утра поезд прибыл в Лемберг, </w:t>
        <w:t>но</w:t>
        <w:t xml:space="preserve"> т</w:t>
        <w:t xml:space="preserve">ак как смена </w:t>
        <w:t xml:space="preserve">охраны </w:t>
        <w:t xml:space="preserve">поезда не прибыла, транспортной команде Ж. пришлось продолжить охранять поезд до самого Белжеца. После короткой остановки поезд продолжил путь по пригороду Клапорова </w:t>
        <w:t>[Klaporov]</w:t>
        <w:t xml:space="preserve">, где 9 вагонов с отметкой „L“, предназначенных для трудового лагеря, передали оберштурмфюреру СС Шульцу </w:t>
        <w:t>[Schulze]</w:t>
        <w:t>. Тот дополнительно погрузил на поезд ещё около тысячи евреев. В 1:30 дня поезд отправился в Белжец.</w:t>
      </w:r>
    </w:p>
    <w:p>
      <w:pPr>
        <w:pStyle w:val="Para 04"/>
      </w:pPr>
      <w:r>
        <w:t xml:space="preserve">В Лемберге поезду заменили двигатель на такой старый, что движение было возможно лишь с постоянными остановками. Самые сильные из евреев пользовались нашей малой скоростью и протаскивали себя через дыры в вагонах и сбегали, </w:t>
        <w:t>не боясь получить травмы от падения из-за низкой</w:t>
        <w:t xml:space="preserve"> скорости поезда. Несмотря на постоянные запросы инженерам увеличить скорость, </w:t>
        <w:t>сделать это было невозможно</w:t>
        <w:t xml:space="preserve">, так что постоянные остановки </w:t>
        <w:t>на открытых участках</w:t>
        <w:t xml:space="preserve"> становились всё более раздражающими.</w:t>
      </w:r>
    </w:p>
    <w:p>
      <w:pPr>
        <w:pStyle w:val="Para 04"/>
      </w:pPr>
      <w:r>
        <w:t xml:space="preserve">Вскоре после Лемберга у команды </w:t>
        <w:t>охраны</w:t>
        <w:t xml:space="preserve"> уже закончились все имеющиеся боеприпасы, в том числе полученные от солдат 200 патронов, так что всю оставшуюся дорогу им приходилось пользоваться камнями пока поезд двигался и штыками во время остановок.</w:t>
      </w:r>
    </w:p>
    <w:p>
      <w:pPr>
        <w:pStyle w:val="Para 04"/>
      </w:pPr>
      <w:r>
        <w:t xml:space="preserve">Всё </w:t>
        <w:t xml:space="preserve">сильнее </w:t>
        <w:t xml:space="preserve">паника распространялась среди евреев из-за жары, забитости </w:t>
        <w:t xml:space="preserve">вагонов </w:t>
        <w:t>и трупов. Трупный запах — при разгрузке в вагонах обнаружили около 2 000 тел — сделал работу на поезде практически невозможной. В 6:45 поезд прибыл в Белжец, и примерно в 7:30 был передан капралом Ж. оберштурмфюреру СС и главе местного лагеря. Капрал</w:t>
        <w:t>у</w:t>
        <w:t xml:space="preserve"> пришлось оставаться в лагере до окончания разгрузки в 10 вечера, пока команда охраняла </w:t>
        <w:t>стоящие</w:t>
        <w:t xml:space="preserve"> вагоны. Из-за вышеуказанных трудностей, количество сбежавших евреев не поддаётся подсчёту. Тем не менее можно допустить, что как минимум две трети евреев были застрелены или сделаны неопасными тем или иным способом.</w:t>
      </w:r>
    </w:p>
    <w:p>
      <w:pPr>
        <w:pStyle w:val="Para 04"/>
      </w:pPr>
      <w:r>
        <w:t xml:space="preserve">Помимо указанного, на период 7-10 сентября 1942 </w:t>
        <w:t xml:space="preserve">г. </w:t>
        <w:t xml:space="preserve">дополнительных инцидентов не произошло. Сотрудничество между Полицией Порядка и Полицией </w:t>
        <w:t>Б</w:t>
        <w:t>езопасност</w:t>
        <w:t>и</w:t>
        <w:t xml:space="preserve"> прошло хорошо и без проблем.</w:t>
      </w:r>
    </w:p>
    <w:p>
      <w:pPr>
        <w:pStyle w:val="Para 04"/>
      </w:pPr>
      <w:r>
        <w:t>(подпись) Вестерман Лейтенант запаса Полиции Охраны и Ротный Командир.</w:t>
      </w:r>
      <w:hyperlink w:anchor="__69">
        <w:r>
          <w:rPr>
            <w:rStyle w:val="Text2"/>
          </w:rPr>
          <w:bookmarkStart w:id="96" w:name="69"/>
          <w:t>69</w:t>
          <w:bookmarkEnd w:id="96"/>
        </w:r>
      </w:hyperlink>
      <w:r>
        <w:rPr>
          <w:rStyle w:val="Text3"/>
        </w:rPr>
        <w:t xml:space="preserve"> </w:t>
      </w:r>
      <w:r>
        <w:t xml:space="preserve"> </w:t>
      </w:r>
    </w:p>
    <w:p>
      <w:pPr>
        <w:pStyle w:val="Para 04"/>
      </w:pPr>
      <w:r>
        <w:t/>
      </w:r>
    </w:p>
    <w:p>
      <w:pPr>
        <w:pStyle w:val="Para 05"/>
      </w:pPr>
      <w:r>
        <w:rPr>
          <w:rStyle w:val="Text6"/>
        </w:rPr>
        <w:t/>
      </w:r>
      <w:r>
        <w:t xml:space="preserve">Документ раскрывает много деталей: отчаянные попытки евреев сбежать; скудную охрану (какие-то десять человек на 8 000 евреев); невообразимо ужасные условия — форсированный многокилометровый марш, ужасная жара, дни без еды и воды, забитые вагоны по 200 человек и так далее. Это привело к смерти 25% евреев в вагонах от удушения, перегрева и истощения, не говоря уже о регулярных расстрелах — </w:t>
        <w:t xml:space="preserve">охрана расстреляла всю </w:t>
        <w:t>амуници</w:t>
        <w:t>ю</w:t>
        <w:t xml:space="preserve">; «повседневное» упоминание о том, как сотни евреев признали непригодными для транспортировки и </w:t>
        <w:t>расстреляли</w:t>
        <w:t xml:space="preserve"> на месте из-за слабости, болезней и возраста. Более того, документ недвусмысленно </w:t>
        <w:t>демонстрирует</w:t>
        <w:t xml:space="preserve">, </w:t>
        <w:t xml:space="preserve">что </w:t>
        <w:t xml:space="preserve">для Полицейского Батальона 133 и Полиции Безопасности в Галиции </w:t>
        <w:t xml:space="preserve">подобная операция </w:t>
        <w:t>летом 1942-</w:t>
        <w:t>го</w:t>
        <w:t xml:space="preserve"> </w:t>
        <w:t>была просто одной из многих</w:t>
        <w:t xml:space="preserve">. </w:t>
      </w:r>
      <w:r>
        <w:rPr>
          <w:rStyle w:val="Text6"/>
        </w:rPr>
        <w:t xml:space="preserve"> </w:t>
      </w:r>
    </w:p>
    <w:p>
      <w:pPr>
        <w:pStyle w:val="Para 02"/>
      </w:pPr>
      <w:r>
        <w:t xml:space="preserve">Однако он не раскрывает взгляд «низового» участника </w:t>
        <w:t>Окончатель</w:t>
        <w:t xml:space="preserve">ного Решения, который нам хотелось бы увидеть. Эти люди не были офисными работниками, приговаривающими людей к смерти, </w:t>
        <w:t>сидя</w:t>
        <w:t xml:space="preserve"> </w:t>
        <w:t xml:space="preserve">в безопасности, и оторванными от реальности расстоянием, бюрократическими эвфемизмами и рутиной. Эти люди сталкивались со своими жертвами лицом к лицу. Их товарищи уже расстреляли всех непригодных для транспортировки евреев, а </w:t>
        <w:t xml:space="preserve">они </w:t>
        <w:t>сами</w:t>
        <w:t xml:space="preserve"> старательно предотвращали попытки бегства из поезда, и следовательно, газовых камер Белжеца. Никто из участников не мог иметь ни малейших сомнений в том, в ч</w:t>
        <w:t>ё</w:t>
        <w:t xml:space="preserve">м именно они принимают участие — а именно в </w:t>
        <w:t>кровавой</w:t>
        <w:t xml:space="preserve"> программе по уничтожению евреев Галиции.</w:t>
      </w:r>
    </w:p>
    <w:p>
      <w:pPr>
        <w:pStyle w:val="Para 02"/>
      </w:pPr>
      <w:r>
        <w:t xml:space="preserve">Но как эти люди стали массовыми убийцами? Что случилось, когда отряд впервые начал убивать? Какой выбор, если он был, они имели и как они отреагировали? Что происходило с этими людьми, пока убийства тянулись неделю за неделей, месяц за месяцем? Документы, подобные транспортировке в Коломыя, дают яркий фрагмент единственного инцидента, но они не раскрывают личную трансформацию группы </w:t>
        <w:t>обыкновенных</w:t>
        <w:t xml:space="preserve"> немецких мужчин среднего возраста в массовых убийц. Для этого нам придётся вернуться к истории Полицейского Резервного Батальона 101.</w:t>
      </w:r>
    </w:p>
    <w:p>
      <w:pPr>
        <w:pStyle w:val="Para 09"/>
      </w:pPr>
      <w:r>
        <w:t xml:space="preserve"> </w:t>
        <w:br w:clear="none"/>
      </w:r>
    </w:p>
    <w:p>
      <w:pPr>
        <w:pStyle w:val="Heading 2"/>
      </w:pPr>
      <w:r>
        <w:bookmarkStart w:id="97" w:name="anchor14"/>
        <w:t/>
        <w:bookmarkEnd w:id="97"/>
        <w:t>Глава 5</w:t>
        <w:bookmarkStart w:id="98" w:name="anchor60"/>
        <w:t/>
        <w:bookmarkEnd w:id="98"/>
        <w:bookmarkStart w:id="99" w:name="anchor61"/>
        <w:t/>
        <w:bookmarkEnd w:id="99"/>
      </w:r>
    </w:p>
    <w:p>
      <w:pPr>
        <w:pStyle w:val="Para 11"/>
      </w:pPr>
      <w:r>
        <w:bookmarkStart w:id="100" w:name="anchor15"/>
        <w:t/>
        <w:bookmarkEnd w:id="100"/>
        <w:t>Полицейский Резервный Батальон 101</w:t>
      </w:r>
    </w:p>
    <w:p>
      <w:pPr>
        <w:pStyle w:val="Para 36"/>
      </w:pPr>
      <w:r>
        <w:t/>
      </w:r>
    </w:p>
    <w:p>
      <w:pPr>
        <w:pStyle w:val="Para 05"/>
      </w:pPr>
      <w:r>
        <w:t xml:space="preserve"> </w:t>
        <w:t xml:space="preserve">В числе первых батальонов в сентябре 1939 </w:t>
        <w:t>г.,</w:t>
        <w:t xml:space="preserve"> присоединившихся к немецкой армии вторжения в Польшу, стал </w:t>
      </w:r>
      <w:r>
        <w:rPr>
          <w:rStyle w:val="Text7"/>
        </w:rPr>
        <w:t>П</w:t>
      </w:r>
      <w:r>
        <w:t xml:space="preserve">олицейский Батальон 101 </w:t>
        <w:t xml:space="preserve">из </w:t>
        <w:t>Гамбург</w:t>
        <w:t>а</w:t>
        <w:t>. Перейдя границу в Оппельне [</w:t>
        <w:t>Opole</w:t>
        <w:t>] в Силезии, батальон через Ченстохову</w:t>
        <w:t xml:space="preserve"> </w:t>
        <w:t>проследовал в польский город Кельце,</w:t>
        <w:t xml:space="preserve"> где</w:t>
        <w:t xml:space="preserve"> он привлекался к захвату польских солдат и военного оборудования позади линии наступления, а также охране военнопленных. 17 декабря 1939 </w:t>
        <w:t>г.</w:t>
        <w:t xml:space="preserve"> батальон вернулся в Гамбург, </w:t>
        <w:t>где о</w:t>
        <w:t xml:space="preserve">коло сотни его профессиональных полицейских перевели для формирования дополнительных отрядов, </w:t>
        <w:t>а</w:t>
        <w:t xml:space="preserve"> заменили </w:t>
        <w:t xml:space="preserve">их людьми </w:t>
        <w:t xml:space="preserve">среднего возраста </w:t>
        <w:t xml:space="preserve">из запаса, </w:t>
        <w:t xml:space="preserve">призванными осенью 1939 </w:t>
        <w:t>г</w:t>
        <w:t>.</w:t>
      </w:r>
      <w:hyperlink w:anchor="__70">
        <w:r>
          <w:rPr>
            <w:rStyle w:val="Text2"/>
          </w:rPr>
          <w:bookmarkStart w:id="101" w:name="70"/>
          <w:t>70</w:t>
          <w:bookmarkEnd w:id="101"/>
        </w:r>
      </w:hyperlink>
      <w:r>
        <w:rPr>
          <w:rStyle w:val="Text3"/>
        </w:rPr>
        <w:t xml:space="preserve"> </w:t>
      </w:r>
      <w:r>
        <w:t xml:space="preserve"> </w:t>
      </w:r>
      <w:r>
        <w:rPr>
          <w:rStyle w:val="Text7"/>
        </w:rPr>
        <w:t xml:space="preserve"> </w:t>
      </w:r>
    </w:p>
    <w:p>
      <w:pPr>
        <w:pStyle w:val="Para 02"/>
      </w:pPr>
      <w:r>
        <w:t xml:space="preserve">В мае 1940 </w:t>
        <w:t>года</w:t>
        <w:t xml:space="preserve"> после периода тренировки, батальон отправили из Гамбурга в один из четырёх аннексированных рейхом регионов западной Польши — Вартегау</w:t>
      </w:r>
      <w:hyperlink w:anchor="__71">
        <w:r>
          <w:rPr>
            <w:rStyle w:val="Text2"/>
          </w:rPr>
          <w:bookmarkStart w:id="102" w:name="71"/>
          <w:t>71</w:t>
          <w:bookmarkEnd w:id="102"/>
        </w:r>
      </w:hyperlink>
      <w:r>
        <w:rPr>
          <w:rStyle w:val="Text3"/>
        </w:rPr>
        <w:t xml:space="preserve"> </w:t>
      </w:r>
      <w:r>
        <w:t xml:space="preserve"> . Располагаясь до конца июня в Познани [Позен, Poznań], а затем в Лодзе [Łódź, переименованный немецкими захватчиками в Лицманштадт — Litzmannstadt], батальон в течении пяти месяцев занимался «операциями по переселению». Эти операции — часть демографического плана Гитлера и Гиммлера по «германизации» новых аннексированных регионов, т.е. по заселению их «расового чистыми» немцами. Все поляки и так называемые «нежелательные элементы» — евреи и цыгане — должны были быть выгнаны </w:t>
        <w:t xml:space="preserve">из присоединённых территорий </w:t>
        <w:t>в центральную Польшу. Согласно договору между Германий и Советским Союзом, этнических немцев репатриировали с советской территории и селили в квартиры и фермы выгнанных поляков. Так желаемая Гитлером и Гиммлером «</w:t>
        <w:t>р</w:t>
        <w:t xml:space="preserve">асовая </w:t>
        <w:t>ч</w:t>
        <w:t>истота» аннексированных территорий никогда не была достигнута, но сотни тысяч людей насильно перемещали подобно фигурам на доске. И всё ради расовой реорганизации восточной Европы.</w:t>
      </w:r>
    </w:p>
    <w:p>
      <w:pPr>
        <w:pStyle w:val="Para 02"/>
      </w:pPr>
      <w:r>
        <w:t xml:space="preserve">В отчёте батальона содержится хвастовство фанатичным участием в этом «переселении»: </w:t>
      </w:r>
    </w:p>
    <w:p>
      <w:pPr>
        <w:pStyle w:val="Para 35"/>
      </w:pPr>
      <w:r>
        <w:t/>
      </w:r>
    </w:p>
    <w:p>
      <w:pPr>
        <w:pStyle w:val="Para 04"/>
      </w:pPr>
      <w:r>
        <w:rPr>
          <w:rStyle w:val="Text9"/>
        </w:rPr>
        <w:t/>
      </w:r>
      <w:r>
        <w:t xml:space="preserve">«За работой день и ночь без перерывов, 100% сил батальона занято делом по всему Вартегау. В среднем каждый день эвакуировали около 350 </w:t>
        <w:t>п</w:t>
        <w:t>ольских крестьянских семей. На пике эвакуации они (члены батальона) не могли вернуться в казармы восемь дней и ночей. У них была возможность поспать только в ночью в машинах ... В сам</w:t>
        <w:t>ой</w:t>
        <w:t xml:space="preserve"> крупн</w:t>
        <w:t>ой</w:t>
        <w:t xml:space="preserve"> операци</w:t>
        <w:t>и</w:t>
        <w:t xml:space="preserve"> батальон </w:t>
        <w:t>эвакуировал около 900 семей ... за один день и только своими силами и десятью переводчиками».</w:t>
      </w:r>
      <w:r>
        <w:rPr>
          <w:rStyle w:val="Text9"/>
        </w:rPr>
        <w:t xml:space="preserve"> </w:t>
      </w:r>
    </w:p>
    <w:p>
      <w:pPr>
        <w:pStyle w:val="Para 33"/>
      </w:pPr>
      <w:r>
        <w:t/>
      </w:r>
    </w:p>
    <w:p>
      <w:pPr>
        <w:pStyle w:val="Para 05"/>
      </w:pPr>
      <w:r>
        <w:rPr>
          <w:rStyle w:val="Text6"/>
        </w:rPr>
        <w:t/>
      </w:r>
      <w:r>
        <w:t>В целом, батальон эвакуировал 36 972 человека из запланированных 58 628. Около 22 000 человек сбежало.</w:t>
      </w:r>
      <w:hyperlink w:anchor="__72">
        <w:r>
          <w:rPr>
            <w:rStyle w:val="Text2"/>
          </w:rPr>
          <w:bookmarkStart w:id="103" w:name="72"/>
          <w:t>72</w:t>
          <w:bookmarkEnd w:id="103"/>
        </w:r>
      </w:hyperlink>
      <w:r>
        <w:rPr>
          <w:rStyle w:val="Text3"/>
        </w:rPr>
        <w:t xml:space="preserve"> </w:t>
      </w:r>
      <w:r>
        <w:t xml:space="preserve"> </w:t>
      </w:r>
      <w:r>
        <w:rPr>
          <w:rStyle w:val="Text6"/>
        </w:rPr>
        <w:t xml:space="preserve"> </w:t>
      </w:r>
    </w:p>
    <w:p>
      <w:pPr>
        <w:pStyle w:val="Para 02"/>
      </w:pPr>
      <w:r>
        <w:t>Один призывник из запаса Бруно Пробст* вспоминал о роли батальона:</w:t>
      </w:r>
    </w:p>
    <w:p>
      <w:pPr>
        <w:pStyle w:val="Para 02"/>
      </w:pPr>
      <w:r>
        <w:t/>
      </w:r>
    </w:p>
    <w:p>
      <w:pPr>
        <w:pStyle w:val="Para 15"/>
      </w:pPr>
      <w:r>
        <w:rPr>
          <w:rStyle w:val="Text7"/>
        </w:rPr>
        <w:t/>
      </w:r>
      <w:r>
        <w:t xml:space="preserve">«Впервые я столкнулся с убийствами и перегибами на местах во время переселении местного населения, особенно в малых деревнях. Так было всегда — когда мы прибывали на место, комиссия по переселению уже была там ... Эти так называемые комиссии состояли из гражданских, членов чёрных (без формы) СС и Тайной Полиции. От них мы получали карточки с номерами. Этими </w:t>
        <w:t>же</w:t>
        <w:t xml:space="preserve"> номерами обозначались дома в деревне, которые надо было эвакуировать. Поначалу, мы стремились вывести из этих домов всех, несмотря </w:t>
        <w:t xml:space="preserve">на </w:t>
        <w:t xml:space="preserve">то кто там был — старики, больные или дети. Комиссия быстро признала нашу процедуру ошибочной. Они возразили, что старые и больные затрудняют нашу работу. Если быть точным, они поначалу не давали нам явного приказала расстреливать таких на месте, но ограничивались тем, что давали понять — для подобных людей уже ничего нельзя сделать. Я помню два случая </w:t>
        <w:t xml:space="preserve">такого </w:t>
        <w:t>расстрела. В первом, это был старик, во втором, старуха ... оба раза расстрелом занимался не член отряда, а унтер-офицер».</w:t>
      </w:r>
      <w:hyperlink w:anchor="__73">
        <w:r>
          <w:rPr>
            <w:rStyle w:val="Text2"/>
          </w:rPr>
          <w:bookmarkStart w:id="104" w:name="73"/>
          <w:t>73</w:t>
          <w:bookmarkEnd w:id="104"/>
        </w:r>
      </w:hyperlink>
      <w:r>
        <w:rPr>
          <w:rStyle w:val="Text3"/>
        </w:rPr>
        <w:t xml:space="preserve"> </w:t>
      </w:r>
      <w:r>
        <w:t xml:space="preserve"> </w:t>
      </w:r>
      <w:r>
        <w:rPr>
          <w:rStyle w:val="Text7"/>
        </w:rPr>
        <w:t xml:space="preserve"> </w:t>
      </w:r>
    </w:p>
    <w:p>
      <w:pPr>
        <w:pStyle w:val="Para 04"/>
      </w:pPr>
      <w:r>
        <w:t/>
      </w:r>
    </w:p>
    <w:p>
      <w:pPr>
        <w:pStyle w:val="Para 05"/>
      </w:pPr>
      <w:r>
        <w:rPr>
          <w:rStyle w:val="Text6"/>
        </w:rPr>
        <w:t/>
      </w:r>
      <w:r>
        <w:t xml:space="preserve">Другие в батальоне тоже вспоминали операцию по переселению, но никто больше не </w:t>
        <w:t>упоминал</w:t>
        <w:t xml:space="preserve"> или не признавался в подобном насилии.</w:t>
      </w:r>
      <w:hyperlink w:anchor="__74">
        <w:r>
          <w:rPr>
            <w:rStyle w:val="Text2"/>
          </w:rPr>
          <w:bookmarkStart w:id="105" w:name="74"/>
          <w:t>74</w:t>
          <w:bookmarkEnd w:id="105"/>
        </w:r>
      </w:hyperlink>
      <w:r>
        <w:rPr>
          <w:rStyle w:val="Text3"/>
        </w:rPr>
        <w:t xml:space="preserve"> </w:t>
      </w:r>
      <w:r>
        <w:t xml:space="preserve"> </w:t>
        <w:t xml:space="preserve"> </w:t>
        <w:t>О</w:t>
        <w:t xml:space="preserve">дин полицейский, </w:t>
        <w:t>однако,</w:t>
        <w:t xml:space="preserve"> рассказал, что во время остановки в Познани батальон предоставил Полиции Порядка расстрельную группу для казни от 100 до 120 поляков».</w:t>
      </w:r>
      <w:hyperlink w:anchor="__75">
        <w:r>
          <w:rPr>
            <w:rStyle w:val="Text2"/>
          </w:rPr>
          <w:bookmarkStart w:id="106" w:name="75"/>
          <w:t>75</w:t>
          <w:bookmarkEnd w:id="106"/>
        </w:r>
      </w:hyperlink>
      <w:r>
        <w:rPr>
          <w:rStyle w:val="Text3"/>
        </w:rPr>
        <w:t xml:space="preserve"> </w:t>
      </w:r>
      <w:r>
        <w:t xml:space="preserve"> </w:t>
      </w:r>
      <w:r>
        <w:rPr>
          <w:rStyle w:val="Text6"/>
        </w:rPr>
        <w:t xml:space="preserve"> </w:t>
      </w:r>
    </w:p>
    <w:p>
      <w:pPr>
        <w:pStyle w:val="Para 33"/>
      </w:pPr>
      <w:r>
        <w:t/>
      </w:r>
    </w:p>
    <w:p>
      <w:pPr>
        <w:pStyle w:val="Para 14"/>
      </w:pPr>
      <w:r>
        <w:drawing>
          <wp:inline>
            <wp:extent cx="5727700" cy="3835400"/>
            <wp:effectExtent l="0" r="0" t="0" b="0"/>
            <wp:docPr id="4" name="100000000000038000000258C06D9702B88E47A7.jpg" descr="100000000000038000000258C06D9702B88E47A7.jpg"/>
            <wp:cNvGraphicFramePr>
              <a:graphicFrameLocks noChangeAspect="1"/>
            </wp:cNvGraphicFramePr>
            <a:graphic>
              <a:graphicData uri="http://schemas.openxmlformats.org/drawingml/2006/picture">
                <pic:pic>
                  <pic:nvPicPr>
                    <pic:cNvPr id="0" name="100000000000038000000258C06D9702B88E47A7.jpg" descr="100000000000038000000258C06D9702B88E47A7.jpg"/>
                    <pic:cNvPicPr/>
                  </pic:nvPicPr>
                  <pic:blipFill>
                    <a:blip r:embed="rId8"/>
                    <a:stretch>
                      <a:fillRect/>
                    </a:stretch>
                  </pic:blipFill>
                  <pic:spPr>
                    <a:xfrm>
                      <a:off x="0" y="0"/>
                      <a:ext cx="5727700" cy="3835400"/>
                    </a:xfrm>
                    <a:prstGeom prst="rect">
                      <a:avLst/>
                    </a:prstGeom>
                  </pic:spPr>
                </pic:pic>
              </a:graphicData>
            </a:graphic>
          </wp:inline>
        </w:drawing>
      </w:r>
      <w:r>
        <w:rPr>
          <w:rStyle w:val="Text9"/>
        </w:rPr>
        <w:t xml:space="preserve"> </w:t>
      </w:r>
      <w:r>
        <w:t xml:space="preserve"> </w:t>
      </w:r>
    </w:p>
    <w:p>
      <w:pPr>
        <w:pStyle w:val="Para 12"/>
      </w:pPr>
      <w:r>
        <w:t xml:space="preserve">Мендзыжец, «транзитное» гетто, ликвидированное в семи «акциях» между августом 1942 и июлем 1943 </w:t>
        <w:t>гг</w:t>
        <w:t>. Вторая рота лейтенанта Гн</w:t>
        <w:t>а</w:t>
        <w:t>д</w:t>
        <w:t>е</w:t>
        <w:t xml:space="preserve"> отзывалась о Мендзыжеце подходящим немецкий прозвищем «Menschenschreck», или «ужас человеческий».</w:t>
      </w:r>
    </w:p>
    <w:p>
      <w:pPr>
        <w:pStyle w:val="Para 33"/>
      </w:pPr>
      <w:r>
        <w:t/>
      </w:r>
    </w:p>
    <w:p>
      <w:pPr>
        <w:pStyle w:val="Para 14"/>
      </w:pPr>
      <w:r>
        <w:drawing>
          <wp:inline>
            <wp:extent cx="5727700" cy="3708400"/>
            <wp:effectExtent l="0" r="0" t="0" b="0"/>
            <wp:docPr id="5" name="10000000000005DB000003CAB9CA153B3CDE9F19.jpg" descr="10000000000005DB000003CAB9CA153B3CDE9F19.jpg"/>
            <wp:cNvGraphicFramePr>
              <a:graphicFrameLocks noChangeAspect="1"/>
            </wp:cNvGraphicFramePr>
            <a:graphic>
              <a:graphicData uri="http://schemas.openxmlformats.org/drawingml/2006/picture">
                <pic:pic>
                  <pic:nvPicPr>
                    <pic:cNvPr id="0" name="10000000000005DB000003CAB9CA153B3CDE9F19.jpg" descr="10000000000005DB000003CAB9CA153B3CDE9F19.jpg"/>
                    <pic:cNvPicPr/>
                  </pic:nvPicPr>
                  <pic:blipFill>
                    <a:blip r:embed="rId9"/>
                    <a:stretch>
                      <a:fillRect/>
                    </a:stretch>
                  </pic:blipFill>
                  <pic:spPr>
                    <a:xfrm>
                      <a:off x="0" y="0"/>
                      <a:ext cx="5727700" cy="3708400"/>
                    </a:xfrm>
                    <a:prstGeom prst="rect">
                      <a:avLst/>
                    </a:prstGeom>
                  </pic:spPr>
                </pic:pic>
              </a:graphicData>
            </a:graphic>
          </wp:inline>
        </w:drawing>
      </w:r>
      <w:r>
        <w:rPr>
          <w:rStyle w:val="Text9"/>
        </w:rPr>
        <w:t xml:space="preserve"> </w:t>
      </w:r>
      <w:r>
        <w:t xml:space="preserve"> </w:t>
      </w:r>
    </w:p>
    <w:p>
      <w:pPr>
        <w:pStyle w:val="Para 12"/>
      </w:pPr>
      <w:r>
        <w:t>В большинстве депортаци</w:t>
        <w:t>й</w:t>
        <w:t xml:space="preserve"> евреям давали указание брать минимум вещей, дабы сделать правдивее историю о переселении. Обыски лейтенанта Гн</w:t>
        <w:t>а</w:t>
        <w:t>д</w:t>
        <w:t>е</w:t>
        <w:t xml:space="preserve"> ясно показывают, что никто — ни полицейские, ни евреи, не верили в это притворство.</w:t>
      </w:r>
    </w:p>
    <w:p>
      <w:pPr>
        <w:pStyle w:val="Para 33"/>
      </w:pPr>
      <w:r>
        <w:t/>
      </w:r>
    </w:p>
    <w:p>
      <w:pPr>
        <w:pStyle w:val="Para 14"/>
      </w:pPr>
      <w:r>
        <w:drawing>
          <wp:inline>
            <wp:extent cx="5727700" cy="3810000"/>
            <wp:effectExtent l="0" r="0" t="0" b="0"/>
            <wp:docPr id="6" name="1000000000000574000003A34CA9387FC195F74C.jpg" descr="1000000000000574000003A34CA9387FC195F74C.jpg"/>
            <wp:cNvGraphicFramePr>
              <a:graphicFrameLocks noChangeAspect="1"/>
            </wp:cNvGraphicFramePr>
            <a:graphic>
              <a:graphicData uri="http://schemas.openxmlformats.org/drawingml/2006/picture">
                <pic:pic>
                  <pic:nvPicPr>
                    <pic:cNvPr id="0" name="1000000000000574000003A34CA9387FC195F74C.jpg" descr="1000000000000574000003A34CA9387FC195F74C.jpg"/>
                    <pic:cNvPicPr/>
                  </pic:nvPicPr>
                  <pic:blipFill>
                    <a:blip r:embed="rId10"/>
                    <a:stretch>
                      <a:fillRect/>
                    </a:stretch>
                  </pic:blipFill>
                  <pic:spPr>
                    <a:xfrm>
                      <a:off x="0" y="0"/>
                      <a:ext cx="5727700" cy="3810000"/>
                    </a:xfrm>
                    <a:prstGeom prst="rect">
                      <a:avLst/>
                    </a:prstGeom>
                  </pic:spPr>
                </pic:pic>
              </a:graphicData>
            </a:graphic>
          </wp:inline>
        </w:drawing>
      </w:r>
      <w:r>
        <w:rPr>
          <w:rStyle w:val="Text9"/>
        </w:rPr>
        <w:t xml:space="preserve"> </w:t>
      </w:r>
      <w:r>
        <w:t xml:space="preserve"> </w:t>
      </w:r>
    </w:p>
    <w:p>
      <w:pPr>
        <w:pStyle w:val="Para 12"/>
      </w:pPr>
      <w:r>
        <w:t>После обысков евреям позволяли надеть нижнее белье, после чего заставляли маршировать до железной станции, где их как скот погружали в вагоны.</w:t>
      </w:r>
    </w:p>
    <w:p>
      <w:pPr>
        <w:pStyle w:val="Para 33"/>
      </w:pPr>
      <w:r>
        <w:t/>
      </w:r>
    </w:p>
    <w:p>
      <w:pPr>
        <w:pStyle w:val="Para 33"/>
      </w:pPr>
      <w:r>
        <w:t/>
      </w:r>
    </w:p>
    <w:p>
      <w:pPr>
        <w:pStyle w:val="Para 14"/>
      </w:pPr>
      <w:r>
        <w:drawing>
          <wp:inline>
            <wp:extent cx="5727700" cy="3746500"/>
            <wp:effectExtent l="0" r="0" t="0" b="0"/>
            <wp:docPr id="7" name="100000000000037E000002497528031E91EEE788.jpg" descr="100000000000037E000002497528031E91EEE788.jpg"/>
            <wp:cNvGraphicFramePr>
              <a:graphicFrameLocks noChangeAspect="1"/>
            </wp:cNvGraphicFramePr>
            <a:graphic>
              <a:graphicData uri="http://schemas.openxmlformats.org/drawingml/2006/picture">
                <pic:pic>
                  <pic:nvPicPr>
                    <pic:cNvPr id="0" name="100000000000037E000002497528031E91EEE788.jpg" descr="100000000000037E000002497528031E91EEE788.jpg"/>
                    <pic:cNvPicPr/>
                  </pic:nvPicPr>
                  <pic:blipFill>
                    <a:blip r:embed="rId11"/>
                    <a:stretch>
                      <a:fillRect/>
                    </a:stretch>
                  </pic:blipFill>
                  <pic:spPr>
                    <a:xfrm>
                      <a:off x="0" y="0"/>
                      <a:ext cx="5727700" cy="3746500"/>
                    </a:xfrm>
                    <a:prstGeom prst="rect">
                      <a:avLst/>
                    </a:prstGeom>
                  </pic:spPr>
                </pic:pic>
              </a:graphicData>
            </a:graphic>
          </wp:inline>
        </w:drawing>
      </w:r>
      <w:r>
        <w:rPr>
          <w:rStyle w:val="Text9"/>
        </w:rPr>
        <w:t xml:space="preserve"> </w:t>
      </w:r>
      <w:r>
        <w:t xml:space="preserve"> </w:t>
      </w:r>
    </w:p>
    <w:p>
      <w:pPr>
        <w:pStyle w:val="Para 12"/>
      </w:pPr>
      <w:r>
        <w:t>«Бараки для раздевания» — этап в процессе депортации впервые введённый лейтенантом Гн</w:t>
        <w:t>а</w:t>
        <w:t>д</w:t>
        <w:t>е</w:t>
        <w:t xml:space="preserve"> осенью 1942 </w:t>
        <w:t>г.</w:t>
        <w:t>, когда гетто Мендзыжец подверглось особенно жестокой серии «чисток» — Полиция Порядка заставила евреев раздеться догола в поисках ценностей.</w:t>
      </w:r>
    </w:p>
    <w:p>
      <w:pPr>
        <w:pStyle w:val="Para 33"/>
      </w:pPr>
      <w:r>
        <w:t/>
      </w:r>
    </w:p>
    <w:p>
      <w:pPr>
        <w:pStyle w:val="Para 14"/>
      </w:pPr>
      <w:r>
        <w:drawing>
          <wp:inline>
            <wp:extent cx="5727700" cy="3797300"/>
            <wp:effectExtent l="0" r="0" t="0" b="0"/>
            <wp:docPr id="8" name="10000000000005E4000003E7F05F1447BB6E607B.jpg" descr="10000000000005E4000003E7F05F1447BB6E607B.jpg"/>
            <wp:cNvGraphicFramePr>
              <a:graphicFrameLocks noChangeAspect="1"/>
            </wp:cNvGraphicFramePr>
            <a:graphic>
              <a:graphicData uri="http://schemas.openxmlformats.org/drawingml/2006/picture">
                <pic:pic>
                  <pic:nvPicPr>
                    <pic:cNvPr id="0" name="10000000000005E4000003E7F05F1447BB6E607B.jpg" descr="10000000000005E4000003E7F05F1447BB6E607B.jpg"/>
                    <pic:cNvPicPr/>
                  </pic:nvPicPr>
                  <pic:blipFill>
                    <a:blip r:embed="rId12"/>
                    <a:stretch>
                      <a:fillRect/>
                    </a:stretch>
                  </pic:blipFill>
                  <pic:spPr>
                    <a:xfrm>
                      <a:off x="0" y="0"/>
                      <a:ext cx="5727700" cy="3797300"/>
                    </a:xfrm>
                    <a:prstGeom prst="rect">
                      <a:avLst/>
                    </a:prstGeom>
                  </pic:spPr>
                </pic:pic>
              </a:graphicData>
            </a:graphic>
          </wp:inline>
        </w:drawing>
      </w:r>
      <w:r>
        <w:rPr>
          <w:rStyle w:val="Text9"/>
        </w:rPr>
        <w:t xml:space="preserve"> </w:t>
      </w:r>
      <w:r>
        <w:t xml:space="preserve"> </w:t>
      </w:r>
    </w:p>
    <w:p>
      <w:pPr>
        <w:pStyle w:val="Para 12"/>
      </w:pPr>
      <w:r>
        <w:t xml:space="preserve">26 мая 1943 </w:t>
        <w:t>г</w:t>
        <w:t xml:space="preserve">. Полиция Порядка ведёт евреев через город. Евреи отправленные в Майданек тем днём погибнут в резне Erntefest(«Операция Фестиваль Жатвы») в ноябре 1943 </w:t>
        <w:t>г</w:t>
        <w:t>.</w:t>
      </w:r>
    </w:p>
    <w:p>
      <w:pPr>
        <w:pStyle w:val="Para 33"/>
      </w:pPr>
      <w:r>
        <w:t/>
      </w:r>
    </w:p>
    <w:p>
      <w:pPr>
        <w:pStyle w:val="Para 17"/>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27700" cy="4051300"/>
            <wp:effectExtent l="0" r="0" t="0" b="0"/>
            <wp:wrapTopAndBottom/>
            <wp:docPr id="9" name="10000000000005E80000042D434853D98477D335.jpg" descr="10000000000005E80000042D434853D98477D335.jpg"/>
            <wp:cNvGraphicFramePr>
              <a:graphicFrameLocks noChangeAspect="1"/>
            </wp:cNvGraphicFramePr>
            <a:graphic>
              <a:graphicData uri="http://schemas.openxmlformats.org/drawingml/2006/picture">
                <pic:pic>
                  <pic:nvPicPr>
                    <pic:cNvPr id="0" name="10000000000005E80000042D434853D98477D335.jpg" descr="10000000000005E80000042D434853D98477D335.jpg"/>
                    <pic:cNvPicPr/>
                  </pic:nvPicPr>
                  <pic:blipFill>
                    <a:blip r:embed="rId13"/>
                    <a:stretch>
                      <a:fillRect/>
                    </a:stretch>
                  </pic:blipFill>
                  <pic:spPr>
                    <a:xfrm>
                      <a:off x="0" y="0"/>
                      <a:ext cx="5727700" cy="4051300"/>
                    </a:xfrm>
                    <a:prstGeom prst="rect">
                      <a:avLst/>
                    </a:prstGeom>
                  </pic:spPr>
                </pic:pic>
              </a:graphicData>
            </a:graphic>
          </wp:anchor>
        </w:drawing>
      </w:r>
      <w:r>
        <w:rPr>
          <w:lang w:bidi="en" w:val="en" w:eastAsia="en"/>
        </w:rPr>
        <w:t xml:space="preserve"> </w:t>
      </w:r>
    </w:p>
    <w:p>
      <w:pPr>
        <w:pStyle w:val="Para 17"/>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657600" cy="2374900"/>
            <wp:effectExtent l="0" r="0" t="0" b="0"/>
            <wp:wrapTopAndBottom/>
            <wp:docPr id="10" name="1000000000000190000001056E5B6999FCB63C5B.jpg" descr="1000000000000190000001056E5B6999FCB63C5B.jpg"/>
            <wp:cNvGraphicFramePr>
              <a:graphicFrameLocks noChangeAspect="1"/>
            </wp:cNvGraphicFramePr>
            <a:graphic>
              <a:graphicData uri="http://schemas.openxmlformats.org/drawingml/2006/picture">
                <pic:pic>
                  <pic:nvPicPr>
                    <pic:cNvPr id="0" name="1000000000000190000001056E5B6999FCB63C5B.jpg" descr="1000000000000190000001056E5B6999FCB63C5B.jpg"/>
                    <pic:cNvPicPr/>
                  </pic:nvPicPr>
                  <pic:blipFill>
                    <a:blip r:embed="rId14"/>
                    <a:stretch>
                      <a:fillRect/>
                    </a:stretch>
                  </pic:blipFill>
                  <pic:spPr>
                    <a:xfrm>
                      <a:off x="0" y="0"/>
                      <a:ext cx="3657600" cy="2374900"/>
                    </a:xfrm>
                    <a:prstGeom prst="rect">
                      <a:avLst/>
                    </a:prstGeom>
                  </pic:spPr>
                </pic:pic>
              </a:graphicData>
            </a:graphic>
          </wp:anchor>
        </w:drawing>
      </w:r>
      <w:r>
        <w:rPr>
          <w:lang w:bidi="en" w:val="en" w:eastAsia="en"/>
        </w:rPr>
        <w:t xml:space="preserve"> </w:t>
      </w:r>
    </w:p>
    <w:p>
      <w:pPr>
        <w:pStyle w:val="Para 12"/>
      </w:pPr>
      <w:r>
        <w:t>`</w:t>
        <w:t xml:space="preserve">Лукув, вероятно осень 1942 </w:t>
        <w:t>г.</w:t>
        <w:t>, во время ликвидации местного гетто Полицией Порядка.</w:t>
      </w:r>
    </w:p>
    <w:p>
      <w:pPr>
        <w:pStyle w:val="Para 33"/>
      </w:pPr>
      <w:r>
        <w:t/>
      </w:r>
    </w:p>
    <w:p>
      <w:pPr>
        <w:pStyle w:val="Para 14"/>
      </w:pPr>
      <w:r>
        <w:drawing>
          <wp:inline>
            <wp:extent cx="5727700" cy="3759200"/>
            <wp:effectExtent l="0" r="0" t="0" b="0"/>
            <wp:docPr id="11" name="10000000000005B5000003C1CB3D6D80182AF601.jpg" descr="10000000000005B5000003C1CB3D6D80182AF601.jpg"/>
            <wp:cNvGraphicFramePr>
              <a:graphicFrameLocks noChangeAspect="1"/>
            </wp:cNvGraphicFramePr>
            <a:graphic>
              <a:graphicData uri="http://schemas.openxmlformats.org/drawingml/2006/picture">
                <pic:pic>
                  <pic:nvPicPr>
                    <pic:cNvPr id="0" name="10000000000005B5000003C1CB3D6D80182AF601.jpg" descr="10000000000005B5000003C1CB3D6D80182AF601.jpg"/>
                    <pic:cNvPicPr/>
                  </pic:nvPicPr>
                  <pic:blipFill>
                    <a:blip r:embed="rId15"/>
                    <a:stretch>
                      <a:fillRect/>
                    </a:stretch>
                  </pic:blipFill>
                  <pic:spPr>
                    <a:xfrm>
                      <a:off x="0" y="0"/>
                      <a:ext cx="5727700" cy="3759200"/>
                    </a:xfrm>
                    <a:prstGeom prst="rect">
                      <a:avLst/>
                    </a:prstGeom>
                  </pic:spPr>
                </pic:pic>
              </a:graphicData>
            </a:graphic>
          </wp:inline>
        </w:drawing>
      </w:r>
      <w:r>
        <w:rPr>
          <w:rStyle w:val="Text9"/>
        </w:rPr>
        <w:t xml:space="preserve"> </w:t>
      </w:r>
      <w:r>
        <w:t xml:space="preserve"> </w:t>
      </w:r>
    </w:p>
    <w:p>
      <w:pPr>
        <w:pStyle w:val="Para 12"/>
      </w:pPr>
      <w:r>
        <w:t>Лейтенант Гн</w:t>
        <w:t>а</w:t>
        <w:t>д</w:t>
        <w:t>е</w:t>
        <w:t>(слева)</w:t>
        <w:t xml:space="preserve"> перед его «бараками для раздеваний» в Мендзыжеце.</w:t>
      </w:r>
    </w:p>
    <w:p>
      <w:pPr>
        <w:pStyle w:val="Para 33"/>
      </w:pPr>
      <w:r>
        <w:t/>
      </w:r>
    </w:p>
    <w:p>
      <w:pPr>
        <w:pStyle w:val="Para 14"/>
      </w:pPr>
      <w:r>
        <w:drawing>
          <wp:inline>
            <wp:extent cx="5727700" cy="3848100"/>
            <wp:effectExtent l="0" r="0" t="0" b="0"/>
            <wp:docPr id="12" name="10000000000006F0000004AAE4D6347C5EF0E1CF.jpg" descr="10000000000006F0000004AAE4D6347C5EF0E1CF.jpg"/>
            <wp:cNvGraphicFramePr>
              <a:graphicFrameLocks noChangeAspect="1"/>
            </wp:cNvGraphicFramePr>
            <a:graphic>
              <a:graphicData uri="http://schemas.openxmlformats.org/drawingml/2006/picture">
                <pic:pic>
                  <pic:nvPicPr>
                    <pic:cNvPr id="0" name="10000000000006F0000004AAE4D6347C5EF0E1CF.jpg" descr="10000000000006F0000004AAE4D6347C5EF0E1CF.jpg"/>
                    <pic:cNvPicPr/>
                  </pic:nvPicPr>
                  <pic:blipFill>
                    <a:blip r:embed="rId16"/>
                    <a:stretch>
                      <a:fillRect/>
                    </a:stretch>
                  </pic:blipFill>
                  <pic:spPr>
                    <a:xfrm>
                      <a:off x="0" y="0"/>
                      <a:ext cx="5727700" cy="3848100"/>
                    </a:xfrm>
                    <a:prstGeom prst="rect">
                      <a:avLst/>
                    </a:prstGeom>
                  </pic:spPr>
                </pic:pic>
              </a:graphicData>
            </a:graphic>
          </wp:inline>
        </w:drawing>
      </w:r>
      <w:r>
        <w:rPr>
          <w:rStyle w:val="Text9"/>
        </w:rPr>
        <w:t xml:space="preserve"> </w:t>
      </w:r>
      <w:r>
        <w:t xml:space="preserve"> </w:t>
      </w:r>
    </w:p>
    <w:p>
      <w:pPr>
        <w:pStyle w:val="Para 12"/>
      </w:pPr>
      <w:r>
        <w:t>Полиция Порядка держит кордон на рынке во время «шестой акции». 26 мая 1943 года. 1 000 евреев депортировали в трудовой лагерь в Майданеке. В ранних депортациях Мендзыжеца, евреев слали прямиком в газовые камеры Треблинки.</w:t>
      </w:r>
    </w:p>
    <w:p>
      <w:pPr>
        <w:pStyle w:val="Para 37"/>
        <w:pageBreakBefore w:val="on"/>
      </w:pPr>
      <w:r>
        <w:t/>
      </w:r>
    </w:p>
    <w:p>
      <w:pPr>
        <w:pStyle w:val="Para 02"/>
      </w:pPr>
      <w:r>
        <w:t>Их задачу осложняло то, что новоприбывшие этнические немцы, желая воспользоваться дешёвым рабочим трудом, не всегда докладывали о нелегальных поляках.</w:t>
      </w:r>
      <w:hyperlink w:anchor="__76">
        <w:r>
          <w:rPr>
            <w:rStyle w:val="Text2"/>
          </w:rPr>
          <w:bookmarkStart w:id="107" w:name="76"/>
          <w:t>76</w:t>
          <w:bookmarkEnd w:id="107"/>
        </w:r>
      </w:hyperlink>
      <w:r>
        <w:rPr>
          <w:rStyle w:val="Text3"/>
        </w:rPr>
        <w:t xml:space="preserve"> </w:t>
      </w:r>
      <w:r>
        <w:t xml:space="preserve"> </w:t>
      </w:r>
    </w:p>
    <w:p>
      <w:pPr>
        <w:pStyle w:val="Para 02"/>
      </w:pPr>
      <w:r>
        <w:t xml:space="preserve">28 ноября 1940 </w:t>
        <w:t>г.</w:t>
        <w:t xml:space="preserve">, батальон заступил на охрану гетто в Лодзе, опечатанного в конце апреля 1940 </w:t>
        <w:t>г.</w:t>
        <w:t xml:space="preserve"> — </w:t>
        <w:t xml:space="preserve">тогда </w:t>
        <w:t xml:space="preserve">160 000 </w:t>
        <w:t>е</w:t>
        <w:t xml:space="preserve">вреев отрезали от остального города колючей проволокой. </w:t>
        <w:t>Это</w:t>
        <w:t xml:space="preserve"> стало главной обязанностью Полицейского Батальона 101, имевшего приказ на расстрел «без церемоний» любого еврея, проигнорировавшего запрещающие знаки и подошедшего слишком близко к ограждению. Приказу повиновались.</w:t>
      </w:r>
      <w:hyperlink w:anchor="__77">
        <w:r>
          <w:rPr>
            <w:rStyle w:val="Text2"/>
          </w:rPr>
          <w:bookmarkStart w:id="108" w:name="77"/>
          <w:t>77</w:t>
          <w:bookmarkEnd w:id="108"/>
        </w:r>
      </w:hyperlink>
      <w:r>
        <w:rPr>
          <w:rStyle w:val="Text3"/>
        </w:rPr>
        <w:t xml:space="preserve"> </w:t>
      </w:r>
      <w:r>
        <w:t xml:space="preserve"> </w:t>
      </w:r>
    </w:p>
    <w:p>
      <w:pPr>
        <w:pStyle w:val="Para 02"/>
      </w:pPr>
      <w:r>
        <w:t xml:space="preserve">Таких крайностей, которые случились во время охраны Варшавского гетто первой ротой Полицейского Батальона 61, никто из этого батальона не помнил. Тогда стрельба по гетто открыто поощрялась капитаном роты, </w:t>
        <w:t>а в</w:t>
        <w:t xml:space="preserve"> охрану всегда назначали самых отъявленных стрелков и другие обязанности </w:t>
        <w:t xml:space="preserve">им </w:t>
        <w:t xml:space="preserve">не давали. Комната отдыха роты </w:t>
        <w:t>украшалась</w:t>
        <w:t xml:space="preserve"> расистскими слоганами, к примеру, звездой давида над баром. Над дверью за каждого застреленного еврея делалась засечка. В особенно «успешные» дни устраивалось «празднование победы».</w:t>
      </w:r>
      <w:hyperlink w:anchor="__78">
        <w:r>
          <w:rPr>
            <w:rStyle w:val="Text2"/>
          </w:rPr>
          <w:bookmarkStart w:id="109" w:name="78"/>
          <w:t>78</w:t>
          <w:bookmarkEnd w:id="109"/>
        </w:r>
      </w:hyperlink>
      <w:r>
        <w:rPr>
          <w:rStyle w:val="Text3"/>
        </w:rPr>
        <w:t xml:space="preserve"> </w:t>
      </w:r>
      <w:r>
        <w:t xml:space="preserve"> </w:t>
      </w:r>
    </w:p>
    <w:p>
      <w:pPr>
        <w:pStyle w:val="Para 02"/>
      </w:pPr>
      <w:r>
        <w:t xml:space="preserve">Члены батальона имели больше контактов с нееврейским населением, </w:t>
        <w:t>а не с самими евреями,</w:t>
        <w:t xml:space="preserve"> потому как </w:t>
        <w:t>квартировались</w:t>
        <w:t xml:space="preserve"> вне границ гетто. Бруно Пробст </w:t>
        <w:t>рассказывал</w:t>
        <w:t xml:space="preserve">, как в разделявшем гетто Лодзе проходе охрана иногда развлекали себя переводом часов вперёд </w:t>
        <w:t xml:space="preserve">— </w:t>
        <w:t>э</w:t>
        <w:t>то использовалось как повод для захвата и избиения поляков, якобы за нарушение комендантского часа. Он так же вспоминал, как в предновогоднюю ночь вместо поляка пьяный охранник случайно застрелил немца и скрыл это, подменив удостоверение личности.</w:t>
      </w:r>
      <w:hyperlink w:anchor="__79">
        <w:r>
          <w:rPr>
            <w:rStyle w:val="Text2"/>
          </w:rPr>
          <w:bookmarkStart w:id="110" w:name="79"/>
          <w:t>79</w:t>
          <w:bookmarkEnd w:id="110"/>
        </w:r>
      </w:hyperlink>
      <w:r>
        <w:rPr>
          <w:rStyle w:val="Text3"/>
        </w:rPr>
        <w:t xml:space="preserve"> </w:t>
      </w:r>
      <w:r>
        <w:t xml:space="preserve"> </w:t>
      </w:r>
    </w:p>
    <w:p>
      <w:pPr>
        <w:pStyle w:val="Para 02"/>
      </w:pPr>
      <w:r>
        <w:t>В ма</w:t>
        <w:t>е</w:t>
        <w:t xml:space="preserve"> 1941-</w:t>
        <w:t>го</w:t>
        <w:t xml:space="preserve"> батальон вернулся в Гамбург и «практически растворился». Все оставшиеся довоенные призывники рангом ниже унтер-офицера были </w:t>
        <w:t>пере</w:t>
        <w:t xml:space="preserve">распределены в другие отряды, а места заполнили </w:t>
        <w:t>призывники</w:t>
        <w:t xml:space="preserve"> из запаса. Батальон стал, </w:t>
        <w:t xml:space="preserve">словами </w:t>
        <w:t>одного полицейского: «чисто резервным батальоном».</w:t>
      </w:r>
      <w:hyperlink w:anchor="__80">
        <w:r>
          <w:rPr>
            <w:rStyle w:val="Text2"/>
          </w:rPr>
          <w:bookmarkStart w:id="111" w:name="80"/>
          <w:t>80</w:t>
          <w:bookmarkEnd w:id="111"/>
        </w:r>
      </w:hyperlink>
      <w:r>
        <w:rPr>
          <w:rStyle w:val="Text3"/>
        </w:rPr>
        <w:t xml:space="preserve"> </w:t>
      </w:r>
      <w:r>
        <w:t xml:space="preserve"> </w:t>
      </w:r>
    </w:p>
    <w:p>
      <w:pPr>
        <w:pStyle w:val="Para 02"/>
      </w:pPr>
      <w:r>
        <w:t/>
        <w:t>С</w:t>
        <w:t xml:space="preserve"> мая 1941 по июнь 1942 </w:t>
        <w:t xml:space="preserve">гг. </w:t>
        <w:t xml:space="preserve">батальон реформировали и подвергли многочисленным тренировкам. В памяти участников осталось мало событий из этого периода: </w:t>
        <w:t>о</w:t>
        <w:t>днажды после бомбардировки Любека в марте 1942-</w:t>
        <w:t>го</w:t>
        <w:t xml:space="preserve"> батальон немедленно послали в город;</w:t>
      </w:r>
      <w:hyperlink w:anchor="__81">
        <w:r>
          <w:rPr>
            <w:rStyle w:val="Text2"/>
          </w:rPr>
          <w:bookmarkStart w:id="112" w:name="81"/>
          <w:t>81</w:t>
          <w:bookmarkEnd w:id="112"/>
        </w:r>
      </w:hyperlink>
      <w:r>
        <w:rPr>
          <w:rStyle w:val="Text3"/>
        </w:rPr>
        <w:t xml:space="preserve"> </w:t>
      </w:r>
      <w:r>
        <w:t xml:space="preserve"> </w:t>
        <w:t xml:space="preserve"> в другой </w:t>
        <w:t>раз батальон участвовал в депортации евреев Гамбурга.</w:t>
      </w:r>
    </w:p>
    <w:p>
      <w:pPr>
        <w:pStyle w:val="Para 02"/>
      </w:pPr>
      <w:r>
        <w:t xml:space="preserve">С середины октября 1941 </w:t>
        <w:t xml:space="preserve">и </w:t>
        <w:t xml:space="preserve">до конца февраля 1942 </w:t>
        <w:t>гг.</w:t>
        <w:t xml:space="preserve"> было </w:t>
        <w:t>отправлено 59 транспортов с «грузом» из 53 000 евреев и 5 000 цыган Третьего Рейха «на восток», в данном случае в Лодзе, Ригу, Ковно и Минск. Пять транспортов в Ковно и пять в Ригу по прибытию немедленно вырезали.</w:t>
      </w:r>
      <w:hyperlink w:anchor="__82">
        <w:r>
          <w:rPr>
            <w:rStyle w:val="Text2"/>
          </w:rPr>
          <w:bookmarkStart w:id="113" w:name="82"/>
          <w:t>82</w:t>
          <w:bookmarkEnd w:id="113"/>
        </w:r>
      </w:hyperlink>
      <w:r>
        <w:rPr>
          <w:rStyle w:val="Text3"/>
        </w:rPr>
        <w:t xml:space="preserve"> </w:t>
      </w:r>
      <w:r>
        <w:t xml:space="preserve"> Остальных «ликвидировали» не сразу. Сначала их сослали в гетто Лодзе (куда послали 5 000 австрийских цыган), Минска и Риги.</w:t>
      </w:r>
    </w:p>
    <w:p>
      <w:pPr>
        <w:pStyle w:val="Para 02"/>
      </w:pPr>
      <w:r>
        <w:t xml:space="preserve">Не подверглись немедленной экзекуции и четыре транспорта из Гамбурга. Первый, с 1 034 евреями, отправился 25 октября 1941 </w:t>
        <w:t>г.</w:t>
        <w:t xml:space="preserve"> в Лодзе. Второй, с 990 евреями, отбыл в Минск </w:t>
        <w:t>8</w:t>
        <w:t xml:space="preserve"> ноября. Третий в Минск 18 ноября, с 408 евреями Гамбурга и 500 Бремена. Четвёртый покинул Гамбург в направлении Риги 4 декабря с 808 людьми.</w:t>
      </w:r>
      <w:hyperlink w:anchor="__83">
        <w:r>
          <w:rPr>
            <w:rStyle w:val="Text2"/>
          </w:rPr>
          <w:bookmarkStart w:id="114" w:name="83"/>
          <w:t>83</w:t>
          <w:bookmarkEnd w:id="114"/>
        </w:r>
      </w:hyperlink>
      <w:r>
        <w:rPr>
          <w:rStyle w:val="Text3"/>
        </w:rPr>
        <w:t xml:space="preserve"> </w:t>
      </w:r>
      <w:r>
        <w:t xml:space="preserve"> </w:t>
      </w:r>
    </w:p>
    <w:p>
      <w:pPr>
        <w:pStyle w:val="Para 02"/>
      </w:pPr>
      <w:r>
        <w:t xml:space="preserve">Члены Полицейского Батальона 101 поучаствовали в различных фазах гамбургской депортации. Сборным пунктом для </w:t>
        <w:t>неё</w:t>
        <w:t xml:space="preserve"> стал конфискованн</w:t>
        <w:t>ы</w:t>
        <w:t xml:space="preserve">й Полицией Безопасности дом </w:t>
        <w:t>М</w:t>
        <w:t xml:space="preserve">асонской ложи в Мурвейде </w:t>
        <w:t>[Moorweide]</w:t>
        <w:t>. Нельзя назвать это место неприметным для местных жителей, ведь он</w:t>
        <w:t>о</w:t>
        <w:t xml:space="preserve"> соседствовал</w:t>
        <w:t>о</w:t>
        <w:t xml:space="preserve"> с университетской библиотекой, жилым кварталом и находил</w:t>
        <w:t>ось</w:t>
        <w:t xml:space="preserve"> всего в нескольких сотнях ярдов от тяжело нагруженной железнодорожной станцией Даммтора</w:t>
      </w:r>
      <w:hyperlink w:anchor="__84">
        <w:r>
          <w:rPr>
            <w:rStyle w:val="Text2"/>
          </w:rPr>
          <w:bookmarkStart w:id="115" w:name="84"/>
          <w:t>84</w:t>
          <w:bookmarkEnd w:id="115"/>
        </w:r>
      </w:hyperlink>
      <w:r>
        <w:rPr>
          <w:rStyle w:val="Text3"/>
        </w:rPr>
        <w:t xml:space="preserve"> </w:t>
      </w:r>
      <w:r>
        <w:t xml:space="preserve"> . Часть Полицейского Батальона 101 занималась охраной масонского дома, где евреев собирали, регистрировали и погружали в грузовики для отправки на железнодорожную станцию Штерншанце </w:t>
        <w:t>[</w:t>
        <w:t>Sternschanze</w:t>
        <w:t>]</w:t>
        <w:t>.</w:t>
      </w:r>
      <w:hyperlink w:anchor="__85">
        <w:r>
          <w:rPr>
            <w:rStyle w:val="Text2"/>
          </w:rPr>
          <w:bookmarkStart w:id="116" w:name="85"/>
          <w:t>85</w:t>
          <w:bookmarkEnd w:id="116"/>
        </w:r>
      </w:hyperlink>
      <w:r>
        <w:rPr>
          <w:rStyle w:val="Text3"/>
        </w:rPr>
        <w:t xml:space="preserve"> </w:t>
      </w:r>
      <w:r>
        <w:t xml:space="preserve"> Другие </w:t>
        <w:t>же</w:t>
        <w:t xml:space="preserve"> охраняли </w:t>
        <w:t xml:space="preserve">саму </w:t>
        <w:t>станцию, где евреев загружали в поезда.</w:t>
      </w:r>
      <w:hyperlink w:anchor="__86">
        <w:r>
          <w:rPr>
            <w:rStyle w:val="Text2"/>
          </w:rPr>
          <w:bookmarkStart w:id="117" w:name="86"/>
          <w:t>86</w:t>
          <w:bookmarkEnd w:id="117"/>
        </w:r>
      </w:hyperlink>
      <w:r>
        <w:rPr>
          <w:rStyle w:val="Text3"/>
        </w:rPr>
        <w:t xml:space="preserve"> </w:t>
      </w:r>
      <w:r>
        <w:t xml:space="preserve"> И наконец, Батальон 101 предоставлял эскорт для как минимум трёх из четырёх транспортировок — 25 октября в Лодзе; 8 ноября в Минск; и последний, 4 декабря в Ригу.</w:t>
      </w:r>
      <w:hyperlink w:anchor="__87">
        <w:r>
          <w:rPr>
            <w:rStyle w:val="Text2"/>
          </w:rPr>
          <w:bookmarkStart w:id="118" w:name="87"/>
          <w:t>87</w:t>
          <w:bookmarkEnd w:id="118"/>
        </w:r>
      </w:hyperlink>
      <w:r>
        <w:rPr>
          <w:rStyle w:val="Text3"/>
        </w:rPr>
        <w:t xml:space="preserve"> </w:t>
      </w:r>
      <w:r>
        <w:t xml:space="preserve"> Согласно Гансу Келлеру*, место в эскорте еврейского транспорта считалось «престижным» из-за возможности </w:t>
        <w:t>по</w:t>
        <w:t>путешествовать и обычно занималось кем-то из малого числа «привилегированных».</w:t>
      </w:r>
      <w:hyperlink w:anchor="__88">
        <w:r>
          <w:rPr>
            <w:rStyle w:val="Text2"/>
          </w:rPr>
          <w:bookmarkStart w:id="119" w:name="88"/>
          <w:t>88</w:t>
          <w:bookmarkEnd w:id="119"/>
        </w:r>
      </w:hyperlink>
      <w:r>
        <w:rPr>
          <w:rStyle w:val="Text3"/>
        </w:rPr>
        <w:t xml:space="preserve"> </w:t>
      </w:r>
      <w:r>
        <w:t xml:space="preserve"> </w:t>
      </w:r>
    </w:p>
    <w:p>
      <w:pPr>
        <w:pStyle w:val="Para 02"/>
      </w:pPr>
      <w:r>
        <w:t>Бруно Пробст, кто 8 ноября сопровождал транспорт в Минск, вспоминал:</w:t>
      </w:r>
    </w:p>
    <w:p>
      <w:pPr>
        <w:pStyle w:val="Para 35"/>
      </w:pPr>
      <w:r>
        <w:t/>
      </w:r>
    </w:p>
    <w:p>
      <w:pPr>
        <w:pStyle w:val="Para 04"/>
      </w:pPr>
      <w:r>
        <w:t xml:space="preserve">«В Гамбурге евреям сказали, что им выделят целое новое поселение на востоке. Их погрузили в обычные пассажирские вагоны ... вместе с двумя вагонами еды, инструментов, лопат, топоров, передвижной кухней и так далее. Для команды эскорта </w:t>
        <w:t>прицепили</w:t>
        <w:t xml:space="preserve"> вагон второго класса. В вагонах с евреями охраны не было — </w:t>
        <w:t>п</w:t>
        <w:t xml:space="preserve">оезд охранялся со </w:t>
        <w:t>обеих</w:t>
        <w:t xml:space="preserve"> сторон лишь во время остановок. Сильно за полдень четыре дня спустя мы достигли Минска. О конечной цели нашей поездки узнали только в пути, когда проходили Варшаву. В Минске нас уже ждала команда СС. Евреев, снова без охраны, погрузили в ожидавшие их грузовики, а позволенный им в Гамбурге багаж остался в поезде. Им </w:t>
        <w:t>объявили</w:t>
        <w:t xml:space="preserve">, что тот последует за ними. После этого наша команда совместно с немецким батальоном (не резервным) расположилась в русских казармах. Рядом был лагерь евреев ... Из разговоров с членами вышеупомянутого батальона мы узнали об их участии в расстрелах евреев в Минске. Из этого мы заключили, что и евреи Гамбурга </w:t>
        <w:t xml:space="preserve">тоже </w:t>
        <w:t>будут расстреляны».</w:t>
      </w:r>
    </w:p>
    <w:p>
      <w:pPr>
        <w:pStyle w:val="Para 35"/>
      </w:pPr>
      <w:r>
        <w:t/>
      </w:r>
    </w:p>
    <w:p>
      <w:pPr>
        <w:pStyle w:val="Para 05"/>
      </w:pPr>
      <w:r>
        <w:rPr>
          <w:rStyle w:val="Text6"/>
        </w:rPr>
        <w:t/>
      </w:r>
      <w:r>
        <w:t>Командир эскорта лейтенант Хартвиг Гн</w:t>
        <w:t>а</w:t>
        <w:t>д</w:t>
        <w:t>е</w:t>
        <w:t>, не желая оказаться привлечённым к такому, в бараках не остался. Вместо этого он со своими людьми вернулся на станцию и сел на поздний поезд из Минска.</w:t>
      </w:r>
      <w:hyperlink w:anchor="__89">
        <w:r>
          <w:rPr>
            <w:rStyle w:val="Text2"/>
          </w:rPr>
          <w:bookmarkStart w:id="120" w:name="89"/>
          <w:t>89</w:t>
          <w:bookmarkEnd w:id="120"/>
        </w:r>
      </w:hyperlink>
      <w:r>
        <w:rPr>
          <w:rStyle w:val="Text3"/>
        </w:rPr>
        <w:t xml:space="preserve"> </w:t>
      </w:r>
      <w:r>
        <w:t xml:space="preserve"> </w:t>
      </w:r>
      <w:r>
        <w:rPr>
          <w:rStyle w:val="Text6"/>
        </w:rPr>
        <w:t xml:space="preserve"> </w:t>
      </w:r>
    </w:p>
    <w:p>
      <w:pPr>
        <w:pStyle w:val="Para 02"/>
      </w:pPr>
      <w:r>
        <w:t xml:space="preserve">Описаний транспортировки из Гамбурга в Ригу у нас нет, но рапорт Салиттера об эскорте еврейского транспорта Полицией Порядка 11 декабря из Дюссельдорфа в Ригу предоставляет красочное доказательство, что там полицейские узнали примерно тоже самое, что и Гамбургские полицейские в Минске. Как </w:t>
        <w:t>отметил</w:t>
        <w:t xml:space="preserve"> Салиттер:</w:t>
      </w:r>
    </w:p>
    <w:p>
      <w:pPr>
        <w:pStyle w:val="Para 35"/>
      </w:pPr>
      <w:r>
        <w:t/>
      </w:r>
    </w:p>
    <w:p>
      <w:pPr>
        <w:pStyle w:val="Para 04"/>
      </w:pPr>
      <w:r>
        <w:rPr>
          <w:rStyle w:val="Text9"/>
        </w:rPr>
        <w:t/>
      </w:r>
      <w:r>
        <w:t xml:space="preserve">«Население Риги составляло примерно 360 000 человек, включая около 35 000 евреев. Те доминировали в мире бизнеса. </w:t>
        <w:t>После ввода немецких войск, тем не менее,</w:t>
        <w:t xml:space="preserve"> </w:t>
        <w:t>и</w:t>
        <w:t xml:space="preserve">х бизнес был незамедлительно закрыт и конфискован. Самих евреев расположили в обнесённом колючей проволокой гетто </w:t>
        <w:t xml:space="preserve">около </w:t>
        <w:t>Дюн</w:t>
        <w:t>ы</w:t>
      </w:r>
      <w:hyperlink w:anchor="__90">
        <w:r>
          <w:rPr>
            <w:rStyle w:val="Text2"/>
          </w:rPr>
          <w:bookmarkStart w:id="121" w:name="90"/>
          <w:t>90</w:t>
          <w:bookmarkEnd w:id="121"/>
        </w:r>
      </w:hyperlink>
      <w:r>
        <w:rPr>
          <w:rStyle w:val="Text3"/>
        </w:rPr>
        <w:t xml:space="preserve"> </w:t>
      </w:r>
      <w:r>
        <w:t xml:space="preserve"> </w:t>
        <w:t xml:space="preserve">. </w:t>
        <w:t xml:space="preserve">Вроде как сейчас </w:t>
        <w:t xml:space="preserve">в гетто </w:t>
        <w:t>осталось</w:t>
        <w:t xml:space="preserve"> лишь 2500 рабочих мужчин евреев. Остальных либо сослали </w:t>
        <w:t>на работы</w:t>
        <w:t xml:space="preserve"> в похожие гетто, либо латвийцы их расстреляли ... Они (</w:t>
        <w:t>л</w:t>
        <w:t>атвийцы) особенно ненавид</w:t>
        <w:t>ят</w:t>
        <w:t xml:space="preserve"> евреев. С самого момента освобождения и по сегодняшний день, они крайне активно участвовали в уничтожении этих паразитов. Однако, как мне удалось выяснить в одном разговоре с латвийскими железнодорожниками, для них оказалось выше понимания, почему немцы привозят евреев в Латвию, а не уничтожают их в своей стране».</w:t>
      </w:r>
      <w:hyperlink w:anchor="__91">
        <w:r>
          <w:rPr>
            <w:rStyle w:val="Text2"/>
          </w:rPr>
          <w:bookmarkStart w:id="122" w:name="91"/>
          <w:t>91</w:t>
          <w:bookmarkEnd w:id="122"/>
        </w:r>
      </w:hyperlink>
      <w:r>
        <w:rPr>
          <w:rStyle w:val="Text3"/>
        </w:rPr>
        <w:t xml:space="preserve"> </w:t>
      </w:r>
      <w:r>
        <w:t xml:space="preserve"> </w:t>
      </w:r>
      <w:r>
        <w:rPr>
          <w:rStyle w:val="Text9"/>
        </w:rPr>
        <w:t xml:space="preserve"> </w:t>
      </w:r>
    </w:p>
    <w:p>
      <w:pPr>
        <w:pStyle w:val="Para 35"/>
      </w:pPr>
      <w:r>
        <w:t/>
      </w:r>
    </w:p>
    <w:p>
      <w:pPr>
        <w:pStyle w:val="Para 05"/>
      </w:pPr>
      <w:r>
        <w:rPr>
          <w:rStyle w:val="Text6"/>
        </w:rPr>
        <w:t/>
      </w:r>
      <w:r>
        <w:t>Полицейский Резервный Батальон 1</w:t>
        <w:t>0</w:t>
        <w:t xml:space="preserve">1 в июне 1942 </w:t>
        <w:t>г.</w:t>
        <w:t xml:space="preserve"> отправили в очередную командировку в Польш</w:t>
        <w:t>у</w:t>
        <w:t xml:space="preserve">. К тому моменту в составе осталось лишь несколько унтер-офицеров присутствовавших на первой польской акции. А во второй акции в Вартегау участвовало меньше 20% членов батальона. Некоторые из них стали свидетелями, </w:t>
        <w:t>как они сказали,</w:t>
        <w:t xml:space="preserve"> «перегибов» в Познани и Лодзе. Некоторые сопровождали один из транспортов с </w:t>
        <w:t>гамбургскими евреями на пути в Лодз</w:t>
        <w:t>ь</w:t>
        <w:t xml:space="preserve">, Минск или Ригу. В последних двух </w:t>
        <w:t>местах</w:t>
        <w:t xml:space="preserve">, как мы видели, было сложно не узнать что-нибудь о массовых убийствах евреев в </w:t>
        <w:t>СССР</w:t>
        <w:t>. Но по большей части, Полицейский Резервный Батальон 101 теперь состоял из людей без какого-либо опыта работы на оккупированных немцами территориях в восточной Европе или, если на то пошло — за исключением нескольких совсем старых ветеранов Первой Мировой — без какого-либо опыта военной службы вообще.</w:t>
      </w:r>
      <w:r>
        <w:rPr>
          <w:rStyle w:val="Text6"/>
        </w:rPr>
        <w:t xml:space="preserve"> </w:t>
      </w:r>
    </w:p>
    <w:p>
      <w:pPr>
        <w:pStyle w:val="Para 02"/>
      </w:pPr>
      <w:r>
        <w:t xml:space="preserve">Кадрово </w:t>
        <w:t>батальон</w:t>
        <w:t xml:space="preserve"> состоял из 11 офицеров, 5 гражданских администраторов (</w:t>
        <w:t>заведующие</w:t>
        <w:t xml:space="preserve"> финансовыми делами </w:t>
        <w:t>вроде выплат</w:t>
        <w:t>, провизи</w:t>
        <w:t>и</w:t>
        <w:t xml:space="preserve">, </w:t>
        <w:t>расквартировками</w:t>
        <w:t xml:space="preserve"> и так далее), 486 рядовых и унтер-офицеров.</w:t>
      </w:r>
      <w:hyperlink w:anchor="__92">
        <w:r>
          <w:rPr>
            <w:rStyle w:val="Text2"/>
          </w:rPr>
          <w:bookmarkStart w:id="123" w:name="92"/>
          <w:t>92</w:t>
          <w:bookmarkEnd w:id="123"/>
        </w:r>
      </w:hyperlink>
      <w:r>
        <w:rPr>
          <w:rStyle w:val="Text3"/>
        </w:rPr>
        <w:t xml:space="preserve"> </w:t>
      </w:r>
      <w:r>
        <w:t xml:space="preserve"> В последнюю минуту для достижения полной численности батальона, контингент доукомплектовали отрядами из близлежащих Вильгельмсхафена и Рендсбурга (Шлезвиг-Гольштейн), а так же из далёкого Люксембурга. Но вс</w:t>
        <w:t>ё</w:t>
        <w:t xml:space="preserve"> же большинство призванных жили и росли в Гамбурге или его округах. Гамбургский «элемент» был настолько выделяющимся, что чужими себя чувствовали не только люксембуржцы, но и отряды из Вильгельмсхафена и Рендсбурга.</w:t>
      </w:r>
      <w:hyperlink w:anchor="__93">
        <w:r>
          <w:rPr>
            <w:rStyle w:val="Text2"/>
          </w:rPr>
          <w:bookmarkStart w:id="124" w:name="93"/>
          <w:t>93</w:t>
          <w:bookmarkEnd w:id="124"/>
        </w:r>
      </w:hyperlink>
      <w:r>
        <w:rPr>
          <w:rStyle w:val="Text3"/>
        </w:rPr>
        <w:t xml:space="preserve"> </w:t>
      </w:r>
      <w:r>
        <w:t xml:space="preserve"> </w:t>
      </w:r>
    </w:p>
    <w:p>
      <w:pPr>
        <w:pStyle w:val="Para 02"/>
      </w:pPr>
      <w:r>
        <w:t xml:space="preserve">Батальон разделили на три роты, каждая примерно по 140 человек в полном составе. Двумя ротами командовали капитаны полиции, третьим старший лейтенант запаса в батальоне. Каждую роту поделили на три взвода. Двумя командовали лейтенанты запаса, третьими старшие сержанты взводов. Каждый взвод был разделен на четыре отряда под руководством сержантов или капралов. Рядовых экипировали карабинами, унтер-офицеров пистолетами-пулемётами. К каждой роте прикрепили отделение тяжёлых пулемётов. </w:t>
        <w:t>П</w:t>
        <w:t>омимо пяти гражданских администраторов Персонал штаба батальона включал в себя доктора и его помощника, а так же водителей, клерков и специалистов по связи.</w:t>
      </w:r>
    </w:p>
    <w:p>
      <w:pPr>
        <w:pStyle w:val="Para 02"/>
      </w:pPr>
      <w:r>
        <w:t xml:space="preserve">Командовал батальоном майор Вильгельм Трапп, </w:t>
        <w:t>пятьдесят три</w:t>
        <w:t xml:space="preserve"> года, ветеран Первой Мировой с Железным Крестом первого класса. После войны он устроился в полицию и поднялся по карьерной лестнице. Его недавно повысили из капитана второй роты, так что это был его первый опыт командования батальоном. Из-за раннего вступления в нацистскую партию в декабре 1942 </w:t>
        <w:t>г.</w:t>
        <w:t xml:space="preserve"> Трапп технически мог бы считаться «старым бойцом партии» </w:t>
        <w:t>[</w:t>
        <w:t>Alter Kämpfer</w:t>
        <w:t>]</w:t>
        <w:t xml:space="preserve">, но в СС его никогда не принимали и равноценное звание СС не давали, </w:t>
        <w:t xml:space="preserve">даже </w:t>
        <w:t>несмотря на постоянн</w:t>
        <w:t>ые</w:t>
        <w:t xml:space="preserve"> попытки Гиммлера и Гейдриха по слиянию и переплетению государственных, партийных элементов СС и полицейской империи. Трапп явно не считался подходящим </w:t>
        <w:t>материалом</w:t>
        <w:t xml:space="preserve"> для СС. Быстро развился конфликт между ним и его двумя капитанами, молодыми членами СС, </w:t>
        <w:t>которые</w:t>
        <w:t xml:space="preserve"> д</w:t>
        <w:t>аже двадцать лет спустя в своих показаниях не пытались скрыть своё презрение к командиру как к слабому, невоенному и неправомерно встревающему в дела его офицеров.</w:t>
      </w:r>
      <w:hyperlink w:anchor="__94">
        <w:r>
          <w:rPr>
            <w:rStyle w:val="Text2"/>
          </w:rPr>
          <w:bookmarkStart w:id="125" w:name="94"/>
          <w:t>94</w:t>
          <w:bookmarkEnd w:id="125"/>
        </w:r>
      </w:hyperlink>
      <w:r>
        <w:rPr>
          <w:rStyle w:val="Text3"/>
        </w:rPr>
        <w:t xml:space="preserve"> </w:t>
      </w:r>
      <w:r>
        <w:t xml:space="preserve"> </w:t>
      </w:r>
    </w:p>
    <w:p>
      <w:pPr>
        <w:pStyle w:val="Para 02"/>
      </w:pPr>
      <w:r>
        <w:t xml:space="preserve">Два капитана полиции, имевшие так же равноценное звание гауптштурмфюреров СС, были молодыми людьми на своём третьем десятке лет. </w:t>
      </w:r>
    </w:p>
    <w:p>
      <w:pPr>
        <w:pStyle w:val="Para 02"/>
      </w:pPr>
      <w:r>
        <w:t xml:space="preserve">Вольфганг Хоффман, родился в 1914 </w:t>
        <w:t>г.</w:t>
        <w:t>, в 1930-</w:t>
        <w:t>м</w:t>
        <w:t xml:space="preserve"> в возрасте шестнадцати лет вступил в Национал-Социалистический союз школьников </w:t>
        <w:t>[</w:t>
        <w:t>NS-Schülerbund, в 1932-</w:t>
        <w:t>м</w:t>
        <w:t xml:space="preserve"> в восемнадцать в гитлерюгенд </w:t>
        <w:t>[</w:t>
        <w:t>Hitler Youth</w:t>
        <w:t>]</w:t>
        <w:t xml:space="preserve">, и годом спустя в СС. Все это ещё до его выпуска из </w:t>
      </w:r>
      <w:r>
        <w:rPr>
          <w:rStyle w:val="Text0"/>
        </w:rPr>
        <w:t>Гимназиума</w:t>
      </w:r>
      <w:r>
        <w:t xml:space="preserve"> (старшая школа для подготовки к колледжу) в 1934 </w:t>
        <w:t>г</w:t>
        <w:t>. На службу в полицию Бреслау [Wrocław] поступил в 1936-</w:t>
        <w:t>м</w:t>
        <w:t>, а в 1937-</w:t>
        <w:t>м</w:t>
        <w:t xml:space="preserve"> зачислился в Нацистскую Партию. В том же году он окончил офицерскую подготовку и получил звание лейтенанта Полиции Охраны. Весной 1942-</w:t>
        <w:t>го</w:t>
        <w:t xml:space="preserve"> присоединился к Полицейскому Резервному Батальону 101. В июне в возрасте двадцати восьми повышен до звания капитана.</w:t>
      </w:r>
      <w:hyperlink w:anchor="__95">
        <w:r>
          <w:rPr>
            <w:rStyle w:val="Text2"/>
          </w:rPr>
          <w:bookmarkStart w:id="126" w:name="95"/>
          <w:t>95</w:t>
          <w:bookmarkEnd w:id="126"/>
        </w:r>
      </w:hyperlink>
      <w:r>
        <w:rPr>
          <w:rStyle w:val="Text3"/>
        </w:rPr>
        <w:t xml:space="preserve"> </w:t>
      </w:r>
      <w:r>
        <w:t xml:space="preserve"> Командовал третьей ротой.</w:t>
      </w:r>
    </w:p>
    <w:p>
      <w:pPr>
        <w:pStyle w:val="Para 02"/>
      </w:pPr>
      <w:r>
        <w:t xml:space="preserve">Юлиус Волауф. Родился в 1913 </w:t>
        <w:t>г</w:t>
        <w:t>. Окончил Гимназиум в 1932-</w:t>
        <w:t>м</w:t>
        <w:t>. В апреле 1933-</w:t>
        <w:t>го</w:t>
        <w:t xml:space="preserve"> вступил в Нацистскую Партию и Штурмовые Отряды</w:t>
      </w:r>
      <w:hyperlink w:anchor="__96">
        <w:r>
          <w:rPr>
            <w:rStyle w:val="Text2"/>
          </w:rPr>
          <w:bookmarkStart w:id="127" w:name="96"/>
          <w:t>96</w:t>
          <w:bookmarkEnd w:id="127"/>
        </w:r>
      </w:hyperlink>
      <w:r>
        <w:rPr>
          <w:rStyle w:val="Text3"/>
        </w:rPr>
        <w:t xml:space="preserve"> </w:t>
      </w:r>
      <w:r>
        <w:t xml:space="preserve"> . В 1936-</w:t>
        <w:t>м</w:t>
        <w:t xml:space="preserve"> был принят в СС и начал свою офицерскую подготовку. Получил звание лейтенанта Полиции Охраны в 1938 </w:t>
        <w:t>г</w:t>
        <w:t>. Ранним 1942-</w:t>
        <w:t>м</w:t>
        <w:t xml:space="preserve"> точно так же был прикреплён к Полицейскому Батальону 101 и в июне повышен до капитана, прямо перед отправкой в Польшу.</w:t>
      </w:r>
      <w:hyperlink w:anchor="__97">
        <w:r>
          <w:rPr>
            <w:rStyle w:val="Text2"/>
          </w:rPr>
          <w:bookmarkStart w:id="128" w:name="97"/>
          <w:t>97</w:t>
          <w:bookmarkEnd w:id="128"/>
        </w:r>
      </w:hyperlink>
      <w:r>
        <w:rPr>
          <w:rStyle w:val="Text3"/>
        </w:rPr>
        <w:t xml:space="preserve"> </w:t>
      </w:r>
      <w:r>
        <w:t xml:space="preserve"> Командовал первой ротой и служил Траппу заместителем командира батальона. В отличии от пожилого Траппа, Хоффман и Волауф представляли собой именно тот идеальный образ молодого, образованного и профессионального офицера полиции, ярого сторонника нацизма и СС, который Гиммлер и Гейдрих видели в качестве идеала для полиции и СС.</w:t>
      </w:r>
    </w:p>
    <w:p>
      <w:pPr>
        <w:pStyle w:val="Para 02"/>
      </w:pPr>
      <w:r>
        <w:t xml:space="preserve">Адъютантом Траппа </w:t>
        <w:t>стал</w:t>
        <w:t xml:space="preserve"> старший лейтенант Хаген*, о котором мало что известно, кроме того, что он был убит весной 1943 </w:t>
        <w:t>г</w:t>
        <w:t>. Помимо них батальон насчитывал семь лейтенантов запаса. Все без профессиональной полицейской подготовки как Хоффман или Волауф, но из-за своего образования, успехов в гражданской жизни и принадлежности к среднему классу, получившие подготовку офицеров во время призыва в Полицию Порядка. От старшего к младшему:</w:t>
      </w:r>
    </w:p>
    <w:p>
      <w:pPr>
        <w:pStyle w:val="Para 04"/>
      </w:pPr>
      <w:r>
        <w:t>Хартвиг Гн</w:t>
        <w:t>а</w:t>
        <w:t>д</w:t>
        <w:t>е</w:t>
        <w:t>, 1984 года, экспедитор и член нацистской партии с 1937-</w:t>
        <w:t>го</w:t>
        <w:t>, командир второй роты.</w:t>
      </w:r>
    </w:p>
    <w:p>
      <w:pPr>
        <w:pStyle w:val="Para 04"/>
      </w:pPr>
      <w:r>
        <w:t>Пол Бренд*, 1902 год</w:t>
        <w:t>а</w:t>
        <w:t xml:space="preserve"> рождения.</w:t>
      </w:r>
    </w:p>
    <w:p>
      <w:pPr>
        <w:pStyle w:val="Para 04"/>
      </w:pPr>
      <w:r>
        <w:t>Хайнц Бухман*, 1904 года, владелец семейного лесозаготовочного бизнеса. Член партии с 1937-</w:t>
        <w:t>го</w:t>
        <w:t>.</w:t>
      </w:r>
    </w:p>
    <w:p>
      <w:pPr>
        <w:pStyle w:val="Para 04"/>
      </w:pPr>
      <w:r>
        <w:t>Оскар Питерс*, 1905 года.</w:t>
      </w:r>
    </w:p>
    <w:p>
      <w:pPr>
        <w:pStyle w:val="Para 04"/>
      </w:pPr>
      <w:r>
        <w:t xml:space="preserve">Уолтер Хоппнер*, 1908 года, импортёр чая. Кратко являлся членом партии в 1930, полноценно вступил весной 1933 </w:t>
        <w:t>г</w:t>
        <w:t>.</w:t>
      </w:r>
    </w:p>
    <w:p>
      <w:pPr>
        <w:pStyle w:val="Para 04"/>
      </w:pPr>
      <w:r>
        <w:t xml:space="preserve">Ганс Шир*, 1908 года, член партии с мая 1933 </w:t>
        <w:t>г</w:t>
        <w:t>.</w:t>
      </w:r>
    </w:p>
    <w:p>
      <w:pPr>
        <w:pStyle w:val="Para 04"/>
      </w:pPr>
      <w:r>
        <w:t xml:space="preserve">Курт Дракер*, 1909 года, продавец и член партии с 1939 </w:t>
        <w:t>г</w:t>
        <w:t>.</w:t>
      </w:r>
      <w:hyperlink w:anchor="__98">
        <w:r>
          <w:rPr>
            <w:rStyle w:val="Text2"/>
          </w:rPr>
          <w:bookmarkStart w:id="129" w:name="98"/>
          <w:t>98</w:t>
          <w:bookmarkEnd w:id="129"/>
        </w:r>
      </w:hyperlink>
      <w:r>
        <w:rPr>
          <w:rStyle w:val="Text3"/>
        </w:rPr>
        <w:t xml:space="preserve"> </w:t>
      </w:r>
      <w:r>
        <w:t xml:space="preserve"> </w:t>
      </w:r>
    </w:p>
    <w:p>
      <w:pPr>
        <w:pStyle w:val="Para 05"/>
      </w:pPr>
      <w:r>
        <w:rPr>
          <w:rStyle w:val="Text6"/>
        </w:rPr>
        <w:t/>
      </w:r>
      <w:r>
        <w:t>Таким образом, их возраст варьируется от тридцати трёх до сорока восьми. Пятеро членов партии, но никого из СС.</w:t>
      </w:r>
      <w:r>
        <w:rPr>
          <w:rStyle w:val="Text6"/>
        </w:rPr>
        <w:t xml:space="preserve"> </w:t>
      </w:r>
    </w:p>
    <w:p>
      <w:pPr>
        <w:pStyle w:val="Para 02"/>
      </w:pPr>
      <w:r>
        <w:t xml:space="preserve">По имеющейся у нас информации, из тридцати двух унтер-офицеров, двадцать два состояло в партии и семеро в СС. Их возраст от двадцати семи до сорока лет; </w:t>
        <w:t>в</w:t>
        <w:t xml:space="preserve"> среднем тридцать три с половиной. В запасе не числились, </w:t>
        <w:t>поступили</w:t>
        <w:t xml:space="preserve"> на службу в полицию перед войной.</w:t>
      </w:r>
    </w:p>
    <w:p>
      <w:pPr>
        <w:pStyle w:val="Para 02"/>
      </w:pPr>
      <w:r>
        <w:t/>
        <w:t xml:space="preserve">Подавляющее большинство </w:t>
        <w:t>рядовых родом из Гамбурга или его окрестностей. Около 63% из рабочего класса, некоторые являлись квалифицированными рабочими. Большинство выполняло типичные для рабочего класса Гамбурга работы: много работников доков и водителей грузовиков, а так же кладовщиков и строителей, механизаторов, моряков и официантов. Около 35% принадлежал</w:t>
        <w:t>о</w:t>
        <w:t xml:space="preserve"> к нижней черте среднего класса, буквально все — белы</w:t>
        <w:t xml:space="preserve">е </w:t>
        <w:t>воротничк</w:t>
        <w:t>и</w:t>
        <w:t xml:space="preserve">. Три четверти из них работали в сфере продаж, четверть выполняла ту или иную офисную работу в государственном или частном секторах. Бизнесменов или индивидуальных ремесленников было очень мало. Лишь 2% принадлежало к профессионалам среднего класса, да и те были учителями или аптекарями. Их средний возраст — 39 лет. </w:t>
        <w:t>Больше п</w:t>
        <w:t>оловин</w:t>
        <w:t>ы</w:t>
        <w:t xml:space="preserve"> возрастом между тридцатью семью и сорока двумя годами — </w:t>
        <w:t>э</w:t>
        <w:t>та возрастная группа считалась слишком старой для армии, но после сентября 1939-</w:t>
        <w:t>го</w:t>
        <w:t xml:space="preserve"> часто призывалась на службу полиции резерва.</w:t>
      </w:r>
      <w:hyperlink w:anchor="__99">
        <w:r>
          <w:rPr>
            <w:rStyle w:val="Text2"/>
          </w:rPr>
          <w:bookmarkStart w:id="130" w:name="99"/>
          <w:t>99</w:t>
          <w:bookmarkEnd w:id="130"/>
        </w:r>
      </w:hyperlink>
      <w:r>
        <w:rPr>
          <w:rStyle w:val="Text3"/>
        </w:rPr>
        <w:t xml:space="preserve"> </w:t>
      </w:r>
      <w:r>
        <w:t xml:space="preserve"> </w:t>
      </w:r>
    </w:p>
    <w:p>
      <w:pPr>
        <w:pStyle w:val="Para 02"/>
      </w:pPr>
      <w:r>
        <w:t xml:space="preserve">Среди рядовых, около 25% (43 из выборки в 174) имели членство в партии. Шестеро были «старыми бойцами» </w:t>
        <w:t>[</w:t>
        <w:t>Alte Kämpfer</w:t>
        <w:t>]</w:t>
        <w:t xml:space="preserve"> — вступили в партию ещё до прихода Гитлера к власти. Шестеро вступили в 1933-</w:t>
        <w:t>м</w:t>
        <w:t>. Несмотря на внутренний запрет на вступление (1933-1937), шестеро корабельных рабочих приняты в секцию партии для членов живущих за границей. В 1937-</w:t>
        <w:t>м,</w:t>
        <w:t xml:space="preserve"> когда запрет отменили, вступили шестнадцать. Оставшиеся девять вступили в 1939-</w:t>
        <w:t>м</w:t>
        <w:t xml:space="preserve"> или позже. Среди людей нижней границы среднего класса партийных членов, в сравнении с рабочим классом (25%) было лишь немногим больше (30%).</w:t>
      </w:r>
      <w:hyperlink w:anchor="__100">
        <w:r>
          <w:rPr>
            <w:rStyle w:val="Text2"/>
          </w:rPr>
          <w:bookmarkStart w:id="131" w:name="100"/>
          <w:t>100</w:t>
          <w:bookmarkEnd w:id="131"/>
        </w:r>
      </w:hyperlink>
      <w:r>
        <w:rPr>
          <w:rStyle w:val="Text3"/>
        </w:rPr>
        <w:t xml:space="preserve"> </w:t>
      </w:r>
      <w:r>
        <w:t xml:space="preserve"> </w:t>
      </w:r>
    </w:p>
    <w:p>
      <w:pPr>
        <w:pStyle w:val="Para 05"/>
      </w:pPr>
      <w:r>
        <w:t xml:space="preserve"> Члены Полицейского Резервного Батальона 101 принадлежали к низам немецкого общества. Не знали ни экономической, ни географической мобильности. Очень немногие </w:t>
        <w:t>имели</w:t>
        <w:t xml:space="preserve"> экономическ</w:t>
        <w:t xml:space="preserve">ую </w:t>
        <w:t>независим</w:t>
        <w:t>ость</w:t>
        <w:t>. Не считая обучения на подмастерье или профессиональных подготовок, буквально никто не получал образование после окончания средней школы (Volksschule — 9 классов) в 14 или 15 лет. К 1942-</w:t>
        <w:t>му</w:t>
        <w:t xml:space="preserve"> удивительно высокий процент из них вступил в партию. Проводившие допрос не сохраняли подобных данных, поэтому мы не знаем сколько из них до 1933 </w:t>
        <w:t>г.</w:t>
        <w:t xml:space="preserve"> было коммунистом, социалистом и/или членом профсоюза, </w:t>
        <w:t>но</w:t>
        <w:t xml:space="preserve"> </w:t>
        <w:t>п</w:t>
        <w:t xml:space="preserve">редположительно немало, учитывая их социальное происхождение. Из-за возраста, конечно же, все сформировались как личности ещё до нацистского режима. Это были люди, знавшие существовании политики, стандартов и моральных норм помимо нацистских. Большинство пришло из Гамбурга, имевшего репутацию наименее «нацифицированного» города в Германии, и большинство из социального класса, </w:t>
        <w:t>который</w:t>
        <w:t xml:space="preserve"> по своей политической культуре </w:t>
        <w:t>являлся антинацистским.</w:t>
        <w:t xml:space="preserve"> Сложно назвать подобную группу людей перспективной для набора массовых убийц </w:t>
        <w:t>для</w:t>
        <w:t xml:space="preserve"> имплементаци</w:t>
        <w:t>и</w:t>
        <w:t xml:space="preserve"> нацистского видения свободной от евреев расовой утопии.</w:t>
      </w:r>
      <w:r>
        <w:rPr>
          <w:rStyle w:val="Text7"/>
        </w:rPr>
        <w:t xml:space="preserve"> </w:t>
      </w:r>
    </w:p>
    <w:p>
      <w:pPr>
        <w:pStyle w:val="Heading 2"/>
      </w:pPr>
      <w:r>
        <w:bookmarkStart w:id="132" w:name="anchor16"/>
        <w:t/>
        <w:bookmarkEnd w:id="132"/>
        <w:t>Глава 6</w:t>
        <w:bookmarkStart w:id="133" w:name="anchor62"/>
        <w:t/>
        <w:bookmarkEnd w:id="133"/>
        <w:bookmarkStart w:id="134" w:name="anchor63"/>
        <w:t/>
        <w:bookmarkEnd w:id="134"/>
      </w:r>
    </w:p>
    <w:p>
      <w:pPr>
        <w:pStyle w:val="Para 11"/>
      </w:pPr>
      <w:r>
        <w:bookmarkStart w:id="135" w:name="anchor17"/>
        <w:t/>
        <w:bookmarkEnd w:id="135"/>
        <w:t>Прибытие в Польшу</w:t>
      </w:r>
    </w:p>
    <w:p>
      <w:pPr>
        <w:pStyle w:val="Para 09"/>
      </w:pPr>
      <w:r>
        <w:t xml:space="preserve"> </w:t>
        <w:br w:clear="none"/>
      </w:r>
    </w:p>
    <w:p>
      <w:pPr>
        <w:pStyle w:val="Para 05"/>
      </w:pPr>
      <w:r>
        <w:rPr>
          <w:rStyle w:val="Text7"/>
        </w:rPr>
        <w:t/>
      </w:r>
      <w:r>
        <w:t xml:space="preserve">Где-то летом 1941 </w:t>
        <w:t>г.</w:t>
        <w:t xml:space="preserve"> во время чисток </w:t>
        <w:t>совет</w:t>
        <w:t xml:space="preserve">ских евреев, Гиммлер поведал </w:t>
        <w:t>Руководителю</w:t>
        <w:t xml:space="preserve"> Полиции и СС в Люблино Одило Глобочнику намерение Гитлера уничтожить евреев в Европе. Более того, Гиммлер поставил Глобочника во главе самой главной части «</w:t>
        <w:t>Окончательно</w:t>
        <w:t xml:space="preserve">го Решения Еврейского Вопроса в Европе» — уничтожение евреев в Генерал-губернаторстве, где проживало большинство евреев Польши. Был необходим более эффективный метод уничтожения европейских евреев, чем применяемый против евреев </w:t>
        <w:t>СССР</w:t>
        <w:t xml:space="preserve"> расстрел. Метод более эффективный, менее публичный и не так психологически давящий на убийц.</w:t>
      </w:r>
      <w:r>
        <w:rPr>
          <w:rStyle w:val="Text7"/>
        </w:rPr>
        <w:t xml:space="preserve"> </w:t>
      </w:r>
    </w:p>
    <w:p>
      <w:pPr>
        <w:pStyle w:val="Para 02"/>
      </w:pPr>
      <w:r>
        <w:t xml:space="preserve">Организационным и технологическим ответом на подобный запрос стали лагеря смерти. В них следовало переправлять жертв, где в относительной секретности их бы травили газом. </w:t>
        <w:t>Б</w:t>
        <w:t xml:space="preserve">лагодаря конвейерной организации процесса требовалось очень небольшое количество работников, большинство из которых набиралось </w:t>
        <w:t xml:space="preserve">бы </w:t>
        <w:t xml:space="preserve">из самих заключённых. Подготовка началось осенью 1941 </w:t>
        <w:t>г.</w:t>
        <w:t xml:space="preserve"> в трёх локациях: Освенциме-Биркенау около Катовице </w:t>
        <w:t xml:space="preserve">[Katowice] </w:t>
        <w:t xml:space="preserve">в Силезии, Хелмно </w:t>
        <w:t xml:space="preserve">[Chełmno] </w:t>
        <w:t>около Лодзе в Вартегау (</w:t>
        <w:t>о</w:t>
        <w:t xml:space="preserve">ба лагеря на </w:t>
        <w:t>включённых в Германию</w:t>
        <w:t xml:space="preserve"> территориях) и Белжеце в Люблине — в </w:t>
        <w:t xml:space="preserve">округе </w:t>
        <w:t>под контролем Глобочника. Массовые казни газом запустили в Хелмно ранним декабрём 1941-</w:t>
        <w:t>го</w:t>
        <w:t xml:space="preserve"> и в Биркенау в середине февраля 1942-</w:t>
        <w:t>го</w:t>
        <w:t>.</w:t>
      </w:r>
      <w:hyperlink w:anchor="__101">
        <w:r>
          <w:rPr>
            <w:rStyle w:val="Text2"/>
          </w:rPr>
          <w:bookmarkStart w:id="136" w:name="101"/>
          <w:t>101</w:t>
          <w:bookmarkEnd w:id="136"/>
        </w:r>
      </w:hyperlink>
      <w:r>
        <w:rPr>
          <w:rStyle w:val="Text3"/>
        </w:rPr>
        <w:t xml:space="preserve"> </w:t>
      </w:r>
      <w:r>
        <w:t xml:space="preserve"> Лагерь Глобочника в Белжеце не начал свою работу до середины марта 1942 </w:t>
        <w:t>г</w:t>
        <w:t>.</w:t>
      </w:r>
    </w:p>
    <w:p>
      <w:pPr>
        <w:pStyle w:val="Para 02"/>
      </w:pPr>
      <w:r>
        <w:t>Перед Глобочником стояла задача огромного масштаба, но для её выполнения ему не дали практически никаких ресурсов. Ему удалось привлечь персонал «программы по эвтаназии» в Германии для экспертизы и помощи в строительстве и управлени</w:t>
        <w:t>и</w:t>
        <w:t xml:space="preserve"> центра по уничтожению в Белжеце, но это была всего горстка людей, численностью менее сотни. С таким количеством рабочей силы нельзя было оперировать </w:t>
        <w:t>даже</w:t>
        <w:t xml:space="preserve"> одним лагерем смерти, однако Глобочник построит ещё два — в Собиборе и Треблинке. Но самой большой проблемой стала не организация лагерей смерти, а острая нехватка рабочей силы для зачисток гетто — для захвата жертв и загона их в поезда смерти. В одном только </w:t>
        <w:t>округе</w:t>
        <w:t xml:space="preserve"> Люблина было около 300 000 евреев, во всем Генерал-губернаторстве около 2 000 000!</w:t>
      </w:r>
    </w:p>
    <w:p>
      <w:pPr>
        <w:pStyle w:val="Para 02"/>
      </w:pPr>
      <w:r>
        <w:t xml:space="preserve">В критичном для неё 1942 </w:t>
        <w:t xml:space="preserve">году </w:t>
        <w:t>судьба немецкой армии висела на волоске, где же были взяты люди для такой невероятной логистической задачи? На самом деле кроме как задачи, Гиммлер не дал Глобочнику практически ничего, так что ему приходилось импровизировать.</w:t>
      </w:r>
    </w:p>
    <w:p>
      <w:pPr>
        <w:pStyle w:val="Para 02"/>
      </w:pPr>
      <w:r>
        <w:t>Из своих собственных ресурсов он создаст «частные» армии и приложит всю изобретательность для выполнения доверенной ему Гиммлером задачи. Под управлением своего заместителя и соотечественника австрийца Германа Х</w:t>
        <w:t>ё</w:t>
        <w:t xml:space="preserve">фле он сформировал специальный штаб по координации кампании массовых убийств против польских евреев — названой Операция «Рейнхард» в честь убитого в июне 1942 </w:t>
        <w:t xml:space="preserve">г. </w:t>
        <w:t xml:space="preserve">в Чехословакии Рейнхарда Гейдриха. Ключевые лица этого штаба включали в себя: ответственных за центры уничтожения Кристиана Вирта и его адъютанта Джозефа Оберхаузера </w:t>
        <w:t>[Josef Oberhauser]</w:t>
        <w:t xml:space="preserve">; ответственного за поступающий транспорт Гельмута Поле </w:t>
        <w:t>[Helmuth Pohl]</w:t>
        <w:t>; ответственных за надзор и часто персональное руководство операциями в полевых условиях Джорджа Ми</w:t>
        <w:t>к</w:t>
        <w:t xml:space="preserve">аэльсена </w:t>
        <w:t>[Georg Michalsen]</w:t>
        <w:t xml:space="preserve">, Курта Клаасена </w:t>
        <w:t>[Kurt Claasen]</w:t>
        <w:t xml:space="preserve">; и ещё одного австрийца Эрнеста Лерха </w:t>
        <w:t>[Ernst Lerch]</w:t>
        <w:t>, ответственного за сбор, сортировку и утилизацию собственности евреев в лагерях смерти и зачищенных гетто.</w:t>
      </w:r>
    </w:p>
    <w:p>
      <w:pPr>
        <w:pStyle w:val="Para 02"/>
      </w:pPr>
      <w:r>
        <w:t xml:space="preserve">Как </w:t>
        <w:t>Руководитель</w:t>
        <w:t xml:space="preserve"> СС и Полиции </w:t>
        <w:t>округа</w:t>
        <w:t xml:space="preserve"> Люблина, Глобочник был ответственен за координацию всех совместных действий различных подразделений СС. Таким образом сеть сил СС, пусть и тонко рассеянная по всему </w:t>
        <w:t>округу</w:t>
        <w:t xml:space="preserve"> Люблин</w:t>
        <w:t>а</w:t>
        <w:t>, была в его распоряжении. Самое главное — это включало в себя две ветви и различные подразделения Полиции Безопасности (Гестапо и Крипо) с одной стороны, и различные подразделения Полиции Порядка с другой. Помимо главного штаб</w:t>
        <w:t>а</w:t>
        <w:t xml:space="preserve"> в Люблине, Полиция Безопасности в </w:t>
        <w:t>округе</w:t>
        <w:t xml:space="preserve"> имела ещё четыре офиса. Каждый содержал в себе отдел Гестапо по «еврейским делам».</w:t>
      </w:r>
    </w:p>
    <w:p>
      <w:pPr>
        <w:pStyle w:val="Para 02"/>
      </w:pPr>
      <w:r>
        <w:t xml:space="preserve">Наличие Полиции Порядка проявлялось тремя путями. В первом, каждый из крупных городов </w:t>
        <w:t>округа</w:t>
        <w:t xml:space="preserve"> Люблина </w:t>
        <w:t xml:space="preserve">имел </w:t>
        <w:t xml:space="preserve">отделения Полиции Охраны, в чьи обязанности входил надзор за польской муниципальной полицией. Во втором, по городам и сельской местности были разбросаны </w:t>
        <w:t>небольшие</w:t>
        <w:t xml:space="preserve"> подразделения</w:t>
        <w:t xml:space="preserve"> Жандармерии. И наконец, в </w:t>
        <w:t>округе</w:t>
        <w:t xml:space="preserve"> Люблина дислоцировались три батальона Полиции Порядка. Местные </w:t>
        <w:t>силы</w:t>
        <w:t xml:space="preserve"> Полиции Безопасности, Полиции Порядка и Жандармерии предоставляли небольшое количество полицейских, знакомых с ситуацией на месте. Самой большой силой на которую мог бы опираться Глобочник являлись три батальона Полиции Порядка — в сумме 1 500 человек — </w:t>
        <w:t>х</w:t>
        <w:t>оть и незаменимы</w:t>
        <w:t>е</w:t>
        <w:t xml:space="preserve">, </w:t>
        <w:t xml:space="preserve">но недостаточные </w:t>
        <w:t>для его нужд.</w:t>
      </w:r>
    </w:p>
    <w:p>
      <w:pPr>
        <w:pStyle w:val="Para 05"/>
      </w:pPr>
      <w:r>
        <w:t xml:space="preserve"> Глобочник так же использовал два других источника рабочей силы. Первым </w:t>
        <w:t>стали</w:t>
        <w:t xml:space="preserve"> состоявшие из небольших отрядов этнических немцев спецслужбы </w:t>
        <w:t>[</w:t>
        <w:t>Sonderdienst</w:t>
        <w:t>],</w:t>
        <w:t xml:space="preserve"> мобилизованные и </w:t>
        <w:t>обученные</w:t>
        <w:t xml:space="preserve"> после немецких завоеваний и летом 1940 </w:t>
        <w:t>г</w:t>
        <w:t>ода</w:t>
        <w:t xml:space="preserve"> </w:t>
        <w:t xml:space="preserve">переданные под управление главам гражданской администрации каждого из </w:t>
        <w:t>районов</w:t>
        <w:t xml:space="preserve"> </w:t>
        <w:t>округа</w:t>
        <w:t>.</w:t>
      </w:r>
      <w:hyperlink w:anchor="__102">
        <w:r>
          <w:rPr>
            <w:rStyle w:val="Text2"/>
          </w:rPr>
          <w:bookmarkStart w:id="137" w:name="102"/>
          <w:t>102</w:t>
          <w:bookmarkEnd w:id="137"/>
        </w:r>
      </w:hyperlink>
      <w:r>
        <w:rPr>
          <w:rStyle w:val="Text3"/>
        </w:rPr>
        <w:t xml:space="preserve"> </w:t>
      </w:r>
      <w:r>
        <w:t xml:space="preserve"> </w:t>
        <w:t xml:space="preserve"> Вторым, и намного более важным, были так называемые Травники. Не видя возможности утолить потребность в людских ресурсах с помощью местных, Глобочнику удалось убедить Гиммлера набирать вспомогательные не-польские подразделения с пограничных советских территорий. Для </w:t>
        <w:t>этой части подготовки к</w:t>
        <w:t xml:space="preserve"> операции «Рейнхард» Глобочника ключевым </w:t>
        <w:t>являлся</w:t>
        <w:t xml:space="preserve"> сотрудник Карл Штрейбель — </w:t>
        <w:t>о</w:t>
        <w:t xml:space="preserve">н со своими людьми посещал лагеря военнопленных и вербовал украинских, латвийских и литовских «добровольцев» (Hilfswillige, </w:t>
        <w:t>далее</w:t>
        <w:t xml:space="preserve"> Хиви). Их отбирали на основе проверки на антикоммунистические (и следовательно антисемитские) настроения, предоставляли возможность избежать риска голодной смерти, обещали не использовать их в боях против советской армии. Эти «добровольцы» для тренировки отправлялись в лагеря СС в Травники, </w:t>
        <w:t xml:space="preserve">где их </w:t>
        <w:t>ф</w:t>
        <w:t xml:space="preserve">ормировали в отряды по национальному признаку, </w:t>
        <w:t xml:space="preserve">а затем </w:t>
        <w:t>передавали под</w:t>
        <w:t xml:space="preserve"> командование офицер</w:t>
        <w:t xml:space="preserve">ам </w:t>
        <w:t>СС и этнически</w:t>
        <w:t xml:space="preserve">м </w:t>
        <w:t>немц</w:t>
        <w:t>ам</w:t>
        <w:t xml:space="preserve"> унтер-офицер</w:t>
        <w:t>ам</w:t>
        <w:t xml:space="preserve">. </w:t>
        <w:t xml:space="preserve">Таким образом, </w:t>
        <w:t>Полици</w:t>
        <w:t>я</w:t>
        <w:t xml:space="preserve"> Порядка </w:t>
        <w:t xml:space="preserve">стала первым источником рабочей силы, а </w:t>
        <w:t xml:space="preserve">второй стали </w:t>
        <w:t xml:space="preserve">Хиви </w:t>
        <w:t>и этнические немцы</w:t>
        <w:t xml:space="preserve">. Вместе они </w:t>
        <w:t>покрывали б</w:t>
        <w:t>ó</w:t>
        <w:t xml:space="preserve">льшую часть </w:t>
        <w:t xml:space="preserve">нужд в </w:t>
        <w:t>людских ресурсах</w:t>
        <w:t xml:space="preserve"> </w:t>
        <w:t xml:space="preserve">личных </w:t>
        <w:t>арми</w:t>
        <w:t>й</w:t>
        <w:t xml:space="preserve"> Глобочника для зачисток гетто.</w:t>
      </w:r>
      <w:r>
        <w:rPr>
          <w:rStyle w:val="Text7"/>
        </w:rPr>
        <w:t xml:space="preserve"> </w:t>
      </w:r>
    </w:p>
    <w:p>
      <w:pPr>
        <w:pStyle w:val="Para 02"/>
      </w:pPr>
      <w:r>
        <w:t xml:space="preserve">Первая убийственная атака против евреев Люблина началась в середине марта 1942 </w:t>
        <w:t xml:space="preserve">г. </w:t>
        <w:t xml:space="preserve">и продолжалась до середины апреля. Депортацией в лагерь смерти Белжец, либо расстрелом на месте было убито около 90% из 40 000 жителей. Ещё </w:t>
        <w:t xml:space="preserve">11 000 или 12 000 </w:t>
        <w:t xml:space="preserve">евреев отправили в Белжец из близлежащих городов Избица [Izbica], Пяски [Piaski], Любартув [Lubartów], Замосць [Zamość] и Красник [Krasnik]. В тот же период, из соседнего </w:t>
        <w:t>округа</w:t>
        <w:t xml:space="preserve"> Галиции к востоку от Люблина, в Белжец депортировали около 36 000 евреев.</w:t>
      </w:r>
    </w:p>
    <w:p>
      <w:pPr>
        <w:pStyle w:val="Para 02"/>
      </w:pPr>
      <w:r>
        <w:t/>
        <w:t xml:space="preserve">С середины апреля и до конца мая операции в Белжеце приостановили </w:t>
        <w:t>на время строительства —</w:t>
        <w:t xml:space="preserve"> </w:t>
        <w:t>п</w:t>
        <w:t xml:space="preserve">риняли решение снести маленькое деревянное строение с </w:t>
        <w:t>тремя</w:t>
        <w:t xml:space="preserve"> камерами </w:t>
        <w:t>и построить</w:t>
        <w:t xml:space="preserve"> большое каменное </w:t>
        <w:t xml:space="preserve">с шестью. Когда в конце мая операции по убийству возобновились, лагерь в основном получал жертв не из самого </w:t>
        <w:t>округа</w:t>
        <w:t xml:space="preserve"> Люблина, а депортированных евреев из соседнего </w:t>
        <w:t>округа</w:t>
        <w:t xml:space="preserve"> Кракова к западу.</w:t>
      </w:r>
    </w:p>
    <w:p>
      <w:pPr>
        <w:pStyle w:val="Para 02"/>
      </w:pPr>
      <w:r>
        <w:t xml:space="preserve">Собибор же — второй лагерь смерти Глобочника — начал свою работу </w:t>
        <w:t>уже</w:t>
        <w:t xml:space="preserve"> в начале мая. Шесть недель он получал депортированных из </w:t>
        <w:t>районов</w:t>
        <w:t xml:space="preserve"> Люблина: Замосць, Пулавы [Puławy], Красныстав [Krasnystaw] и Хелм [Chełm]. К 18 июня, едва ли спустя три месяца после первой поставки, </w:t>
        <w:t>было убито уже</w:t>
        <w:t xml:space="preserve"> около </w:t>
        <w:t>100 000</w:t>
        <w:t xml:space="preserve"> евреев из </w:t>
        <w:t>округа</w:t>
        <w:t xml:space="preserve"> Люблина, совместно с 65 000 из Кракова и Галиции. Большинство погибло в газовых камерах Белжеца и Собибора.</w:t>
      </w:r>
      <w:hyperlink w:anchor="__103">
        <w:r>
          <w:rPr>
            <w:rStyle w:val="Text2"/>
          </w:rPr>
          <w:bookmarkStart w:id="138" w:name="103"/>
          <w:t>103</w:t>
          <w:bookmarkEnd w:id="138"/>
        </w:r>
      </w:hyperlink>
      <w:r>
        <w:rPr>
          <w:rStyle w:val="Text3"/>
        </w:rPr>
        <w:t xml:space="preserve"> </w:t>
      </w:r>
      <w:r>
        <w:t xml:space="preserve"> </w:t>
      </w:r>
    </w:p>
    <w:p>
      <w:pPr>
        <w:pStyle w:val="Para 02"/>
      </w:pPr>
      <w:r>
        <w:t xml:space="preserve">Депортация в лагеря смерти являлась лишь частью обширной операции по «переселению» евреев центральной Европы. Одновременно с отправкой польских евреев в лагеря смерти, </w:t>
        <w:t xml:space="preserve">в </w:t>
        <w:t>округ</w:t>
        <w:t xml:space="preserve"> Люблина прибывали </w:t>
        <w:t>нагруженные евреями поезда из Германии, Австрии, Протектората (Богемия и Морави</w:t>
        <w:t>я</w:t>
        <w:t>, Чехия) и Словакии. Некоторые из этих поездов, к примеру,</w:t>
        <w:t xml:space="preserve"> поезд из Вены 14 июня, что охранялся лейтенантом Фишманном, </w:t>
        <w:t>направлялся</w:t>
        <w:t xml:space="preserve"> напрямую </w:t>
        <w:t>в Собибор. Другие, однако, разгружались в различных гетто, где иностранные евреи временно занимали места недавно убитых.</w:t>
      </w:r>
    </w:p>
    <w:p>
      <w:pPr>
        <w:pStyle w:val="Para 02"/>
      </w:pPr>
      <w:r>
        <w:t>19 июня эта перетасовка евреев, а так же массовые убийства в Белжеце и Собиборе, временно приостановились, когда недостаток подвижных составов и поездов на двадцать дней остановил транспортировку евреев в Генерал-губернаторстве.</w:t>
      </w:r>
      <w:hyperlink w:anchor="__104">
        <w:r>
          <w:rPr>
            <w:rStyle w:val="Text2"/>
          </w:rPr>
          <w:bookmarkStart w:id="139" w:name="104"/>
          <w:t>104</w:t>
          <w:bookmarkEnd w:id="139"/>
        </w:r>
      </w:hyperlink>
      <w:r>
        <w:rPr>
          <w:rStyle w:val="Text3"/>
        </w:rPr>
        <w:t xml:space="preserve"> </w:t>
      </w:r>
      <w:r>
        <w:t xml:space="preserve"> 9 июля возобновилось движение, в количестве двух поездов в неделю, из </w:t>
        <w:t>округа</w:t>
        <w:t xml:space="preserve"> Кракова в Белжец, </w:t>
        <w:t xml:space="preserve">а </w:t>
        <w:t>22 июля стартовал</w:t>
        <w:t xml:space="preserve"> </w:t>
        <w:t>п</w:t>
        <w:t xml:space="preserve">остоянный поток транспорта из Варшавы в недавно открытый лагерь смерти Треблинка. Однако главная железная дорога в Собибор находилась на ремонте, поэтому до осени этот лагерь смерти был </w:t>
        <w:t>практически недоступен</w:t>
        <w:t>. Таким образом, депортации в лагеря смерти в самом Люблине не возобновлялись до раннего июля.</w:t>
      </w:r>
    </w:p>
    <w:p>
      <w:pPr>
        <w:pStyle w:val="Para 02"/>
      </w:pPr>
      <w:r>
        <w:t xml:space="preserve">Именно во время этого навязанного обстоятельствами затишья </w:t>
        <w:t>в</w:t>
        <w:t xml:space="preserve"> Окончательно</w:t>
        <w:t xml:space="preserve">м Решении в Генерал-губернаторстве Полицейский Резервный Батальон 101 и прибыл в </w:t>
        <w:t>округ</w:t>
        <w:t xml:space="preserve"> Люблина. 20 июня 1942 </w:t>
        <w:t>г.</w:t>
        <w:t xml:space="preserve"> батальон получил приказы для «специальной </w:t>
        <w:t>операции</w:t>
        <w:t>» в Польше.</w:t>
      </w:r>
      <w:hyperlink w:anchor="__105">
        <w:r>
          <w:rPr>
            <w:rStyle w:val="Text2"/>
          </w:rPr>
          <w:bookmarkStart w:id="140" w:name="105"/>
          <w:t>105</w:t>
          <w:bookmarkEnd w:id="140"/>
        </w:r>
      </w:hyperlink>
      <w:r>
        <w:rPr>
          <w:rStyle w:val="Text3"/>
        </w:rPr>
        <w:t xml:space="preserve"> </w:t>
      </w:r>
      <w:r>
        <w:t xml:space="preserve"> Природа этой «специальной </w:t>
        <w:t>операции</w:t>
        <w:t>» не разъяснялась в письменной форме приказа, однако людям дали понять, что они будут выполнять обязанность по охране. Не</w:t>
        <w:t xml:space="preserve">т абсолютно никаких </w:t>
        <w:t xml:space="preserve">намёков на то, что </w:t>
        <w:t>хотя бы</w:t>
        <w:t xml:space="preserve"> офицеры подозревали о настоящем характере возложенной на них работы.</w:t>
      </w:r>
    </w:p>
    <w:p>
      <w:pPr>
        <w:pStyle w:val="Para 02"/>
      </w:pPr>
      <w:r>
        <w:t>Батальон погрузился в поезда на той же железнодорожной станции Штерншанце,</w:t>
      </w:r>
      <w:hyperlink w:anchor="__106">
        <w:r>
          <w:rPr>
            <w:rStyle w:val="Text2"/>
          </w:rPr>
          <w:bookmarkStart w:id="141" w:name="106"/>
          <w:t>106</w:t>
          <w:bookmarkEnd w:id="141"/>
        </w:r>
      </w:hyperlink>
      <w:r>
        <w:rPr>
          <w:rStyle w:val="Text3"/>
        </w:rPr>
        <w:t xml:space="preserve"> </w:t>
      </w:r>
      <w:r>
        <w:t xml:space="preserve"> где предыдущей осенью часть батальона участвовала в отправке гамбургских евреев на восток. 25 июня они прибыли в польский город Замосць в южной части </w:t>
        <w:t>округа</w:t>
        <w:t xml:space="preserve"> Люблина. Пять дней спустя штаб батальона переместился в Билгорай </w:t>
        <w:t>и</w:t>
        <w:t xml:space="preserve"> о</w:t>
        <w:t>тделения батальона быстро распределились по близлежащим городам: Фрамполь [Frampol], Тарногруд [Tarnogród], Улянув [Ulanów], Туробин [Turobin], Высоке [Wysokie] и немного отдалённый Закшув [Zakrzów].</w:t>
      </w:r>
      <w:hyperlink w:anchor="__107">
        <w:r>
          <w:rPr>
            <w:rStyle w:val="Text2"/>
          </w:rPr>
          <w:bookmarkStart w:id="142" w:name="107"/>
          <w:t>107</w:t>
          <w:bookmarkEnd w:id="142"/>
        </w:r>
      </w:hyperlink>
      <w:r>
        <w:rPr>
          <w:rStyle w:val="Text3"/>
        </w:rPr>
        <w:t xml:space="preserve"> </w:t>
      </w:r>
      <w:r>
        <w:t xml:space="preserve"> </w:t>
      </w:r>
    </w:p>
    <w:p>
      <w:pPr>
        <w:pStyle w:val="Para 02"/>
      </w:pPr>
      <w:r>
        <w:t xml:space="preserve">Несмотря на временное затишье в убийствах, </w:t>
        <w:t>Руководитель</w:t>
        <w:t xml:space="preserve"> СС и Полиции Одило Глобочник и члены его операции «Рейнхард» не собирались позволять новоприбывшему полицейскому батальону оставаться в стороне от действий против люблинских евреев. Процесс сбора жертв в транзитные гетто должен был продолжаться, даже если сами убийства нельзя было осуществить. Для большинства полицейских Батальона 101 тяжёлые воспоминания о последующих событиях в Юзефуве затмили произошедшее ранее во время четырёхнедельного пребывания батальона к югу от Люблина. Однако </w:t>
        <w:t>несколько из них</w:t>
        <w:t xml:space="preserve"> всё же вспомнили о своём участии в сборе евреев в малых поселениях и перевозке их в гетто и лагеря. В </w:t>
        <w:t xml:space="preserve">одних </w:t>
        <w:t>случаях</w:t>
        <w:t xml:space="preserve">, захватывались только так называемые «рабочие-евреи». Они погружались в грузовики и отправлялись в лагеря под Люблином. В других, собиралось всё еврейское население, погружалось на грузовики или отправлялось пешком. Иногда на их место собирали и переселяли евреев из близлежащих малых деревень. Все эти действия не включали в себя массовые казни, хотя слабые, старые или больные евреи </w:t>
        <w:t>иногда</w:t>
        <w:t xml:space="preserve"> расстреливались. Люди абсолютно запутались из каких городов они депортировали, а в какие переселяли — </w:t>
        <w:t>т</w:t>
        <w:t>акие названия как Избица или Пяски никто не вспомнил, хотя это были два крупных «транзитных» гетто для сбора евреев к югу от Люблина.</w:t>
      </w:r>
      <w:hyperlink w:anchor="__108">
        <w:r>
          <w:rPr>
            <w:rStyle w:val="Text2"/>
          </w:rPr>
          <w:bookmarkStart w:id="143" w:name="108"/>
          <w:t>108</w:t>
          <w:bookmarkEnd w:id="143"/>
        </w:r>
      </w:hyperlink>
      <w:r>
        <w:rPr>
          <w:rStyle w:val="Text3"/>
        </w:rPr>
        <w:t xml:space="preserve"> </w:t>
      </w:r>
      <w:r>
        <w:t xml:space="preserve"> </w:t>
      </w:r>
    </w:p>
    <w:p>
      <w:pPr>
        <w:pStyle w:val="Para 02"/>
      </w:pPr>
      <w:r>
        <w:t xml:space="preserve">Судя по всему, Глобочник потерял терпение с этой консолидацией и решил поэкспериментировать с возобновлением убийств. Так как депортация в лагеря смерти на тот момент была недоступна, </w:t>
        <w:t xml:space="preserve">потенциальной </w:t>
        <w:t>альтернативой казалась массовая казнь расстрелом. Полицейский Резервный Батальон 101 стал отрядом для тестирования такой возможности.</w:t>
      </w:r>
    </w:p>
    <w:p>
      <w:pPr>
        <w:pStyle w:val="Para 09"/>
      </w:pPr>
      <w:r>
        <w:t xml:space="preserve"> </w:t>
        <w:br w:clear="none"/>
      </w:r>
    </w:p>
    <w:p>
      <w:pPr>
        <w:pStyle w:val="Heading 2"/>
      </w:pPr>
      <w:r>
        <w:bookmarkStart w:id="144" w:name="anchor18"/>
        <w:t/>
        <w:bookmarkEnd w:id="144"/>
        <w:t>Глава 7</w:t>
        <w:bookmarkStart w:id="145" w:name="anchor64"/>
        <w:t/>
        <w:bookmarkEnd w:id="145"/>
        <w:bookmarkStart w:id="146" w:name="anchor65"/>
        <w:t/>
        <w:bookmarkEnd w:id="146"/>
      </w:r>
    </w:p>
    <w:p>
      <w:pPr>
        <w:pStyle w:val="Para 11"/>
      </w:pPr>
      <w:r>
        <w:bookmarkStart w:id="147" w:name="anchor19"/>
        <w:t/>
        <w:bookmarkEnd w:id="147"/>
        <w:t>Посвящение в массовы</w:t>
        <w:t>е</w:t>
        <w:t xml:space="preserve"> убийц</w:t>
        <w:t>ы:</w:t>
        <w:t xml:space="preserve"> Резня в Юзефуве</w:t>
      </w:r>
    </w:p>
    <w:p>
      <w:pPr>
        <w:pStyle w:val="Para 09"/>
      </w:pPr>
      <w:r>
        <w:t xml:space="preserve"> </w:t>
        <w:br w:clear="none"/>
      </w:r>
    </w:p>
    <w:p>
      <w:pPr>
        <w:pStyle w:val="Para 05"/>
      </w:pPr>
      <w:r>
        <w:rPr>
          <w:rStyle w:val="Text7"/>
        </w:rPr>
        <w:t/>
      </w:r>
      <w:r>
        <w:t xml:space="preserve">Возможно 11 июля Глобочник или кто-то из его подчинённых связался с майором Траппом и уведомил его о задаче для Полицейского Батальона 101 — захватить 1 800 евреев. Целью стала деревня примерно в тридцати километрах к юго-востоку от Билгорая. В этот раз, однако, переселять никого не требовалось — </w:t>
        <w:t>в</w:t>
        <w:t xml:space="preserve"> лагерь Глобочника в Люблине следовало отправить лишь мужчин рабочего возраста. Женщин же, стариков и детей надо было просто расстрелять на месте.</w:t>
      </w:r>
      <w:r>
        <w:rPr>
          <w:rStyle w:val="Text7"/>
        </w:rPr>
        <w:t xml:space="preserve"> </w:t>
      </w:r>
    </w:p>
    <w:p>
      <w:pPr>
        <w:pStyle w:val="Para 02"/>
      </w:pPr>
      <w:r>
        <w:t>Трапп созвал расположенные в ближайших городах подразделения. 12 июля батальон собрался в Билгорае за двумя исключениями: третий взвод третьей роты, включая капитана Хоффмана, расположенный в Закшуве, а так же несколько членов первой роты уже находящихся в Юзефуве. Трапп встретился с командирами первой и второй рот — капитаном Волауфом и лейтенантом Гн</w:t>
        <w:t>а</w:t>
        <w:t>д</w:t>
        <w:t>е —</w:t>
        <w:t xml:space="preserve"> и проинформировал их о задаче на завтрашний день.</w:t>
      </w:r>
      <w:hyperlink w:anchor="__109">
        <w:r>
          <w:rPr>
            <w:rStyle w:val="Text2"/>
          </w:rPr>
          <w:bookmarkStart w:id="148" w:name="109"/>
          <w:t>109</w:t>
          <w:bookmarkEnd w:id="148"/>
        </w:r>
      </w:hyperlink>
      <w:r>
        <w:rPr>
          <w:rStyle w:val="Text3"/>
        </w:rPr>
        <w:t xml:space="preserve"> </w:t>
      </w:r>
      <w:r>
        <w:t xml:space="preserve"> Исходя из того, что лейтенант Хайнц Бухман узнал о конкретных деталях предстоящего задания тем же вечером, адъютант Траппа старший лейтенант Хаген должно быть известил остальных офицеров батальона.</w:t>
      </w:r>
    </w:p>
    <w:p>
      <w:pPr>
        <w:pStyle w:val="Para 02"/>
      </w:pPr>
      <w:r>
        <w:t>Бухман, на тот момент тридцати восьми летний, был главой семейного лесозаготовочного бизнеса в Гамбурге. Вступил в партию в мае 1937-</w:t>
        <w:t>го</w:t>
        <w:t xml:space="preserve">. Призван в Полицию Порядка в 1939 </w:t>
        <w:t>г.</w:t>
        <w:t>, служил водителем в Польше. Летом 1940-</w:t>
        <w:t>го</w:t>
        <w:t xml:space="preserve"> подал прошение об отставке, </w:t>
        <w:t>но</w:t>
        <w:t xml:space="preserve"> в</w:t>
        <w:t xml:space="preserve">место этого его послали проходить офицерскую </w:t>
        <w:t>подготовку</w:t>
        <w:t xml:space="preserve"> и повысили до лейтенанта запаса в ноябре 1941 </w:t>
        <w:t>г</w:t>
        <w:t xml:space="preserve">., </w:t>
        <w:t xml:space="preserve">а </w:t>
        <w:t>в 1942-</w:t>
        <w:t>м</w:t>
        <w:t xml:space="preserve"> он </w:t>
        <w:t>получил командование первым взводом первой роты.</w:t>
      </w:r>
    </w:p>
    <w:p>
      <w:pPr>
        <w:pStyle w:val="Para 02"/>
      </w:pPr>
      <w:r>
        <w:t>Узнав о неизбежной резне, Бухман совершенно чётко дал понять Хагену, что как бизнесмен Гамбурга и лейтенант запаса, он «ни в каком случае не будет участвовать в деле, в котором расстреливают беззащитных женщин и детей» и попросил другое задание.</w:t>
      </w:r>
      <w:hyperlink w:anchor="__110">
        <w:r>
          <w:rPr>
            <w:rStyle w:val="Text2"/>
          </w:rPr>
          <w:bookmarkStart w:id="149" w:name="110"/>
          <w:t>110</w:t>
          <w:bookmarkEnd w:id="149"/>
        </w:r>
      </w:hyperlink>
      <w:r>
        <w:rPr>
          <w:rStyle w:val="Text3"/>
        </w:rPr>
        <w:t xml:space="preserve"> </w:t>
      </w:r>
      <w:r>
        <w:t xml:space="preserve"> Хаген сделал Бухмана ответственным за эскорт «рабочих-евреев», отобранных на отправку в Люблин. Его капитан роты Волауф знал о назначении Бухмана, но не причину почему он его получил.</w:t>
      </w:r>
      <w:hyperlink w:anchor="__111">
        <w:r>
          <w:rPr>
            <w:rStyle w:val="Text2"/>
          </w:rPr>
          <w:bookmarkStart w:id="150" w:name="111"/>
          <w:t>111</w:t>
          <w:bookmarkEnd w:id="150"/>
        </w:r>
      </w:hyperlink>
      <w:r>
        <w:rPr>
          <w:rStyle w:val="Text3"/>
        </w:rPr>
        <w:t xml:space="preserve"> </w:t>
      </w:r>
      <w:r>
        <w:t xml:space="preserve"> </w:t>
      </w:r>
    </w:p>
    <w:p>
      <w:pPr>
        <w:pStyle w:val="Para 02"/>
      </w:pPr>
      <w:r>
        <w:t xml:space="preserve">Рядовых официально ни о чём не оповещали, кроме как о том, что им в полном составе батальона предстоит рано утром </w:t>
        <w:t>подняться</w:t>
        <w:t xml:space="preserve"> для большой операции, </w:t>
        <w:t>н</w:t>
        <w:t xml:space="preserve">о до некоторых дошли слухи </w:t>
        <w:t>о грядущем</w:t>
        <w:t>. Капитан Волауф рассказал своей группе, что завтра их ожидает «крайне интересная задача».</w:t>
      </w:r>
      <w:hyperlink w:anchor="__112">
        <w:r>
          <w:rPr>
            <w:rStyle w:val="Text2"/>
          </w:rPr>
          <w:bookmarkStart w:id="151" w:name="112"/>
          <w:t>112</w:t>
          <w:bookmarkEnd w:id="151"/>
        </w:r>
      </w:hyperlink>
      <w:r>
        <w:rPr>
          <w:rStyle w:val="Text3"/>
        </w:rPr>
        <w:t xml:space="preserve"> </w:t>
      </w:r>
      <w:r>
        <w:t xml:space="preserve"> Другому человеку, который жаловался, что его оставили охранять бараки, ротный адъютант сказал: «Радуйся что тебе не надо идти. Увидишь, что произойдёт».</w:t>
      </w:r>
      <w:hyperlink w:anchor="__113">
        <w:r>
          <w:rPr>
            <w:rStyle w:val="Text2"/>
          </w:rPr>
          <w:bookmarkStart w:id="152" w:name="113"/>
          <w:t>113</w:t>
          <w:bookmarkEnd w:id="152"/>
        </w:r>
      </w:hyperlink>
      <w:r>
        <w:rPr>
          <w:rStyle w:val="Text3"/>
        </w:rPr>
        <w:t xml:space="preserve"> </w:t>
      </w:r>
      <w:r>
        <w:t xml:space="preserve"> Сержант Генрих Штайнмец* предупредил свой третий взвод второй роты, что «он не хочет видеть трусов».</w:t>
      </w:r>
      <w:hyperlink w:anchor="__114">
        <w:r>
          <w:rPr>
            <w:rStyle w:val="Text2"/>
          </w:rPr>
          <w:bookmarkStart w:id="153" w:name="114"/>
          <w:t>114</w:t>
          <w:bookmarkEnd w:id="153"/>
        </w:r>
      </w:hyperlink>
      <w:r>
        <w:rPr>
          <w:rStyle w:val="Text3"/>
        </w:rPr>
        <w:t xml:space="preserve"> </w:t>
      </w:r>
      <w:r>
        <w:t xml:space="preserve"> Выдали дополнительную амуницию.</w:t>
      </w:r>
      <w:hyperlink w:anchor="__115">
        <w:r>
          <w:rPr>
            <w:rStyle w:val="Text2"/>
          </w:rPr>
          <w:bookmarkStart w:id="154" w:name="115"/>
          <w:t>115</w:t>
          <w:bookmarkEnd w:id="154"/>
        </w:r>
      </w:hyperlink>
      <w:r>
        <w:rPr>
          <w:rStyle w:val="Text3"/>
        </w:rPr>
        <w:t xml:space="preserve"> </w:t>
      </w:r>
      <w:r>
        <w:t xml:space="preserve"> Один полицейский рассказывал, что его отряду выдали плети. Это привело к слухам о «еврейском деле» </w:t>
        <w:t>[</w:t>
        <w:t>Judenaktion</w:t>
        <w:t>]</w:t>
      </w:r>
      <w:hyperlink w:anchor="__116">
        <w:r>
          <w:rPr>
            <w:rStyle w:val="Text2"/>
          </w:rPr>
          <w:bookmarkStart w:id="155" w:name="116"/>
          <w:t>116</w:t>
          <w:bookmarkEnd w:id="155"/>
        </w:r>
      </w:hyperlink>
      <w:r>
        <w:rPr>
          <w:rStyle w:val="Text3"/>
        </w:rPr>
        <w:t xml:space="preserve"> </w:t>
      </w:r>
      <w:r>
        <w:t xml:space="preserve"> . Никто другой, правда, о плетях не вспоминал.</w:t>
      </w:r>
    </w:p>
    <w:p>
      <w:pPr>
        <w:pStyle w:val="Para 02"/>
      </w:pPr>
      <w:r>
        <w:t xml:space="preserve">Около </w:t>
        <w:t xml:space="preserve">2 часов </w:t>
        <w:t xml:space="preserve">утра конвой грузовиков отправился из Билгорая и прибыл в Юзефув прямо на рассвете. Трапп собрал людей полукругом и </w:t>
        <w:t xml:space="preserve">выступил с </w:t>
        <w:t>речь</w:t>
        <w:t>ю</w:t>
        <w:t xml:space="preserve">. После объяснения батальону задачи по убийству, он сделал своё экстраординарное предложение: если кто-то из старших людей не чувствуют себя готовым к такому, он может отказаться, а его место займут другие. Трапп прервался. После небольшой паузы, один человек из третьей роты — Отто Юлиус Шимке* — вышел вперёд. Капитан Хоффман, прибывший в Юзефув прямиком из Закшува вместе </w:t>
        <w:t xml:space="preserve">с </w:t>
        <w:t xml:space="preserve">третьим взводом третьей роты и не участвовавший днём ранее во встрече офицеров в Билгорае, пришёл в ярость </w:t>
        <w:t xml:space="preserve">из-за того, </w:t>
        <w:t xml:space="preserve">что один из его людей стал первым отказником. Хоффман стал ругать Шимке, но Трапп осадил его. После того как Трапп взял Шимке под свою защиту, вперёд вышло ещё десять или двенадцать человек. Они сдали винтовки и получили приказ </w:t>
        <w:t>о</w:t>
        <w:t>ж</w:t>
        <w:t>и</w:t>
        <w:t>дать дальнейших распоряжений от майора.</w:t>
      </w:r>
      <w:hyperlink w:anchor="__117">
        <w:r>
          <w:rPr>
            <w:rStyle w:val="Text2"/>
          </w:rPr>
          <w:bookmarkStart w:id="156" w:name="117"/>
          <w:t>117</w:t>
          <w:bookmarkEnd w:id="156"/>
        </w:r>
      </w:hyperlink>
      <w:r>
        <w:rPr>
          <w:rStyle w:val="Text3"/>
        </w:rPr>
        <w:t xml:space="preserve"> </w:t>
      </w:r>
      <w:r>
        <w:t xml:space="preserve"> </w:t>
      </w:r>
    </w:p>
    <w:p>
      <w:pPr>
        <w:pStyle w:val="Para 02"/>
      </w:pPr>
      <w:r>
        <w:t>Трапп созвал ротных командиров и дал каждому своё задание. Приказы первой роте передавал старший сержант Каммер, Гн</w:t>
        <w:t>а</w:t>
        <w:t>д</w:t>
        <w:t>е</w:t>
        <w:t xml:space="preserve"> второй и Хоффман третьей. Два взвода третьей роты должны были окружить деревню.</w:t>
      </w:r>
      <w:hyperlink w:anchor="__118">
        <w:r>
          <w:rPr>
            <w:rStyle w:val="Text2"/>
          </w:rPr>
          <w:bookmarkStart w:id="157" w:name="118"/>
          <w:t>118</w:t>
          <w:bookmarkEnd w:id="157"/>
        </w:r>
      </w:hyperlink>
      <w:r>
        <w:rPr>
          <w:rStyle w:val="Text3"/>
        </w:rPr>
        <w:t xml:space="preserve"> </w:t>
      </w:r>
      <w:r>
        <w:t xml:space="preserve"> Они получили прямой приказ расстреливать всех, кто пытался бежать. Остальным предстояло собрать евреев и отвести на рынок. Все, кто был слишком болен или слаб для отправки на рынок, младенцы, а так же все, кто оказывал сопротивление или пытался скрыться, подлежали расстрелу на месте. После этого </w:t>
        <w:t>части</w:t>
        <w:t xml:space="preserve"> первой роты предстояло вывести </w:t>
        <w:t>отобранных на рынке</w:t>
        <w:t xml:space="preserve"> «рабочих-евреев», пока остальная первая рота отправлялась в лес для формирования расстрельных команд. Второй роте вместе с третьим взводом третьей роты поручили погрузку евреев в грузовики и отправку их с рынка в лес.</w:t>
      </w:r>
      <w:hyperlink w:anchor="__119">
        <w:r>
          <w:rPr>
            <w:rStyle w:val="Text2"/>
          </w:rPr>
          <w:bookmarkStart w:id="158" w:name="119"/>
          <w:t>119</w:t>
          <w:bookmarkEnd w:id="158"/>
        </w:r>
      </w:hyperlink>
      <w:r>
        <w:rPr>
          <w:rStyle w:val="Text3"/>
        </w:rPr>
        <w:t xml:space="preserve"> </w:t>
      </w:r>
      <w:r>
        <w:t xml:space="preserve"> </w:t>
      </w:r>
    </w:p>
    <w:p>
      <w:pPr>
        <w:pStyle w:val="Para 02"/>
      </w:pPr>
      <w:r>
        <w:t>Распределив задачи, Трапп провёл большую часть дня в городе — либо в школе, превращённой в его штаб, в доме священника или мэра, на рынке или на дороге в лес.</w:t>
      </w:r>
      <w:hyperlink w:anchor="__120">
        <w:r>
          <w:rPr>
            <w:rStyle w:val="Text2"/>
          </w:rPr>
          <w:bookmarkStart w:id="159" w:name="120"/>
          <w:t>120</w:t>
          <w:bookmarkEnd w:id="159"/>
        </w:r>
      </w:hyperlink>
      <w:r>
        <w:rPr>
          <w:rStyle w:val="Text3"/>
        </w:rPr>
        <w:t xml:space="preserve"> </w:t>
      </w:r>
      <w:r>
        <w:t xml:space="preserve"> Но в сам лес он не ходил, расстрелов не видел, и его отсутствие там было подозрительным. Как горько прокомментировал один полицейский: «Майор там никогда не был. Вместо этого он сидел в Юзефуве, потому что якобы не мог вынести зрелища. Мы были расстроены этим, ведь для нас это тоже </w:t>
        <w:t xml:space="preserve">было </w:t>
        <w:t>невыносимо».</w:t>
      </w:r>
      <w:hyperlink w:anchor="__121">
        <w:r>
          <w:rPr>
            <w:rStyle w:val="Text2"/>
          </w:rPr>
          <w:bookmarkStart w:id="160" w:name="121"/>
          <w:t>121</w:t>
          <w:bookmarkEnd w:id="160"/>
        </w:r>
      </w:hyperlink>
      <w:r>
        <w:rPr>
          <w:rStyle w:val="Text3"/>
        </w:rPr>
        <w:t xml:space="preserve"> </w:t>
      </w:r>
      <w:r>
        <w:t xml:space="preserve"> </w:t>
      </w:r>
    </w:p>
    <w:p>
      <w:pPr>
        <w:pStyle w:val="Para 02"/>
      </w:pPr>
      <w:r>
        <w:t>Действительно, обеспокоенность Траппа не была ни для кого секретом. Один полицейский вспоминал, как Трапп на рынке сказал, кладя руку на сердце: «О, Боже, почему мне дали такие приказы».</w:t>
      </w:r>
      <w:hyperlink w:anchor="__122">
        <w:r>
          <w:rPr>
            <w:rStyle w:val="Text2"/>
          </w:rPr>
          <w:bookmarkStart w:id="161" w:name="122"/>
          <w:t>122</w:t>
          <w:bookmarkEnd w:id="161"/>
        </w:r>
      </w:hyperlink>
      <w:r>
        <w:rPr>
          <w:rStyle w:val="Text3"/>
        </w:rPr>
        <w:t xml:space="preserve"> </w:t>
      </w:r>
      <w:r>
        <w:t xml:space="preserve"> Другой полицейский видел его в школе: «И сегодня я все ещё могу видеть перед своими глазами майора Траппа в той комнате, ходящего туда сюда с руками у себя за спиной. Он выглядел подавленным и поговорил со мной. Он сказал что-то вроде: „Мужик ... такая работа не по мне. Но приказ есть приказ“».</w:t>
      </w:r>
      <w:hyperlink w:anchor="__123">
        <w:r>
          <w:rPr>
            <w:rStyle w:val="Text2"/>
          </w:rPr>
          <w:bookmarkStart w:id="162" w:name="123"/>
          <w:t>123</w:t>
          <w:bookmarkEnd w:id="162"/>
        </w:r>
      </w:hyperlink>
      <w:r>
        <w:rPr>
          <w:rStyle w:val="Text3"/>
        </w:rPr>
        <w:t xml:space="preserve"> </w:t>
      </w:r>
      <w:r>
        <w:t xml:space="preserve"> Другой человек ярко запомнил «как Трапп, наконец оставшись один в нашей комнате, сел на стул и горько заплакал. Слезы текли рекой».</w:t>
      </w:r>
      <w:hyperlink w:anchor="__124">
        <w:r>
          <w:rPr>
            <w:rStyle w:val="Text2"/>
          </w:rPr>
          <w:bookmarkStart w:id="163" w:name="124"/>
          <w:t>124</w:t>
          <w:bookmarkEnd w:id="163"/>
        </w:r>
      </w:hyperlink>
      <w:r>
        <w:rPr>
          <w:rStyle w:val="Text3"/>
        </w:rPr>
        <w:t xml:space="preserve"> </w:t>
      </w:r>
      <w:r>
        <w:t xml:space="preserve"> Другой так же видел Траппа в штабе: «Майор Трапп возбуждено бегал вокруг, а затем резко встал </w:t>
        <w:t xml:space="preserve">как кол </w:t>
        <w:t>передо мной, уставился на меня и спросил, если я согласен с этим. Я посмотрел ему прямо в глаза и сказал: „Нет, Герр Майор!“ Он снова начал бегать кругами и плакать как дитя».</w:t>
      </w:r>
      <w:hyperlink w:anchor="__125">
        <w:r>
          <w:rPr>
            <w:rStyle w:val="Text2"/>
          </w:rPr>
          <w:bookmarkStart w:id="164" w:name="125"/>
          <w:t>125</w:t>
          <w:bookmarkEnd w:id="164"/>
        </w:r>
      </w:hyperlink>
      <w:r>
        <w:rPr>
          <w:rStyle w:val="Text3"/>
        </w:rPr>
        <w:t xml:space="preserve"> </w:t>
      </w:r>
      <w:r>
        <w:t xml:space="preserve"> Помощник доктора застал Траппа плачущим на пути с рынка в лес и спросил может ли он как-то помочь: «Он ответил мне в духе того, что вс</w:t>
        <w:t>ё</w:t>
        <w:t xml:space="preserve"> просто очень ужасно»</w:t>
      </w:r>
      <w:hyperlink w:anchor="__126">
        <w:r>
          <w:rPr>
            <w:rStyle w:val="Text2"/>
          </w:rPr>
          <w:bookmarkStart w:id="165" w:name="126"/>
          <w:t>126</w:t>
          <w:bookmarkEnd w:id="165"/>
        </w:r>
      </w:hyperlink>
      <w:r>
        <w:rPr>
          <w:rStyle w:val="Text3"/>
        </w:rPr>
        <w:t xml:space="preserve"> </w:t>
      </w:r>
      <w:r>
        <w:t xml:space="preserve"> . Касаясь Юзефува, Трапп потом поведал своему водителю: «</w:t>
        <w:t>Если за это дело с евреями когда-нибудь придёт месть</w:t>
        <w:t xml:space="preserve">, то </w:t>
        <w:t xml:space="preserve">смилуйтесь над нами, </w:t>
        <w:t>немц</w:t>
        <w:t>ами</w:t>
        <w:t>».</w:t>
      </w:r>
      <w:hyperlink w:anchor="__127">
        <w:r>
          <w:rPr>
            <w:rStyle w:val="Text2"/>
          </w:rPr>
          <w:bookmarkStart w:id="166" w:name="127"/>
          <w:t>127</w:t>
          <w:bookmarkEnd w:id="166"/>
        </w:r>
      </w:hyperlink>
      <w:r>
        <w:rPr>
          <w:rStyle w:val="Text3"/>
        </w:rPr>
        <w:t xml:space="preserve"> </w:t>
      </w:r>
      <w:r>
        <w:t xml:space="preserve"> </w:t>
      </w:r>
    </w:p>
    <w:p>
      <w:pPr>
        <w:pStyle w:val="Para 05"/>
      </w:pPr>
      <w:r>
        <w:rPr>
          <w:rStyle w:val="Text6"/>
        </w:rPr>
        <w:t/>
      </w:r>
      <w:r>
        <w:t xml:space="preserve">Пока Трапп </w:t>
        <w:t xml:space="preserve">рыдал и </w:t>
        <w:t xml:space="preserve">жаловался на приказы, его люди продолжали выполнять поставленную задачу. Унтер-офицеры </w:t>
        <w:t xml:space="preserve">выделили </w:t>
        <w:t xml:space="preserve">часть людей на поисковые команды по два, три или четыре человека и отправили их в еврейскую часть Юзефува. Другим </w:t>
        <w:t>же</w:t>
        <w:t xml:space="preserve"> приказали охранять рынок и ведущие к нему улицы. Евреев вытаскивали из их домов, недееспособных расстреливали, воздух </w:t>
        <w:t>заполнился</w:t>
        <w:t xml:space="preserve"> криками и звуком выстрелов. Как </w:t>
        <w:t>отметил</w:t>
        <w:t xml:space="preserve"> один полицейский, город был маленький и всё было слышно.</w:t>
      </w:r>
      <w:hyperlink w:anchor="__128">
        <w:r>
          <w:rPr>
            <w:rStyle w:val="Text2"/>
          </w:rPr>
          <w:bookmarkStart w:id="167" w:name="128"/>
          <w:t>128</w:t>
          <w:bookmarkEnd w:id="167"/>
        </w:r>
      </w:hyperlink>
      <w:r>
        <w:rPr>
          <w:rStyle w:val="Text3"/>
        </w:rPr>
        <w:t xml:space="preserve"> </w:t>
      </w:r>
      <w:r>
        <w:t xml:space="preserve"> </w:t>
        <w:t xml:space="preserve"> Многие полицейские </w:t>
        <w:t>указывали</w:t>
        <w:t>, что во время поисков видели трупы расстрелянных, но только двое признались в стрельбе.</w:t>
      </w:r>
      <w:hyperlink w:anchor="__129">
        <w:r>
          <w:rPr>
            <w:rStyle w:val="Text2"/>
          </w:rPr>
          <w:bookmarkStart w:id="168" w:name="129"/>
          <w:t>129</w:t>
          <w:bookmarkEnd w:id="168"/>
        </w:r>
      </w:hyperlink>
      <w:r>
        <w:rPr>
          <w:rStyle w:val="Text3"/>
        </w:rPr>
        <w:t xml:space="preserve"> </w:t>
      </w:r>
      <w:r>
        <w:t xml:space="preserve"> </w:t>
        <w:t xml:space="preserve"> И снова, некоторые полицейские </w:t>
        <w:t>рассказывали</w:t>
        <w:t xml:space="preserve">, что слышали о том, как в еврейском «госпитале» </w:t>
        <w:t xml:space="preserve">или «доме для стариков» всех пациентов расстреливали на месте, но никто не признался, что участвовал или </w:t>
        <w:t>видел</w:t>
        <w:t xml:space="preserve"> это своими глазами.</w:t>
      </w:r>
      <w:hyperlink w:anchor="__130">
        <w:r>
          <w:rPr>
            <w:rStyle w:val="Text2"/>
          </w:rPr>
          <w:bookmarkStart w:id="169" w:name="130"/>
          <w:t>130</w:t>
          <w:bookmarkEnd w:id="169"/>
        </w:r>
      </w:hyperlink>
      <w:r>
        <w:rPr>
          <w:rStyle w:val="Text3"/>
        </w:rPr>
        <w:t xml:space="preserve"> </w:t>
      </w:r>
      <w:r>
        <w:t xml:space="preserve"> </w:t>
      </w:r>
      <w:r>
        <w:rPr>
          <w:rStyle w:val="Text6"/>
        </w:rPr>
        <w:t xml:space="preserve"> </w:t>
      </w:r>
    </w:p>
    <w:p>
      <w:pPr>
        <w:pStyle w:val="Para 02"/>
      </w:pPr>
      <w:r>
        <w:t xml:space="preserve">Больше всего расхождений вызывает вопрос о реакции людей на расстрел младенцев. Некоторые заявляли, что </w:t>
        <w:t>их</w:t>
        <w:t xml:space="preserve"> расстреливали вместе с больными и стариками и оставляли лежать в домах, проходах и улицах.</w:t>
      </w:r>
      <w:hyperlink w:anchor="__131">
        <w:r>
          <w:rPr>
            <w:rStyle w:val="Text2"/>
          </w:rPr>
          <w:bookmarkStart w:id="170" w:name="131"/>
          <w:t>131</w:t>
          <w:bookmarkEnd w:id="170"/>
        </w:r>
      </w:hyperlink>
      <w:r>
        <w:rPr>
          <w:rStyle w:val="Text3"/>
        </w:rPr>
        <w:t xml:space="preserve"> </w:t>
      </w:r>
      <w:r>
        <w:t xml:space="preserve"> Другие, однако, специально подчёркивали, что в первых операциях по типу этой, во время чисток и обысков </w:t>
        <w:t>расстрела младенцев</w:t>
        <w:t xml:space="preserve"> люди </w:t>
        <w:t>ещё избегали</w:t>
        <w:t>. Один полицейский эмпатично заметил: «среди расстрелянных в нашей секции города евреев не было младенцев или маленьких детей. Я хотел бы сказать, что по молчаливому согласию, но все воздерживались от стрельбы по детям и младенцам». Позже в Юзефуве он наблюдал: «Даже перед лицом смерти еврейские матери не расставались с детьми. Поэтому мы позволяли им брать их с собой на рынок».</w:t>
      </w:r>
      <w:hyperlink w:anchor="__132">
        <w:r>
          <w:rPr>
            <w:rStyle w:val="Text2"/>
          </w:rPr>
          <w:bookmarkStart w:id="171" w:name="132"/>
          <w:t>132</w:t>
          <w:bookmarkEnd w:id="171"/>
        </w:r>
      </w:hyperlink>
      <w:r>
        <w:rPr>
          <w:rStyle w:val="Text3"/>
        </w:rPr>
        <w:t xml:space="preserve"> </w:t>
      </w:r>
      <w:r>
        <w:t xml:space="preserve"> Другой полицейский сделал схожее замечание: «практически все люди молчаливо избегали стрельбы по маленьким детям и младенцам. Всё утро я наблюдал, как многие уводимые женщины либо держали детей на руках, либо вели их».</w:t>
      </w:r>
      <w:hyperlink w:anchor="__133">
        <w:r>
          <w:rPr>
            <w:rStyle w:val="Text2"/>
          </w:rPr>
          <w:bookmarkStart w:id="172" w:name="133"/>
          <w:t>133</w:t>
          <w:bookmarkEnd w:id="172"/>
        </w:r>
      </w:hyperlink>
      <w:r>
        <w:rPr>
          <w:rStyle w:val="Text3"/>
        </w:rPr>
        <w:t xml:space="preserve"> </w:t>
      </w:r>
      <w:r>
        <w:t xml:space="preserve"> Согласно обоим свидетелям, никто из офицеров не вмешивался, когда младенцев приносили на рынок. Ещё один полицейский, однако, вспоминал, что после зачистки его отряд (третий взвод, третья рота) </w:t>
        <w:t>подвергся упрёкам со стороны</w:t>
        <w:t xml:space="preserve"> капитан</w:t>
        <w:t>а</w:t>
        <w:t xml:space="preserve"> Хоффман</w:t>
        <w:t>а:</w:t>
        <w:t xml:space="preserve"> «Мы действуем недостаточно энергично».</w:t>
      </w:r>
      <w:hyperlink w:anchor="__134">
        <w:r>
          <w:rPr>
            <w:rStyle w:val="Text2"/>
          </w:rPr>
          <w:bookmarkStart w:id="173" w:name="134"/>
          <w:t>134</w:t>
          <w:bookmarkEnd w:id="173"/>
        </w:r>
      </w:hyperlink>
      <w:r>
        <w:rPr>
          <w:rStyle w:val="Text3"/>
        </w:rPr>
        <w:t xml:space="preserve"> </w:t>
      </w:r>
      <w:r>
        <w:t xml:space="preserve"> </w:t>
      </w:r>
    </w:p>
    <w:p>
      <w:pPr>
        <w:pStyle w:val="Para 02"/>
      </w:pPr>
      <w:r>
        <w:t/>
        <w:t>Когда облава уже подходила к концу</w:t>
        <w:t xml:space="preserve">, членов первой роты отозвали и дали быстрый урок об ожидающей их отвратительной задаче. Их инструктировали доктор батальона и </w:t>
        <w:t>старший</w:t>
        <w:t xml:space="preserve"> сержант роты. Один музыкально одарённый полицейский, часто играющий на скрипке вместе с доктором, играющим «замечательный аккордеон», вспоминал:</w:t>
      </w:r>
    </w:p>
    <w:p>
      <w:pPr>
        <w:pStyle w:val="Para 35"/>
      </w:pPr>
      <w:r>
        <w:t/>
      </w:r>
    </w:p>
    <w:p>
      <w:pPr>
        <w:pStyle w:val="Para 04"/>
      </w:pPr>
      <w:r>
        <w:rPr>
          <w:rStyle w:val="Text9"/>
        </w:rPr>
        <w:t/>
      </w:r>
      <w:r>
        <w:t>«Я думаю, что при этом присутствовали все офицеры батальона, в частности наш батальонный медик доктор Шенфельдер*. Ему пришлось объяснять нам, как именно следует стрелять для немедленной смерти жертвы. Я чётко помню, как для демонстрации он нарисовал контур человеческого тела, как минимум от плеч и выше, а затем указал точку, куда надо было приставить штык в качестве помощи в прицеливании»</w:t>
        <w:t>.</w:t>
      </w:r>
      <w:hyperlink w:anchor="__135">
        <w:r>
          <w:rPr>
            <w:rStyle w:val="Text2"/>
          </w:rPr>
          <w:bookmarkStart w:id="174" w:name="135"/>
          <w:t>135</w:t>
          <w:bookmarkEnd w:id="174"/>
        </w:r>
      </w:hyperlink>
      <w:r>
        <w:rPr>
          <w:rStyle w:val="Text3"/>
        </w:rPr>
        <w:t xml:space="preserve"> </w:t>
      </w:r>
      <w:r>
        <w:t xml:space="preserve"> </w:t>
      </w:r>
      <w:r>
        <w:rPr>
          <w:rStyle w:val="Text9"/>
        </w:rPr>
        <w:t xml:space="preserve"> </w:t>
      </w:r>
    </w:p>
    <w:p>
      <w:pPr>
        <w:pStyle w:val="Para 35"/>
      </w:pPr>
      <w:r>
        <w:t/>
      </w:r>
    </w:p>
    <w:p>
      <w:pPr>
        <w:pStyle w:val="Para 05"/>
      </w:pPr>
      <w:r>
        <w:rPr>
          <w:rStyle w:val="Text6"/>
        </w:rPr>
        <w:t/>
      </w:r>
      <w:r>
        <w:t>После получения инструкций и отправки первой роты в лес, адъютант Траппа, Хаген, председательствовал в отборе «рабочих-евреев». Глава местной лесопилки уже передал Траппу список из двадцати пяти работавших на него евреев. Трапп разрешил их отпустить.</w:t>
      </w:r>
      <w:hyperlink w:anchor="__136">
        <w:r>
          <w:rPr>
            <w:rStyle w:val="Text2"/>
          </w:rPr>
          <w:bookmarkStart w:id="175" w:name="136"/>
          <w:t>136</w:t>
          <w:bookmarkEnd w:id="175"/>
        </w:r>
      </w:hyperlink>
      <w:r>
        <w:rPr>
          <w:rStyle w:val="Text3"/>
        </w:rPr>
        <w:t xml:space="preserve"> </w:t>
      </w:r>
      <w:r>
        <w:t xml:space="preserve"> </w:t>
        <w:t xml:space="preserve"> Хаген искал </w:t>
        <w:t xml:space="preserve">ремесленников и здоровых мужчин </w:t>
        <w:t>п</w:t>
        <w:t xml:space="preserve">ри помощи переводчика . Возникли волнения, потому как около </w:t>
        <w:t>300</w:t>
        <w:t xml:space="preserve"> рабочих оказались разделены со своими семьями.</w:t>
      </w:r>
      <w:hyperlink w:anchor="__137">
        <w:r>
          <w:rPr>
            <w:rStyle w:val="Text2"/>
          </w:rPr>
          <w:bookmarkStart w:id="176" w:name="137"/>
          <w:t>137</w:t>
          <w:bookmarkEnd w:id="176"/>
        </w:r>
      </w:hyperlink>
      <w:r>
        <w:rPr>
          <w:rStyle w:val="Text3"/>
        </w:rPr>
        <w:t xml:space="preserve"> </w:t>
      </w:r>
      <w:r>
        <w:t xml:space="preserve"> </w:t>
        <w:t xml:space="preserve"> Ещё до их отправки с рынка из леса стали слышны первые выстрелы. «После первого залпа мрачное волнение поселилось среди этих ремесленников, некоторые мужчины бросились на землю в слезах ... в этот момент им стало ясно, что оставленные семьи подвергались расстрелу».</w:t>
      </w:r>
      <w:hyperlink w:anchor="__138">
        <w:r>
          <w:rPr>
            <w:rStyle w:val="Text2"/>
          </w:rPr>
          <w:bookmarkStart w:id="177" w:name="138"/>
          <w:t>138</w:t>
          <w:bookmarkEnd w:id="177"/>
        </w:r>
      </w:hyperlink>
      <w:r>
        <w:rPr>
          <w:rStyle w:val="Text3"/>
        </w:rPr>
        <w:t xml:space="preserve"> </w:t>
      </w:r>
      <w:r>
        <w:t xml:space="preserve"> </w:t>
      </w:r>
      <w:r>
        <w:rPr>
          <w:rStyle w:val="Text6"/>
        </w:rPr>
        <w:t xml:space="preserve"> </w:t>
      </w:r>
    </w:p>
    <w:p>
      <w:pPr>
        <w:pStyle w:val="Para 02"/>
      </w:pPr>
      <w:r>
        <w:t xml:space="preserve">Лейтенант Бухман и люксембуржцы первой роты несколько километров вели рабочих до погрузочной железнодорожной станции округа, </w:t>
        <w:t xml:space="preserve">где их </w:t>
        <w:t xml:space="preserve">уже </w:t>
        <w:t>ожидали несколько вагонов, включая пассажирский. «Рабочие-евреи» вместе с охраной поездом отправились в Люблин, где Бухман доставил их в лагерь. Согласно Бухману, он привёл их не в печально известный концентрационный лагерь в Майданеке, а в другой. Евреев там не ожидали, но администрация лагеря с радостью их приняла. Тем же днём Бухман и его люди вернулись в Билгорай.</w:t>
      </w:r>
      <w:hyperlink w:anchor="__139">
        <w:r>
          <w:rPr>
            <w:rStyle w:val="Text2"/>
          </w:rPr>
          <w:bookmarkStart w:id="178" w:name="139"/>
          <w:t>139</w:t>
          <w:bookmarkEnd w:id="178"/>
        </w:r>
      </w:hyperlink>
      <w:r>
        <w:rPr>
          <w:rStyle w:val="Text3"/>
        </w:rPr>
        <w:t xml:space="preserve"> </w:t>
      </w:r>
      <w:r>
        <w:t xml:space="preserve"> </w:t>
      </w:r>
    </w:p>
    <w:p>
      <w:pPr>
        <w:pStyle w:val="Para 02"/>
      </w:pPr>
      <w:r>
        <w:t xml:space="preserve">Тем временем </w:t>
        <w:t xml:space="preserve">старший </w:t>
        <w:t xml:space="preserve">сержант Каммер повёл первый контингент стрелков первой роты в лес за несколько километров от Юзефува. Грузовики остановились </w:t>
        <w:t xml:space="preserve">у опушки </w:t>
        <w:t xml:space="preserve">на просёлочной дороге, </w:t>
        <w:t>где та уходила в лес</w:t>
        <w:t>. Люди разгрузились и стали ждать.</w:t>
      </w:r>
    </w:p>
    <w:p>
      <w:pPr>
        <w:pStyle w:val="Para 02"/>
      </w:pPr>
      <w:r>
        <w:t xml:space="preserve">Когда прибыл первый грузовик с </w:t>
        <w:t>35-40</w:t>
        <w:t xml:space="preserve"> евреями, равное количество полицейских вышло вперёд и </w:t>
      </w:r>
      <w:r>
        <w:rPr>
          <w:rStyle w:val="Text0"/>
        </w:rPr>
        <w:t>лицом к лицу</w:t>
      </w:r>
      <w:r>
        <w:t xml:space="preserve"> встали парами вместе со своими жертвами. Ведомые Каммером полицейские и евреи пошли вглубь леса. Они свернули с дороги в месте, отмеченн</w:t>
        <w:t>ы</w:t>
        <w:t xml:space="preserve">м Волауфом, который </w:t>
        <w:t xml:space="preserve">весь день до этого </w:t>
        <w:t xml:space="preserve">занимался поиском подходящих для казни точек. Каммер приказал евреям лечь в ряд </w:t>
        <w:t xml:space="preserve">и </w:t>
        <w:t xml:space="preserve">лицом вниз. </w:t>
        <w:t>Позади них встали п</w:t>
        <w:t>олицейские, как ранее им показывали приставили штыки к хребту над лопатками, и, по приказу Каммера, дали залп в унисон.</w:t>
      </w:r>
    </w:p>
    <w:p>
      <w:pPr>
        <w:pStyle w:val="Para 02"/>
      </w:pPr>
      <w:r>
        <w:t xml:space="preserve">В это время на опушку леса </w:t>
        <w:t xml:space="preserve">прибыло </w:t>
        <w:t xml:space="preserve">ещё больше полицейских первой роты для заполнения второй </w:t>
        <w:t>расстрельной команды</w:t>
        <w:t>. Как первая вышла из леса, вторая взяла своих жертв и пошла тем же путём вглубь. Чтобы новые жертвы не видели трупов предыдущих, Волауф выбрал место несколькими ярдами дальше. Евреев снова заставили лечь в ряд и лицом вниз. Повторилась процедура расстрела.</w:t>
      </w:r>
    </w:p>
    <w:p>
      <w:pPr>
        <w:pStyle w:val="Para 02"/>
      </w:pPr>
      <w:r>
        <w:t xml:space="preserve">С этого момента «челночное движение» двух расстрельных команд «в» и «из» леса не прекращалось весь день. Не считая полуденного перерыва, </w:t>
        <w:t>когда кто-то «организовал» поставку алкоголя стрелкам</w:t>
        <w:t xml:space="preserve">, </w:t>
        <w:t xml:space="preserve">до темноты </w:t>
        <w:t>расстрелы не останавливались. К концу дня постоянных расстрелов, люди совершенно потеряли счёт убитым евреям. Словами одного полицейского, в любом случае, это «большое число».</w:t>
      </w:r>
      <w:hyperlink w:anchor="__140">
        <w:r>
          <w:rPr>
            <w:rStyle w:val="Text2"/>
          </w:rPr>
          <w:bookmarkStart w:id="179" w:name="140"/>
          <w:t>140</w:t>
          <w:bookmarkEnd w:id="179"/>
        </w:r>
      </w:hyperlink>
      <w:r>
        <w:rPr>
          <w:rStyle w:val="Text3"/>
        </w:rPr>
        <w:t xml:space="preserve"> </w:t>
      </w:r>
      <w:r>
        <w:t xml:space="preserve"> </w:t>
      </w:r>
    </w:p>
    <w:p>
      <w:pPr>
        <w:pStyle w:val="Para 02"/>
      </w:pPr>
      <w:r>
        <w:t xml:space="preserve">Когда Трапп ранним утром делал своё предложение, настоящая природа действия только </w:t>
        <w:t>что стала ясна</w:t>
        <w:t xml:space="preserve"> и </w:t>
        <w:t xml:space="preserve">было </w:t>
        <w:t xml:space="preserve">мало времени </w:t>
        <w:t xml:space="preserve">всё обдумать </w:t>
        <w:t xml:space="preserve">и среагировать. Лишь дюжина инстинктивно ухватила момент и вышла вперёд, сложила оружие и, таким образом, избавила себя от </w:t>
        <w:t>участия в</w:t>
        <w:t xml:space="preserve"> последовавших убийств</w:t>
        <w:t>ах</w:t>
        <w:t xml:space="preserve">. Вполне возможно тогда многие не осознали всю реальность происходящего, в частности того, что </w:t>
        <w:t>они сами</w:t>
        <w:t xml:space="preserve"> могли </w:t>
        <w:t>оказаться</w:t>
        <w:t xml:space="preserve"> в расстрельн</w:t>
        <w:t>ой</w:t>
        <w:t xml:space="preserve"> команд</w:t>
        <w:t>е</w:t>
        <w:t xml:space="preserve">. Но когда людей первой роты </w:t>
        <w:t xml:space="preserve">на рынке </w:t>
        <w:t xml:space="preserve">проинструктировали о «выстреле в шею» и послали в лес убивать евреев, некоторые из них попытались воспользоваться упущенной ранее возможностью. Один полицейский </w:t>
        <w:t xml:space="preserve">хорошо знал старшего сержанта Каммера и </w:t>
        <w:t xml:space="preserve">подошёл к </w:t>
        <w:t>нему,</w:t>
        <w:t xml:space="preserve"> признался, что находит задачу «отталкивающей» и попросил другую. Каммер согласился, назначив его в кордон на границу леса, где тот и оставался весь день.</w:t>
      </w:r>
      <w:hyperlink w:anchor="__141">
        <w:r>
          <w:rPr>
            <w:rStyle w:val="Text2"/>
          </w:rPr>
          <w:bookmarkStart w:id="180" w:name="141"/>
          <w:t>141</w:t>
          <w:bookmarkEnd w:id="180"/>
        </w:r>
      </w:hyperlink>
      <w:r>
        <w:rPr>
          <w:rStyle w:val="Text3"/>
        </w:rPr>
        <w:t xml:space="preserve"> </w:t>
      </w:r>
      <w:r>
        <w:t xml:space="preserve"> Получили обязанности по охране вдоль дорог</w:t>
        <w:t>и</w:t>
        <w:t xml:space="preserve"> и некоторые другие </w:t>
        <w:t xml:space="preserve">знавшие Каммера </w:t>
        <w:t>полицейские</w:t>
        <w:t>.</w:t>
      </w:r>
      <w:hyperlink w:anchor="__142">
        <w:r>
          <w:rPr>
            <w:rStyle w:val="Text2"/>
          </w:rPr>
          <w:bookmarkStart w:id="181" w:name="142"/>
          <w:t>142</w:t>
          <w:bookmarkEnd w:id="181"/>
        </w:r>
      </w:hyperlink>
      <w:r>
        <w:rPr>
          <w:rStyle w:val="Text3"/>
        </w:rPr>
        <w:t xml:space="preserve"> </w:t>
      </w:r>
      <w:r>
        <w:t xml:space="preserve"> После некоторого количества расстрелов, к Каммеру обратилась ещё одна группа и заявила, что продолжать больше не может. Он освободил их из расстрельной команды и назначил в сопровождение грузовиков.</w:t>
      </w:r>
      <w:hyperlink w:anchor="__143">
        <w:r>
          <w:rPr>
            <w:rStyle w:val="Text2"/>
          </w:rPr>
          <w:bookmarkStart w:id="182" w:name="143"/>
          <w:t>143</w:t>
          <w:bookmarkEnd w:id="182"/>
        </w:r>
      </w:hyperlink>
      <w:r>
        <w:rPr>
          <w:rStyle w:val="Text3"/>
        </w:rPr>
        <w:t xml:space="preserve"> </w:t>
      </w:r>
      <w:r>
        <w:t xml:space="preserve"> Двое полицейских допустили ошибку, обратившись вместо Каммера к капитану (и гауптштурмфюреру СС) Волауфу. Они </w:t>
        <w:t>по</w:t>
        <w:t xml:space="preserve">пытались сослаться на то, что они сами отцы с детьми и не способны продолжать. Волауф резко отказал им, намекнув, что они могут лечь рядом с жертвами. В полуденный перерыв, однако, Каммер освободил от обязанностей не только этих двух, но и несколько других старших мужчин — </w:t>
        <w:t xml:space="preserve">в </w:t>
        <w:t xml:space="preserve">компании унтер-офицера с рапортом для Траппа их отправили на рынок. Трапп отстранил их от участия в дальнейших работах и позволил </w:t>
        <w:t>по</w:t>
        <w:t>раньше вернуться в бараки Билгорая.</w:t>
      </w:r>
      <w:hyperlink w:anchor="__144">
        <w:r>
          <w:rPr>
            <w:rStyle w:val="Text2"/>
          </w:rPr>
          <w:bookmarkStart w:id="183" w:name="144"/>
          <w:t>144</w:t>
          <w:bookmarkEnd w:id="183"/>
        </w:r>
      </w:hyperlink>
      <w:r>
        <w:rPr>
          <w:rStyle w:val="Text3"/>
        </w:rPr>
        <w:t xml:space="preserve"> </w:t>
      </w:r>
      <w:r>
        <w:t xml:space="preserve"> </w:t>
      </w:r>
    </w:p>
    <w:p>
      <w:pPr>
        <w:pStyle w:val="Para 02"/>
      </w:pPr>
      <w:r>
        <w:t xml:space="preserve">Некоторые полицейские не пытались искать понимания у старших по званию и искали другие способы уклониться. Унтер-офицера с пистолетом-пулемётом пришлось назначить на осуществление «выстрелов из жалости», «потому что из-за возбуждения, </w:t>
        <w:t>а также</w:t>
      </w:r>
      <w:r>
        <w:rPr>
          <w:rStyle w:val="Text0"/>
        </w:rPr>
        <w:t xml:space="preserve"> намеренно </w:t>
      </w:r>
      <w:r>
        <w:t>[выделено автором]</w:t>
        <w:t xml:space="preserve"> некоторые полицейские стреляли мимо своих жертв».</w:t>
      </w:r>
      <w:hyperlink w:anchor="__145">
        <w:r>
          <w:rPr>
            <w:rStyle w:val="Text2"/>
          </w:rPr>
          <w:bookmarkStart w:id="184" w:name="145"/>
          <w:t>145</w:t>
          <w:bookmarkEnd w:id="184"/>
        </w:r>
      </w:hyperlink>
      <w:r>
        <w:rPr>
          <w:rStyle w:val="Text3"/>
        </w:rPr>
        <w:t xml:space="preserve"> </w:t>
      </w:r>
      <w:r>
        <w:t xml:space="preserve"> Другие предприняли попытку уклониться ещё раньше. Во время операции по зачистке некоторые члены первой роты прятались в саду католического священника до тех пор, пока не испугались, что их отсутствие будет замечено. Вернувшись на рынок, для своего «алиби» они запрыгнули в грузовик, который отправлялся собирать евреев с окрестных деревень.</w:t>
      </w:r>
      <w:hyperlink w:anchor="__146">
        <w:r>
          <w:rPr>
            <w:rStyle w:val="Text2"/>
          </w:rPr>
          <w:bookmarkStart w:id="185" w:name="146"/>
          <w:t>146</w:t>
          <w:bookmarkEnd w:id="185"/>
        </w:r>
      </w:hyperlink>
      <w:r>
        <w:rPr>
          <w:rStyle w:val="Text3"/>
        </w:rPr>
        <w:t xml:space="preserve"> </w:t>
      </w:r>
      <w:r>
        <w:t xml:space="preserve"> Некоторые, не желая участвовать в сборе евреев, просто ошивались на рынке.</w:t>
      </w:r>
      <w:hyperlink w:anchor="__147">
        <w:r>
          <w:rPr>
            <w:rStyle w:val="Text2"/>
          </w:rPr>
          <w:bookmarkStart w:id="186" w:name="147"/>
          <w:t>147</w:t>
          <w:bookmarkEnd w:id="186"/>
        </w:r>
      </w:hyperlink>
      <w:r>
        <w:rPr>
          <w:rStyle w:val="Text3"/>
        </w:rPr>
        <w:t xml:space="preserve"> </w:t>
      </w:r>
      <w:r>
        <w:t xml:space="preserve"> </w:t>
        <w:t xml:space="preserve"> Другие </w:t>
        <w:t>же наоборот</w:t>
        <w:t>,</w:t>
        <w:t xml:space="preserve"> боясь быть назначенными в расстрельные команды и поэтому стараясь держаться подальше от рынка, проводили как можно больше времени обыскивая дома.</w:t>
      </w:r>
      <w:hyperlink w:anchor="__148">
        <w:r>
          <w:rPr>
            <w:rStyle w:val="Text2"/>
          </w:rPr>
          <w:bookmarkStart w:id="187" w:name="148"/>
          <w:t>148</w:t>
          <w:bookmarkEnd w:id="187"/>
        </w:r>
      </w:hyperlink>
      <w:r>
        <w:rPr>
          <w:rStyle w:val="Text3"/>
        </w:rPr>
        <w:t xml:space="preserve"> </w:t>
      </w:r>
      <w:r>
        <w:t xml:space="preserve"> Прежде чем попросить освобождение от обязанностей, водитель, назначенный на перевозку евреев до леса, сделал лишь одну поездку. «Предположительно у него были слишком слабые нервы для </w:t>
        <w:t>от</w:t>
        <w:t xml:space="preserve">воза евреев к месту расстрела», — прокомментировал человек, взявший на себя его обязанность по </w:t>
        <w:t>отправке</w:t>
        <w:t xml:space="preserve"> евреев на смерть.</w:t>
      </w:r>
      <w:hyperlink w:anchor="__149">
        <w:r>
          <w:rPr>
            <w:rStyle w:val="Text2"/>
          </w:rPr>
          <w:bookmarkStart w:id="188" w:name="149"/>
          <w:t>149</w:t>
          <w:bookmarkEnd w:id="188"/>
        </w:r>
      </w:hyperlink>
      <w:r>
        <w:rPr>
          <w:rStyle w:val="Text3"/>
        </w:rPr>
        <w:t xml:space="preserve"> </w:t>
      </w:r>
      <w:r>
        <w:t xml:space="preserve"> </w:t>
      </w:r>
    </w:p>
    <w:p>
      <w:pPr>
        <w:pStyle w:val="Para 02"/>
      </w:pPr>
      <w:r>
        <w:t xml:space="preserve">После </w:t>
        <w:t>ухода</w:t>
        <w:t xml:space="preserve"> членов первой роты в лес, вторая рота осталась заканчивать облаву и погружать евреев в грузовики. С первым </w:t>
        <w:t xml:space="preserve">раздавшимся </w:t>
        <w:t xml:space="preserve">из леса </w:t>
        <w:t>залпом</w:t>
        <w:t xml:space="preserve"> по рынку пронёсся ужасный плач, когда евреи осознали свою судьбу.</w:t>
      </w:r>
      <w:hyperlink w:anchor="__150">
        <w:r>
          <w:rPr>
            <w:rStyle w:val="Text2"/>
          </w:rPr>
          <w:bookmarkStart w:id="189" w:name="150"/>
          <w:t>150</w:t>
          <w:bookmarkEnd w:id="189"/>
        </w:r>
      </w:hyperlink>
      <w:r>
        <w:rPr>
          <w:rStyle w:val="Text3"/>
        </w:rPr>
        <w:t xml:space="preserve"> </w:t>
      </w:r>
      <w:r>
        <w:t xml:space="preserve"> После этого, однако, ими овладело молчаливое самообладание. Словами немецк</w:t>
        <w:t>их</w:t>
        <w:t xml:space="preserve"> свидетел</w:t>
        <w:t>ей</w:t>
        <w:t>: «невероятное» и «потрясающее» самообладание.</w:t>
      </w:r>
      <w:hyperlink w:anchor="__151">
        <w:r>
          <w:rPr>
            <w:rStyle w:val="Text2"/>
          </w:rPr>
          <w:bookmarkStart w:id="190" w:name="151"/>
          <w:t>151</w:t>
          <w:bookmarkEnd w:id="190"/>
        </w:r>
      </w:hyperlink>
      <w:r>
        <w:rPr>
          <w:rStyle w:val="Text3"/>
        </w:rPr>
        <w:t xml:space="preserve"> </w:t>
      </w:r>
      <w:r>
        <w:t xml:space="preserve"> </w:t>
      </w:r>
    </w:p>
    <w:p>
      <w:pPr>
        <w:pStyle w:val="Para 02"/>
      </w:pPr>
      <w:r>
        <w:t xml:space="preserve">Если жертвы были спокойны, </w:t>
        <w:t xml:space="preserve">то </w:t>
        <w:t>немецкие офицеры становились вс</w:t>
        <w:t>ё</w:t>
        <w:t xml:space="preserve"> более возбуждёнными, </w:t>
        <w:t xml:space="preserve">пока для </w:t>
        <w:t>них постепенно</w:t>
        <w:t xml:space="preserve"> становилось ясно</w:t>
        <w:t xml:space="preserve">, что казнь протекает слишком медленно для её завершения за один день. «Постоянно шли толки </w:t>
        <w:t>вроде</w:t>
        <w:t xml:space="preserve"> „это никогда не кончится!“ и „идёт слишком медленно!“».</w:t>
      </w:r>
      <w:hyperlink w:anchor="__152">
        <w:r>
          <w:rPr>
            <w:rStyle w:val="Text2"/>
          </w:rPr>
          <w:bookmarkStart w:id="191" w:name="152"/>
          <w:t>152</w:t>
          <w:bookmarkEnd w:id="191"/>
        </w:r>
      </w:hyperlink>
      <w:r>
        <w:rPr>
          <w:rStyle w:val="Text3"/>
        </w:rPr>
        <w:t xml:space="preserve"> </w:t>
      </w:r>
      <w:r>
        <w:t xml:space="preserve"> Трапп приш</w:t>
        <w:t>ё</w:t>
        <w:t xml:space="preserve">л к решению и выдал новые приказы: </w:t>
        <w:t>т</w:t>
        <w:t xml:space="preserve">ретью роту отозвали с оцепления деревни и приказали занять охрану рынка; </w:t>
        <w:t>в</w:t>
        <w:t xml:space="preserve">торая рота лейтенанта </w:t>
        <w:t>Гнаде</w:t>
        <w:t xml:space="preserve"> получила приказ присоединиться к расстрельным командам в лесу. Сержант Штайнмец ещё раз дал своим людям возможность отказаться, если они желают, но никто предложение не принял.</w:t>
      </w:r>
      <w:hyperlink w:anchor="__153">
        <w:r>
          <w:rPr>
            <w:rStyle w:val="Text2"/>
          </w:rPr>
          <w:bookmarkStart w:id="192" w:name="153"/>
          <w:t>153</w:t>
          <w:bookmarkEnd w:id="192"/>
        </w:r>
      </w:hyperlink>
      <w:r>
        <w:rPr>
          <w:rStyle w:val="Text3"/>
        </w:rPr>
        <w:t xml:space="preserve"> </w:t>
      </w:r>
      <w:r>
        <w:t xml:space="preserve"> </w:t>
      </w:r>
    </w:p>
    <w:p>
      <w:pPr>
        <w:pStyle w:val="Para 02"/>
      </w:pPr>
      <w:r>
        <w:t>Лейтенант Гн</w:t>
        <w:t>а</w:t>
        <w:t>д</w:t>
        <w:t>е</w:t>
        <w:t xml:space="preserve"> разделил свою роту на две группы и отправил в разные </w:t>
        <w:t>сектора</w:t>
        <w:t xml:space="preserve"> леса. Затем он нанёс визит первой роте Волауфа, дабы стать свидетелем демонстрации казни.</w:t>
      </w:r>
      <w:hyperlink w:anchor="__154">
        <w:r>
          <w:rPr>
            <w:rStyle w:val="Text2"/>
          </w:rPr>
          <w:bookmarkStart w:id="193" w:name="154"/>
          <w:t>154</w:t>
          <w:bookmarkEnd w:id="193"/>
        </w:r>
      </w:hyperlink>
      <w:r>
        <w:rPr>
          <w:rStyle w:val="Text3"/>
        </w:rPr>
        <w:t xml:space="preserve"> </w:t>
      </w:r>
      <w:r>
        <w:t xml:space="preserve"> В тоже время лейтенант Шир и сержант Гергерт* повели первый взвод второй роты вместе с некоторыми людьми третьего взвода к месту казни в лесу. Шир разделил людей на четыре группы, назначил каждой свою зону для расстрела и послал их обратно за евреями для убийства. Прибыл лейтенант Гн</w:t>
        <w:t>а</w:t>
        <w:t>д</w:t>
        <w:t>е</w:t>
        <w:t xml:space="preserve"> и между ним и Широм возник возбуждённый спор — якобы людей недостаточно глубоко послали в лес.</w:t>
      </w:r>
      <w:hyperlink w:anchor="__155">
        <w:r>
          <w:rPr>
            <w:rStyle w:val="Text2"/>
          </w:rPr>
          <w:bookmarkStart w:id="194" w:name="155"/>
          <w:t>155</w:t>
          <w:bookmarkEnd w:id="194"/>
        </w:r>
      </w:hyperlink>
      <w:r>
        <w:rPr>
          <w:rStyle w:val="Text3"/>
        </w:rPr>
        <w:t xml:space="preserve"> </w:t>
      </w:r>
      <w:r>
        <w:t xml:space="preserve"> К моменту, когда каждая из групп совершила два или три похода за евреями, Ширу стало очевидно, что процесс идёт слишком медленно, </w:t>
        <w:t>и о</w:t>
        <w:t xml:space="preserve">н спросил совета у Гергерта. «Я затем сделал предложение», — вспоминал Гергерт, — « </w:t>
        <w:t xml:space="preserve">что </w:t>
        <w:t>для евреев будет достаточно лишь двоих сопровождающих из каждой группы, тогда как остальные стрелки могут сдвинуться к следующему месту расстрела и ожидать. Далее, эти места должны сдвигаться каждый раз ближе к точке сбора и лесной дороге. Мы так соответственно и поступили».</w:t>
      </w:r>
      <w:hyperlink w:anchor="__156">
        <w:r>
          <w:rPr>
            <w:rStyle w:val="Text2"/>
          </w:rPr>
          <w:bookmarkStart w:id="195" w:name="156"/>
          <w:t>156</w:t>
          <w:bookmarkEnd w:id="195"/>
        </w:r>
      </w:hyperlink>
      <w:r>
        <w:rPr>
          <w:rStyle w:val="Text3"/>
        </w:rPr>
        <w:t xml:space="preserve"> </w:t>
      </w:r>
      <w:r>
        <w:t xml:space="preserve"> Предложение Гергерта заметно ускорило процесс убийства.</w:t>
      </w:r>
    </w:p>
    <w:p>
      <w:pPr>
        <w:pStyle w:val="Para 02"/>
      </w:pPr>
      <w:r>
        <w:t xml:space="preserve">В отличии от первой роты, члены второй не получали инструкций о том как проводить расстрел и не использовали штыки в качестве помощи в прицеливании. Гергерт заметил, что было «значительное количество промахов, привёдших к излишним ранениям жертв». Один из полицейских в отряде Гергерта </w:t>
        <w:t>тоже</w:t>
        <w:t xml:space="preserve"> отметил </w:t>
        <w:t xml:space="preserve">сложности в прицеливании у людей: «Сначала мы стреляли с руки. Когда целились слишком высоко, </w:t>
        <w:t xml:space="preserve">весь </w:t>
        <w:t>череп взрывался. Повсюду разлетались кости и мозги. Чуть позже мы получили инструкцию приставлять штыки к шее».</w:t>
      </w:r>
      <w:hyperlink w:anchor="__157">
        <w:r>
          <w:rPr>
            <w:rStyle w:val="Text2"/>
          </w:rPr>
          <w:bookmarkStart w:id="196" w:name="157"/>
          <w:t>157</w:t>
          <w:bookmarkEnd w:id="196"/>
        </w:r>
      </w:hyperlink>
      <w:r>
        <w:rPr>
          <w:rStyle w:val="Text3"/>
        </w:rPr>
        <w:t xml:space="preserve"> </w:t>
      </w:r>
      <w:r>
        <w:t xml:space="preserve"> </w:t>
        <w:t xml:space="preserve"> Решением проблемы и</w:t>
        <w:t>спользование штыков не стало, если верить Гергерту: «Из-за выстрелов в упор пуля часто попадала в череп под такой траекторией, что иногда целый череп, а иногда задняя его часть отрывались, и кровь, осколки костей и мозгов разлетались и пачкали стрелков».</w:t>
      </w:r>
      <w:hyperlink w:anchor="__158">
        <w:r>
          <w:rPr>
            <w:rStyle w:val="Text2"/>
          </w:rPr>
          <w:bookmarkStart w:id="197" w:name="158"/>
          <w:t>158</w:t>
          <w:bookmarkEnd w:id="197"/>
        </w:r>
      </w:hyperlink>
      <w:r>
        <w:rPr>
          <w:rStyle w:val="Text3"/>
        </w:rPr>
        <w:t xml:space="preserve"> </w:t>
      </w:r>
      <w:r>
        <w:t xml:space="preserve"> </w:t>
      </w:r>
    </w:p>
    <w:p>
      <w:pPr>
        <w:pStyle w:val="Para 02"/>
      </w:pPr>
      <w:r>
        <w:t xml:space="preserve">Гергерт решительно подчёркивал, что никому в первом взводе до начала «акции» не предлагали отказаться от обязанностей, но с началом казней к нему или Ширу стали подходить люди, </w:t>
        <w:t>которые</w:t>
        <w:t xml:space="preserve"> не могли стрелять в женщин или детей. Им раздавали другие обязанности, что было подтверждено одним из людей Гергерта.</w:t>
      </w:r>
      <w:hyperlink w:anchor="__159">
        <w:r>
          <w:rPr>
            <w:rStyle w:val="Text2"/>
          </w:rPr>
          <w:bookmarkStart w:id="198" w:name="159"/>
          <w:t>159</w:t>
          <w:bookmarkEnd w:id="198"/>
        </w:r>
      </w:hyperlink>
      <w:r>
        <w:rPr>
          <w:rStyle w:val="Text3"/>
        </w:rPr>
        <w:t xml:space="preserve"> </w:t>
      </w:r>
      <w:r>
        <w:t xml:space="preserve"> «Во время казней распространился слух, что любой неспособный продолжать может доложить об этом». В продолжении тот заметил: «Я сам участвовал где-то в десяти расстрелах, пришлось стрелять и в мужчин, и в женщин. Я просто не мог больше стрелять в людей и из-за того что я раз за разом стрелял мимо, это стало очевидно моему сержанту Гергерту. По этой причине он снял меня с работы. Рано или поздно другие товарищи тоже снимались с </w:t>
        <w:t>неё</w:t>
        <w:t>, когда они просто переставали выносить происходящие».</w:t>
      </w:r>
      <w:hyperlink w:anchor="__160">
        <w:r>
          <w:rPr>
            <w:rStyle w:val="Text2"/>
          </w:rPr>
          <w:bookmarkStart w:id="199" w:name="160"/>
          <w:t>160</w:t>
          <w:bookmarkEnd w:id="199"/>
        </w:r>
      </w:hyperlink>
      <w:r>
        <w:rPr>
          <w:rStyle w:val="Text3"/>
        </w:rPr>
        <w:t xml:space="preserve"> </w:t>
      </w:r>
      <w:r>
        <w:t xml:space="preserve"> </w:t>
      </w:r>
    </w:p>
    <w:p>
      <w:pPr>
        <w:pStyle w:val="Para 02"/>
      </w:pPr>
      <w:r>
        <w:t xml:space="preserve">В другую часть леса назначение получил второй взвод лейтенанта Дракера и большая часть третьего взвода сержанта Штайнмеца. Как и людей Шира, их разделили в небольшие группы от пяти до восьми человек каждая, в отличии от больших групп от тридцати пяти до сорока первой роты Волауфа. Хотя людей проинструктировали приставлять </w:t>
        <w:t>стволы</w:t>
        <w:t xml:space="preserve"> их карабинов к шейным позвонкам в основании шеи, расстрелы сначала производили без помощи штыков.</w:t>
      </w:r>
      <w:hyperlink w:anchor="__161">
        <w:r>
          <w:rPr>
            <w:rStyle w:val="Text2"/>
          </w:rPr>
          <w:bookmarkStart w:id="200" w:name="161"/>
          <w:t>161</w:t>
          <w:bookmarkEnd w:id="200"/>
        </w:r>
      </w:hyperlink>
      <w:r>
        <w:rPr>
          <w:rStyle w:val="Text3"/>
        </w:rPr>
        <w:t xml:space="preserve"> </w:t>
      </w:r>
      <w:r>
        <w:t xml:space="preserve"> Результат был ужасающим: «Стрелков покрывал отвратительный слой из крови, мозгов и обломков костей. Всё это </w:t>
        <w:t>висело на их</w:t>
        <w:t xml:space="preserve"> одежде».</w:t>
      </w:r>
      <w:hyperlink w:anchor="__162">
        <w:r>
          <w:rPr>
            <w:rStyle w:val="Text2"/>
          </w:rPr>
          <w:bookmarkStart w:id="201" w:name="162"/>
          <w:t>162</w:t>
          <w:bookmarkEnd w:id="201"/>
        </w:r>
      </w:hyperlink>
      <w:r>
        <w:rPr>
          <w:rStyle w:val="Text3"/>
        </w:rPr>
        <w:t xml:space="preserve"> </w:t>
      </w:r>
      <w:r>
        <w:t xml:space="preserve"> </w:t>
      </w:r>
    </w:p>
    <w:p>
      <w:pPr>
        <w:pStyle w:val="Para 02"/>
      </w:pPr>
      <w:r>
        <w:t xml:space="preserve">Разделив людей на группы стрелков, Дракер оставил </w:t>
        <w:t>где-то</w:t>
        <w:t xml:space="preserve"> треть в резерве. В конце концов в расстрелах поучаствовали все, но идея была в частых отдыхах и «перекурах».</w:t>
      </w:r>
      <w:hyperlink w:anchor="__163">
        <w:r>
          <w:rPr>
            <w:rStyle w:val="Text2"/>
          </w:rPr>
          <w:bookmarkStart w:id="202" w:name="163"/>
          <w:t>163</w:t>
          <w:bookmarkEnd w:id="202"/>
        </w:r>
      </w:hyperlink>
      <w:r>
        <w:rPr>
          <w:rStyle w:val="Text3"/>
        </w:rPr>
        <w:t xml:space="preserve"> </w:t>
      </w:r>
      <w:r>
        <w:t xml:space="preserve"> Люди не оставались в фиксированных группах из-за постоянных перемещений туда сюда — между местами казней в тернистом лесу и грузовиками.</w:t>
      </w:r>
      <w:hyperlink w:anchor="__164">
        <w:r>
          <w:rPr>
            <w:rStyle w:val="Text2"/>
          </w:rPr>
          <w:bookmarkStart w:id="203" w:name="164"/>
          <w:t>164</w:t>
          <w:bookmarkEnd w:id="203"/>
        </w:r>
      </w:hyperlink>
      <w:r>
        <w:rPr>
          <w:rStyle w:val="Text3"/>
        </w:rPr>
        <w:t xml:space="preserve"> </w:t>
      </w:r>
      <w:r>
        <w:t xml:space="preserve"> Путаница давала возможность замедлить работу или вовсе избежать её. Те, кто торопился выполнить приказ застрелил намного больше евреев, чем те, кто всеми силами старался «</w:t>
        <w:t>не торопиться»</w:t>
        <w:t>.</w:t>
      </w:r>
      <w:hyperlink w:anchor="__165">
        <w:r>
          <w:rPr>
            <w:rStyle w:val="Text2"/>
          </w:rPr>
          <w:bookmarkStart w:id="204" w:name="165"/>
          <w:t>165</w:t>
          <w:bookmarkEnd w:id="204"/>
        </w:r>
      </w:hyperlink>
      <w:r>
        <w:rPr>
          <w:rStyle w:val="Text3"/>
        </w:rPr>
        <w:t xml:space="preserve"> </w:t>
      </w:r>
      <w:r>
        <w:t xml:space="preserve"> После двух казней один из полицейских просто «ускользнул» и остался с грузовиками на опушке.</w:t>
      </w:r>
      <w:hyperlink w:anchor="__166">
        <w:r>
          <w:rPr>
            <w:rStyle w:val="Text2"/>
          </w:rPr>
          <w:bookmarkStart w:id="205" w:name="166"/>
          <w:t>166</w:t>
          <w:bookmarkEnd w:id="205"/>
        </w:r>
      </w:hyperlink>
      <w:r>
        <w:rPr>
          <w:rStyle w:val="Text3"/>
        </w:rPr>
        <w:t xml:space="preserve"> </w:t>
      </w:r>
      <w:r>
        <w:t xml:space="preserve"> Ещё один умудрился полностью пропустить свою очередь быть стрелком.</w:t>
      </w:r>
    </w:p>
    <w:p>
      <w:pPr>
        <w:pStyle w:val="Para 35"/>
      </w:pPr>
      <w:r>
        <w:t/>
      </w:r>
    </w:p>
    <w:p>
      <w:pPr>
        <w:pStyle w:val="Para 04"/>
      </w:pPr>
      <w:r>
        <w:t>«Проблема лежала не в тех людях, кто не мог или не хотел своими руками убивать других людей и кто избегал обязанностей. Не было никакого строго</w:t>
        <w:t>го</w:t>
        <w:t xml:space="preserve"> контроля. Я поэтому остался около прибывающих грузовиков и занял себя делами. Во всяком случае, своей активности я придал именно такой вид. Неизбежно кто-то из моих товарищей </w:t>
        <w:t>замечал</w:t>
        <w:t>, что я не хожу на казни для расстрела жертв. В своём отвращении ко мне они обзывали меня разными словами вроде „говнюк“ или „слабак“. Но ни с какими последствиями для себя я не столкнулся. Должен отметить здесь, что я был не единственным уклоняющимся от казней».</w:t>
      </w:r>
      <w:hyperlink w:anchor="__167">
        <w:r>
          <w:rPr>
            <w:rStyle w:val="Text2"/>
          </w:rPr>
          <w:bookmarkStart w:id="206" w:name="167"/>
          <w:t>167</w:t>
          <w:bookmarkEnd w:id="206"/>
        </w:r>
      </w:hyperlink>
      <w:r>
        <w:rPr>
          <w:rStyle w:val="Text3"/>
        </w:rPr>
        <w:t xml:space="preserve"> </w:t>
      </w:r>
      <w:r>
        <w:t xml:space="preserve"> </w:t>
      </w:r>
    </w:p>
    <w:p>
      <w:pPr>
        <w:pStyle w:val="Para 04"/>
      </w:pPr>
      <w:r>
        <w:t/>
      </w:r>
    </w:p>
    <w:p>
      <w:pPr>
        <w:pStyle w:val="Para 02"/>
      </w:pPr>
      <w:r>
        <w:t xml:space="preserve">Большая часть допрошенных людей, причастных к расстрелам в Юзефуве, принадлежали </w:t>
        <w:t xml:space="preserve">к </w:t>
        <w:t xml:space="preserve">третьему взводу второй роты. Возможно с их помощью нам получится сложить наиболее чёткую картину эффекта казней, производимую на людей, </w:t>
        <w:t>а также</w:t>
        <w:t xml:space="preserve"> процент отказников.</w:t>
      </w:r>
    </w:p>
    <w:p>
      <w:pPr>
        <w:pStyle w:val="Para 02"/>
      </w:pPr>
      <w:r>
        <w:t xml:space="preserve">Ганс Деттельман*, сорокалетний парикмахер, прикреплён Дракером к расстрельной команде. «На первой </w:t>
        <w:t>же</w:t>
        <w:t xml:space="preserve"> казни </w:t>
        <w:t>я не смог выстрелить</w:t>
        <w:t xml:space="preserve"> в свою первую жертву, так что я слинял и попросил ... лейтенанта Дракера освободить меня». Деттельман сказал лейтенанту, что у него «очень слабый характер», и Дракер его отпустил.</w:t>
      </w:r>
      <w:hyperlink w:anchor="__168">
        <w:r>
          <w:rPr>
            <w:rStyle w:val="Text2"/>
          </w:rPr>
          <w:bookmarkStart w:id="207" w:name="168"/>
          <w:t>168</w:t>
          <w:bookmarkEnd w:id="207"/>
        </w:r>
      </w:hyperlink>
      <w:r>
        <w:rPr>
          <w:rStyle w:val="Text3"/>
        </w:rPr>
        <w:t xml:space="preserve"> </w:t>
      </w:r>
      <w:r>
        <w:t xml:space="preserve"> </w:t>
      </w:r>
    </w:p>
    <w:p>
      <w:pPr>
        <w:pStyle w:val="Para 02"/>
      </w:pPr>
      <w:r>
        <w:t xml:space="preserve">Уолтер Нихаус*, бывший торговый представитель сигаретной компании Реемтсма </w:t>
        <w:t>[</w:t>
        <w:t>Reemtsma</w:t>
        <w:t>]</w:t>
        <w:t>, получил для первой казни старую женщину. «После того как я застрелил старую женщину, я пошёл к Тони Бентхейму* (его сержанту) и сказал, что не могу выполнять дальнейшие экзекуции. Я не хотел больше участвовать в этом ... мои нервы были на пределе после одно</w:t>
        <w:t>го этого расстрела</w:t>
        <w:t>».</w:t>
      </w:r>
      <w:hyperlink w:anchor="__169">
        <w:r>
          <w:rPr>
            <w:rStyle w:val="Text2"/>
          </w:rPr>
          <w:bookmarkStart w:id="208" w:name="169"/>
          <w:t>169</w:t>
          <w:bookmarkEnd w:id="208"/>
        </w:r>
      </w:hyperlink>
      <w:r>
        <w:rPr>
          <w:rStyle w:val="Text3"/>
        </w:rPr>
        <w:t xml:space="preserve"> </w:t>
      </w:r>
      <w:r>
        <w:t xml:space="preserve"> </w:t>
      </w:r>
    </w:p>
    <w:p>
      <w:pPr>
        <w:pStyle w:val="Para 02"/>
      </w:pPr>
      <w:r>
        <w:t xml:space="preserve">Первой жертвой Августа Зорна* стал очень пожилой мужчина. Зорн* вспоминал, что тот: </w:t>
      </w:r>
    </w:p>
    <w:p>
      <w:pPr>
        <w:pStyle w:val="Para 02"/>
      </w:pPr>
      <w:r>
        <w:t/>
      </w:r>
    </w:p>
    <w:p>
      <w:pPr>
        <w:pStyle w:val="Para 04"/>
      </w:pPr>
      <w:r>
        <w:t xml:space="preserve">« ... не мог поспевать за своими земляками, потому что постоянно падал и </w:t>
        <w:t>просто валялся</w:t>
        <w:t xml:space="preserve">. Снова и снова мне приходилось поднимать его и тащить вперёд. Так что мы дошли до места казни тогда, когда мои товарищи своих евреев уже застрелили. Увидев мёртвых земляков мой еврей кинулся на землю и остался лежать. Я вскинул мой карабин и застрелил его в затылок. </w:t>
        <w:t>И</w:t>
        <w:t xml:space="preserve">з-за жестокого обращения с евреями во время чисток города </w:t>
        <w:t xml:space="preserve">я уже был </w:t>
        <w:t xml:space="preserve">на нервах и полностью разбит, так что выстрелил слишком высоко. Вся задняя часть черепа моего еврея оторвалась и оголила мозг. Часть черепа отлетела в лицо сержанта Штайнмеца. Это был предлог, на котором вернувшись к грузовикам я обратился к </w:t>
        <w:t>старшему</w:t>
        <w:t xml:space="preserve"> сержанту с просьбой об освобождении. Мне стало так плохо, что я просто больше не мог. </w:t>
        <w:t>Старший</w:t>
        <w:t xml:space="preserve"> сержант меня освободил».</w:t>
      </w:r>
      <w:hyperlink w:anchor="__170">
        <w:r>
          <w:rPr>
            <w:rStyle w:val="Text2"/>
          </w:rPr>
          <w:bookmarkStart w:id="209" w:name="170"/>
          <w:t>170</w:t>
          <w:bookmarkEnd w:id="209"/>
        </w:r>
      </w:hyperlink>
      <w:r>
        <w:rPr>
          <w:rStyle w:val="Text3"/>
        </w:rPr>
        <w:t xml:space="preserve"> </w:t>
      </w:r>
      <w:r>
        <w:t xml:space="preserve"> </w:t>
      </w:r>
    </w:p>
    <w:p>
      <w:pPr>
        <w:pStyle w:val="Para 33"/>
      </w:pPr>
      <w:r>
        <w:t/>
      </w:r>
    </w:p>
    <w:p>
      <w:pPr>
        <w:pStyle w:val="Para 05"/>
      </w:pPr>
      <w:r>
        <w:rPr>
          <w:rStyle w:val="Text7"/>
        </w:rPr>
        <w:t/>
      </w:r>
      <w:r>
        <w:t>Джордж Кагелер*, тридцати семи летний портной, столкнулся с трудностями после первой стрельбы: «</w:t>
        <w:t>По возвращению после первой казни на точку</w:t>
        <w:t xml:space="preserve"> разгрузки мне в качестве жертв </w:t>
        <w:t>выдали</w:t>
        <w:t xml:space="preserve"> женщину с дочерью. Я поговорил с ними и узнал, что они немцы из Касселя, и я принял решение не участвовать в дальнейших казнях. Все это дело теперь казалось таким </w:t>
        <w:t>отвратительным</w:t>
        <w:t>, что я вернулся к командиру взвода и сказал ему, что я болен и должен быть освобождён от обязанностей». Кагелера послали охранять рынок.</w:t>
      </w:r>
      <w:hyperlink w:anchor="__171">
        <w:r>
          <w:rPr>
            <w:rStyle w:val="Text2"/>
          </w:rPr>
          <w:bookmarkStart w:id="210" w:name="171"/>
          <w:t>171</w:t>
          <w:bookmarkEnd w:id="210"/>
        </w:r>
      </w:hyperlink>
      <w:r>
        <w:rPr>
          <w:rStyle w:val="Text3"/>
        </w:rPr>
        <w:t xml:space="preserve"> </w:t>
      </w:r>
      <w:r>
        <w:t xml:space="preserve"> </w:t>
        <w:t xml:space="preserve"> Не были уникальными ни его разговор с жертвой перед казнью, ни его открытие, что это немецкие евреи в Юзефуве. Шимке — первый отказник — встретил евреев из Гамбурга на рынке. Другой полицейский тоже.</w:t>
      </w:r>
      <w:hyperlink w:anchor="__172">
        <w:r>
          <w:rPr>
            <w:rStyle w:val="Text2"/>
          </w:rPr>
          <w:bookmarkStart w:id="211" w:name="172"/>
          <w:t>172</w:t>
          <w:bookmarkEnd w:id="211"/>
        </w:r>
      </w:hyperlink>
      <w:r>
        <w:rPr>
          <w:rStyle w:val="Text3"/>
        </w:rPr>
        <w:t xml:space="preserve"> </w:t>
      </w:r>
      <w:r>
        <w:t xml:space="preserve"> </w:t>
        <w:t xml:space="preserve"> И ещё один вспомнил, что первый расстрелянный им еврей был награждённым медалью в Первую Мировую ветераном из Бремена, </w:t>
        <w:t xml:space="preserve">тщетно </w:t>
        <w:t>молившим о пощаде.</w:t>
      </w:r>
      <w:hyperlink w:anchor="__173">
        <w:r>
          <w:rPr>
            <w:rStyle w:val="Text2"/>
          </w:rPr>
          <w:bookmarkStart w:id="212" w:name="173"/>
          <w:t>173</w:t>
          <w:bookmarkEnd w:id="212"/>
        </w:r>
      </w:hyperlink>
      <w:r>
        <w:rPr>
          <w:rStyle w:val="Text3"/>
        </w:rPr>
        <w:t xml:space="preserve"> </w:t>
      </w:r>
      <w:r>
        <w:t xml:space="preserve"> </w:t>
      </w:r>
      <w:r>
        <w:rPr>
          <w:rStyle w:val="Text7"/>
        </w:rPr>
        <w:t xml:space="preserve"> </w:t>
      </w:r>
    </w:p>
    <w:p>
      <w:pPr>
        <w:pStyle w:val="Para 02"/>
      </w:pPr>
      <w:r>
        <w:t>В прокуратуру Гамбурга неожиданно явился Франц Кастенбаум*, во время допросов до этого отрицавший любое своё знание об убийстве евреев в Польше. Он признался, что был членом расстрельной команды из семи или восьми человек. Эта команда уводила жертв в лес и стреляла в шею в упор. Процедура повторял</w:t>
        <w:t>а</w:t>
        <w:t>сь до четвёртой жертвы.</w:t>
      </w:r>
    </w:p>
    <w:p>
      <w:pPr>
        <w:pStyle w:val="Para 33"/>
      </w:pPr>
      <w:r>
        <w:t/>
      </w:r>
    </w:p>
    <w:p>
      <w:pPr>
        <w:pStyle w:val="Para 04"/>
      </w:pPr>
      <w:r>
        <w:t>«</w:t>
        <w:t>Для меня была настолько отвратительна с</w:t>
        <w:t xml:space="preserve">трельба </w:t>
        <w:t>по</w:t>
        <w:t xml:space="preserve"> люд</w:t>
        <w:t>ям</w:t>
        <w:t xml:space="preserve">, что я промазал по четвёртому. </w:t>
        <w:t>П</w:t>
        <w:t xml:space="preserve">росто невозможно было нормально прицелиться. Внезапно я почувствовал тошноту и убежал с места казни. Я неправильно выразился. Не то чтобы у меня были проблемы с </w:t>
        <w:t>прицеливанием —</w:t>
        <w:t xml:space="preserve"> в четвёртый раз я промазал намеренно. Затем я убежал в лес, где меня стошнило, и сел под деревом. Дабы убедиться что я один — я хотел побыть один — я </w:t>
        <w:t>громко крикнул</w:t>
        <w:t xml:space="preserve">. Сейчас я могу сказать, что мои нервы </w:t>
        <w:t>были на пределе</w:t>
        <w:t xml:space="preserve">. Думаю, я </w:t>
        <w:t>пробыл один</w:t>
        <w:t xml:space="preserve"> в лесу два или три часа».</w:t>
      </w:r>
    </w:p>
    <w:p>
      <w:pPr>
        <w:pStyle w:val="Para 33"/>
      </w:pPr>
      <w:r>
        <w:t/>
      </w:r>
    </w:p>
    <w:p>
      <w:pPr>
        <w:pStyle w:val="Para 05"/>
      </w:pPr>
      <w:r>
        <w:rPr>
          <w:rStyle w:val="Text6"/>
        </w:rPr>
        <w:t/>
      </w:r>
      <w:r>
        <w:t xml:space="preserve">Кастенбаум вернулся на опушку и отвёз пустой грузовик на рынок. Никаких последствий для него не наступило, </w:t>
        <w:t>а его отсутствие не заметили</w:t>
        <w:t xml:space="preserve"> </w:t>
        <w:t>и</w:t>
        <w:t>з-за путаницы. Он пришел сделать заявление, объяснил он адвокату по расследованию, потому что скрывая расстрелы, ему не удалось найти мира.</w:t>
      </w:r>
      <w:hyperlink w:anchor="__174">
        <w:r>
          <w:rPr>
            <w:rStyle w:val="Text2"/>
          </w:rPr>
          <w:bookmarkStart w:id="213" w:name="174"/>
          <w:t>174</w:t>
          <w:bookmarkEnd w:id="213"/>
        </w:r>
      </w:hyperlink>
      <w:r>
        <w:rPr>
          <w:rStyle w:val="Text3"/>
        </w:rPr>
        <w:t xml:space="preserve"> </w:t>
      </w:r>
      <w:r>
        <w:t xml:space="preserve"> </w:t>
      </w:r>
      <w:r>
        <w:rPr>
          <w:rStyle w:val="Text6"/>
        </w:rPr>
        <w:t xml:space="preserve"> </w:t>
      </w:r>
    </w:p>
    <w:p>
      <w:pPr>
        <w:pStyle w:val="Para 02"/>
      </w:pPr>
      <w:r>
        <w:t>Большинство из тех, кто не выносил расстрелов уходили быстро.</w:t>
      </w:r>
      <w:hyperlink w:anchor="__175">
        <w:r>
          <w:rPr>
            <w:rStyle w:val="Text2"/>
          </w:rPr>
          <w:bookmarkStart w:id="214" w:name="175"/>
          <w:t>175</w:t>
          <w:bookmarkEnd w:id="214"/>
        </w:r>
      </w:hyperlink>
      <w:r>
        <w:rPr>
          <w:rStyle w:val="Text3"/>
        </w:rPr>
        <w:t xml:space="preserve"> </w:t>
      </w:r>
      <w:r>
        <w:t xml:space="preserve"> Но не всегда. Члены одной команды попросили освобождения от обязанности лишь после того как убили десять или двадцать евреев каждый. Как один из них объяснил: «Причина по которой я попросил освобождения состоит в том, что человек рядом со мной стрелял просто ужасно. Судя по всему, он всегда целился слишком высоко, нанося ужасные ранения своим жертвам. Во многих случаях отрывалась вся задняя часть черепа, мозги разлетались повсюду. Я просто не мог больше на это смотреть».</w:t>
      </w:r>
      <w:hyperlink w:anchor="__176">
        <w:r>
          <w:rPr>
            <w:rStyle w:val="Text2"/>
          </w:rPr>
          <w:bookmarkStart w:id="215" w:name="176"/>
          <w:t>176</w:t>
          <w:bookmarkEnd w:id="215"/>
        </w:r>
      </w:hyperlink>
      <w:r>
        <w:rPr>
          <w:rStyle w:val="Text3"/>
        </w:rPr>
        <w:t xml:space="preserve"> </w:t>
      </w:r>
      <w:r>
        <w:t xml:space="preserve"> В зоне разгрузки сержант Бентхейм наблюдал выходящих из леса людей — трясущихся, покрытых кровью и мозгами, на нервах и с потрясённым боевым духом. Он советовал желающим отказаться просто «улизнуть» на рынок.</w:t>
      </w:r>
      <w:hyperlink w:anchor="__177">
        <w:r>
          <w:rPr>
            <w:rStyle w:val="Text2"/>
          </w:rPr>
          <w:bookmarkStart w:id="216" w:name="177"/>
          <w:t>177</w:t>
          <w:bookmarkEnd w:id="216"/>
        </w:r>
      </w:hyperlink>
      <w:r>
        <w:rPr>
          <w:rStyle w:val="Text3"/>
        </w:rPr>
        <w:t xml:space="preserve"> </w:t>
      </w:r>
      <w:r>
        <w:t xml:space="preserve"> Как результат, </w:t>
        <w:t>там</w:t>
        <w:t xml:space="preserve"> постоянно росло количество полицейских.</w:t>
      </w:r>
      <w:hyperlink w:anchor="__178">
        <w:r>
          <w:rPr>
            <w:rStyle w:val="Text2"/>
          </w:rPr>
          <w:bookmarkStart w:id="217" w:name="178"/>
          <w:t>178</w:t>
          <w:bookmarkEnd w:id="217"/>
        </w:r>
      </w:hyperlink>
      <w:r>
        <w:rPr>
          <w:rStyle w:val="Text3"/>
        </w:rPr>
        <w:t xml:space="preserve"> </w:t>
      </w:r>
      <w:r>
        <w:t xml:space="preserve"> </w:t>
      </w:r>
    </w:p>
    <w:p>
      <w:pPr>
        <w:pStyle w:val="Para 02"/>
      </w:pPr>
      <w:r>
        <w:t/>
        <w:t>Что касается первой роты под командованием Дракера и Штайнмеца, то т</w:t>
        <w:t>ам</w:t>
        <w:t xml:space="preserve"> п</w:t>
        <w:t>олицейские получили доступ к алкоголю и остались в лесу заниматься расстрелами.</w:t>
      </w:r>
      <w:hyperlink w:anchor="__179">
        <w:r>
          <w:rPr>
            <w:rStyle w:val="Text2"/>
          </w:rPr>
          <w:bookmarkStart w:id="218" w:name="179"/>
          <w:t>179</w:t>
          <w:bookmarkEnd w:id="218"/>
        </w:r>
      </w:hyperlink>
      <w:r>
        <w:rPr>
          <w:rStyle w:val="Text3"/>
        </w:rPr>
        <w:t xml:space="preserve"> </w:t>
      </w:r>
      <w:r>
        <w:t xml:space="preserve"> Темнота постепенно покрывала этот длинный летний день, убийственная миссия никак не завершалась, </w:t>
        <w:t>а с</w:t>
        <w:t>трельба становилась вс</w:t>
        <w:t>ё</w:t>
        <w:t xml:space="preserve"> менее организованной и вс</w:t>
        <w:t>ё</w:t>
        <w:t xml:space="preserve"> более суматошной.</w:t>
      </w:r>
      <w:hyperlink w:anchor="__180">
        <w:r>
          <w:rPr>
            <w:rStyle w:val="Text2"/>
          </w:rPr>
          <w:bookmarkStart w:id="219" w:name="180"/>
          <w:t>180</w:t>
          <w:bookmarkEnd w:id="219"/>
        </w:r>
      </w:hyperlink>
      <w:r>
        <w:rPr>
          <w:rStyle w:val="Text3"/>
        </w:rPr>
        <w:t xml:space="preserve"> </w:t>
      </w:r>
      <w:r>
        <w:t xml:space="preserve"> Лес настолько переполнился телами, что стало сложно найти куда положить евреев.</w:t>
      </w:r>
      <w:hyperlink w:anchor="__181">
        <w:r>
          <w:rPr>
            <w:rStyle w:val="Text2"/>
          </w:rPr>
          <w:bookmarkStart w:id="220" w:name="181"/>
          <w:t>181</w:t>
          <w:bookmarkEnd w:id="220"/>
        </w:r>
      </w:hyperlink>
      <w:r>
        <w:rPr>
          <w:rStyle w:val="Text3"/>
        </w:rPr>
        <w:t xml:space="preserve"> </w:t>
      </w:r>
      <w:r>
        <w:t xml:space="preserve"> Примерно спустя семнадцать часов после прибытия Полицейского Резервного Батальона 101 на окраину Юзефува, когда </w:t>
        <w:t>около</w:t>
        <w:t xml:space="preserve"> девяти вечера наступила темнота и последний еврей был убит, люди вернулись на рынок и подготовились к возвращению в Билгорай.</w:t>
      </w:r>
      <w:hyperlink w:anchor="__182">
        <w:r>
          <w:rPr>
            <w:rStyle w:val="Text2"/>
          </w:rPr>
          <w:bookmarkStart w:id="221" w:name="182"/>
          <w:t>182</w:t>
          <w:bookmarkEnd w:id="221"/>
        </w:r>
      </w:hyperlink>
      <w:r>
        <w:rPr>
          <w:rStyle w:val="Text3"/>
        </w:rPr>
        <w:t xml:space="preserve"> </w:t>
      </w:r>
      <w:r>
        <w:t xml:space="preserve"> Планов по захоронению не было — тела мёртвых евреев просто оставили лежать в лесу. Официально ни одежда, ни ценности не собирались, хотя некоторые полицейские обогатили себя часами, украшениями и деньгами жертв.</w:t>
      </w:r>
      <w:hyperlink w:anchor="__183">
        <w:r>
          <w:rPr>
            <w:rStyle w:val="Text2"/>
          </w:rPr>
          <w:bookmarkStart w:id="222" w:name="183"/>
          <w:t>183</w:t>
          <w:bookmarkEnd w:id="222"/>
        </w:r>
      </w:hyperlink>
      <w:r>
        <w:rPr>
          <w:rStyle w:val="Text3"/>
        </w:rPr>
        <w:t xml:space="preserve"> </w:t>
      </w:r>
      <w:r>
        <w:t xml:space="preserve"> Кучу багажа евреев, который их заставили бросить на рынке, сожгли.</w:t>
      </w:r>
      <w:hyperlink w:anchor="__184">
        <w:r>
          <w:rPr>
            <w:rStyle w:val="Text2"/>
          </w:rPr>
          <w:bookmarkStart w:id="223" w:name="184"/>
          <w:t>184</w:t>
          <w:bookmarkEnd w:id="223"/>
        </w:r>
      </w:hyperlink>
      <w:r>
        <w:rPr>
          <w:rStyle w:val="Text3"/>
        </w:rPr>
        <w:t xml:space="preserve"> </w:t>
      </w:r>
      <w:r>
        <w:t xml:space="preserve"> Перед тем как полицейские погрузились в грузовики и покинули Юзефув, появилась десятилетняя девочка, </w:t>
        <w:t>и</w:t>
        <w:t>з головы у неё шла кровь. Её привели к Траппу, который взял её на руки и сказал: «Ты должна остаться в живых».</w:t>
      </w:r>
      <w:hyperlink w:anchor="__185">
        <w:r>
          <w:rPr>
            <w:rStyle w:val="Text2"/>
          </w:rPr>
          <w:bookmarkStart w:id="224" w:name="185"/>
          <w:t>185</w:t>
          <w:bookmarkEnd w:id="224"/>
        </w:r>
      </w:hyperlink>
      <w:r>
        <w:rPr>
          <w:rStyle w:val="Text3"/>
        </w:rPr>
        <w:t xml:space="preserve"> </w:t>
      </w:r>
      <w:r>
        <w:t xml:space="preserve"> </w:t>
      </w:r>
    </w:p>
    <w:p>
      <w:pPr>
        <w:pStyle w:val="Para 05"/>
      </w:pPr>
      <w:r>
        <w:rPr>
          <w:rStyle w:val="Text7"/>
        </w:rPr>
        <w:t/>
      </w:r>
      <w:r>
        <w:t xml:space="preserve">В бараки Билгорая люди </w:t>
        <w:t>вернулись</w:t>
        <w:t xml:space="preserve"> подавленные, разозлённые, ожесточённые и потрясённые.</w:t>
      </w:r>
      <w:hyperlink w:anchor="__186">
        <w:r>
          <w:rPr>
            <w:rStyle w:val="Text2"/>
          </w:rPr>
          <w:bookmarkStart w:id="225" w:name="186"/>
          <w:t>186</w:t>
          <w:bookmarkEnd w:id="225"/>
        </w:r>
      </w:hyperlink>
      <w:r>
        <w:rPr>
          <w:rStyle w:val="Text3"/>
        </w:rPr>
        <w:t xml:space="preserve"> </w:t>
      </w:r>
      <w:r>
        <w:t xml:space="preserve"> </w:t>
        <w:t xml:space="preserve"> Мало ели и много пили. Алкоголь </w:t>
        <w:t>поставлялся щедро, многие полицейские сильно напились. Трапп устроил обход, пытаясь утешить и подбодрить их, снова перекидывая ответственно</w:t>
        <w:t>сть</w:t>
        <w:t xml:space="preserve"> на высшие чины.</w:t>
      </w:r>
      <w:hyperlink w:anchor="__187">
        <w:r>
          <w:rPr>
            <w:rStyle w:val="Text2"/>
          </w:rPr>
          <w:bookmarkStart w:id="226" w:name="187"/>
          <w:t>187</w:t>
          <w:bookmarkEnd w:id="226"/>
        </w:r>
      </w:hyperlink>
      <w:r>
        <w:rPr>
          <w:rStyle w:val="Text3"/>
        </w:rPr>
        <w:t xml:space="preserve"> </w:t>
      </w:r>
      <w:r>
        <w:t xml:space="preserve"> </w:t>
        <w:t xml:space="preserve"> Но ни выпивка, ни утешения Траппа не могли смыть переполнявшие барак чувства позора и ужаса. Трапп попросил людей не говорить о случившемся</w:t>
      </w:r>
      <w:hyperlink w:anchor="__188">
        <w:r>
          <w:rPr>
            <w:rStyle w:val="Text2"/>
          </w:rPr>
          <w:bookmarkStart w:id="227" w:name="188"/>
          <w:t>188</w:t>
          <w:bookmarkEnd w:id="227"/>
        </w:r>
      </w:hyperlink>
      <w:r>
        <w:rPr>
          <w:rStyle w:val="Text3"/>
        </w:rPr>
        <w:t xml:space="preserve"> </w:t>
      </w:r>
      <w:r>
        <w:t xml:space="preserve"> </w:t>
        <w:t xml:space="preserve">, но их и не нужно было — кто не был в лесу не хотели знать больше, </w:t>
        <w:t xml:space="preserve">а </w:t>
        <w:t>кто был желания говорить не имели.</w:t>
      </w:r>
      <w:hyperlink w:anchor="__189">
        <w:r>
          <w:rPr>
            <w:rStyle w:val="Text2"/>
          </w:rPr>
          <w:bookmarkStart w:id="228" w:name="189"/>
          <w:t>189</w:t>
          <w:bookmarkEnd w:id="228"/>
        </w:r>
      </w:hyperlink>
      <w:r>
        <w:rPr>
          <w:rStyle w:val="Text3"/>
        </w:rPr>
        <w:t xml:space="preserve"> </w:t>
      </w:r>
      <w:r>
        <w:t xml:space="preserve"> </w:t>
        <w:t xml:space="preserve"> </w:t>
        <w:t>Резню в Юзефуве п</w:t>
        <w:t xml:space="preserve">о молчаливому </w:t>
        <w:t>согласию</w:t>
        <w:t xml:space="preserve"> в Полицейском Резервном Батальоне 101 просто не обсуждали. «Вся тема была табу».</w:t>
      </w:r>
      <w:hyperlink w:anchor="__190">
        <w:r>
          <w:rPr>
            <w:rStyle w:val="Text2"/>
          </w:rPr>
          <w:bookmarkStart w:id="229" w:name="190"/>
          <w:t>190</w:t>
          <w:bookmarkEnd w:id="229"/>
        </w:r>
      </w:hyperlink>
      <w:r>
        <w:rPr>
          <w:rStyle w:val="Text3"/>
        </w:rPr>
        <w:t xml:space="preserve"> </w:t>
      </w:r>
      <w:r>
        <w:t xml:space="preserve"> </w:t>
        <w:t xml:space="preserve"> Но сдержанность днём не спасала от ночных кошмаров — </w:t>
        <w:t>п</w:t>
        <w:t xml:space="preserve">ервой же ночью после Юзефува, один полицейский проснулся, стреляя </w:t>
        <w:t xml:space="preserve">из своего оружия </w:t>
        <w:t>в потолок барака.</w:t>
      </w:r>
      <w:hyperlink w:anchor="__191">
        <w:r>
          <w:rPr>
            <w:rStyle w:val="Text2"/>
          </w:rPr>
          <w:bookmarkStart w:id="230" w:name="191"/>
          <w:t>191</w:t>
          <w:bookmarkEnd w:id="230"/>
        </w:r>
      </w:hyperlink>
      <w:r>
        <w:rPr>
          <w:rStyle w:val="Text3"/>
        </w:rPr>
        <w:t xml:space="preserve"> </w:t>
      </w:r>
      <w:r>
        <w:t xml:space="preserve"> </w:t>
      </w:r>
      <w:r>
        <w:rPr>
          <w:rStyle w:val="Text7"/>
        </w:rPr>
        <w:t xml:space="preserve"> </w:t>
      </w:r>
    </w:p>
    <w:p>
      <w:pPr>
        <w:pStyle w:val="Para 02"/>
      </w:pPr>
      <w:r>
        <w:t xml:space="preserve">Несколько дней спустя Юзефува батальону кажется чудом удалось избежать участия в ещё одной бойне. Отряды первой и второй рот под командованием Траппа и Волауфа вошли в Александрув [Aleksandrów] — так называемая уличная деревня, состоявшая из растянутых вдоль дороги домов в двенадцати километрах к западу от Юзефува. </w:t>
        <w:t>Там они з</w:t>
        <w:t xml:space="preserve">ахватили небольшое количество евреев. И </w:t>
        <w:t>те</w:t>
        <w:t xml:space="preserve">, и полицейские опасались, что очередная резня неизбежна. </w:t>
        <w:t>После небольшой заминки о</w:t>
        <w:t xml:space="preserve">перацию, однако, </w:t>
        <w:t>прекратили,</w:t>
        <w:t xml:space="preserve"> и Трапп разрешил евреям вернуться в свои дома. Один полицейский хорошо запомнил «как отдельные евреи падали на колени перед Траппом, пытаясь поцеловать его руки и ноги. Трапп, однако, не разрешал подобного и отвернулся». Полицейские вернулись в Билгорай без объяснения этому странному событию.</w:t>
      </w:r>
      <w:hyperlink w:anchor="__192">
        <w:r>
          <w:rPr>
            <w:rStyle w:val="Text2"/>
          </w:rPr>
          <w:bookmarkStart w:id="231" w:name="192"/>
          <w:t>192</w:t>
          <w:bookmarkEnd w:id="231"/>
        </w:r>
      </w:hyperlink>
      <w:r>
        <w:rPr>
          <w:rStyle w:val="Text3"/>
        </w:rPr>
        <w:t xml:space="preserve"> </w:t>
      </w:r>
      <w:r>
        <w:t xml:space="preserve"> 20 июля — ровно месяц после их отправки из Гамбурга и </w:t>
        <w:t xml:space="preserve">спустя </w:t>
        <w:t xml:space="preserve">неделю </w:t>
        <w:t xml:space="preserve">после </w:t>
        <w:t>резн</w:t>
        <w:t>и</w:t>
        <w:t xml:space="preserve"> в Юзефуве — Полицейский Резервный Батальон 101 покинул Билгорай для передислокации в северный сектор </w:t>
        <w:t>округа</w:t>
        <w:t xml:space="preserve"> Люблина.</w:t>
      </w:r>
    </w:p>
    <w:p>
      <w:pPr>
        <w:pStyle w:val="Para 09"/>
      </w:pPr>
      <w:r>
        <w:t xml:space="preserve"> </w:t>
        <w:br w:clear="none"/>
      </w:r>
    </w:p>
    <w:p>
      <w:pPr>
        <w:pStyle w:val="Heading 2"/>
      </w:pPr>
      <w:r>
        <w:bookmarkStart w:id="232" w:name="anchor20"/>
        <w:t/>
        <w:bookmarkEnd w:id="232"/>
        <w:t>Глава 8</w:t>
        <w:bookmarkStart w:id="233" w:name="anchor66"/>
        <w:t/>
        <w:bookmarkEnd w:id="233"/>
        <w:bookmarkStart w:id="234" w:name="anchor67"/>
        <w:t/>
        <w:bookmarkEnd w:id="234"/>
      </w:r>
    </w:p>
    <w:p>
      <w:pPr>
        <w:pStyle w:val="Para 11"/>
      </w:pPr>
      <w:r>
        <w:bookmarkStart w:id="235" w:name="anchor21"/>
        <w:t/>
        <w:bookmarkEnd w:id="235"/>
        <w:t>Размышления о резне</w:t>
      </w:r>
    </w:p>
    <w:p>
      <w:pPr>
        <w:pStyle w:val="Para 05"/>
      </w:pPr>
      <w:r>
        <w:rPr>
          <w:rStyle w:val="Text6"/>
        </w:rPr>
        <w:t/>
      </w:r>
      <w:r>
        <w:t xml:space="preserve">В Юзефуве лишь дюжина людей из пяти сотен инстинктивно приняла предложение Траппа не участвовать в предстоящей резне и вышла вперёд. Почему оказалось столь малым число людей, с самого начала заявивших о своём нежелании участвовать в расстрелах? Отчасти объяснение лежит во внезапности — </w:t>
        <w:t>н</w:t>
        <w:t>е было предупреждения и времени подумать — люди были полностью «удивлены» действиями в Юзефуве.</w:t>
      </w:r>
      <w:hyperlink w:anchor="__193">
        <w:r>
          <w:rPr>
            <w:rStyle w:val="Text2"/>
          </w:rPr>
          <w:bookmarkStart w:id="236" w:name="193"/>
          <w:t>193</w:t>
          <w:bookmarkEnd w:id="236"/>
        </w:r>
      </w:hyperlink>
      <w:r>
        <w:rPr>
          <w:rStyle w:val="Text3"/>
        </w:rPr>
        <w:t xml:space="preserve"> </w:t>
      </w:r>
      <w:r>
        <w:t xml:space="preserve"> </w:t>
        <w:t xml:space="preserve"> Не среагировав сразу же на предложение Траппа, они упускали первую возможность уклониться.</w:t>
      </w:r>
      <w:hyperlink w:anchor="__194">
        <w:r>
          <w:rPr>
            <w:rStyle w:val="Text2"/>
          </w:rPr>
          <w:bookmarkStart w:id="237" w:name="194"/>
          <w:t>194</w:t>
          <w:bookmarkEnd w:id="237"/>
        </w:r>
      </w:hyperlink>
      <w:r>
        <w:rPr>
          <w:rStyle w:val="Text3"/>
        </w:rPr>
        <w:t xml:space="preserve"> </w:t>
      </w:r>
      <w:r>
        <w:t xml:space="preserve"> </w:t>
      </w:r>
      <w:r>
        <w:rPr>
          <w:rStyle w:val="Text6"/>
        </w:rPr>
        <w:t xml:space="preserve"> </w:t>
      </w:r>
    </w:p>
    <w:p>
      <w:pPr>
        <w:pStyle w:val="Para 02"/>
      </w:pPr>
      <w:r>
        <w:t xml:space="preserve">Такой же важной частью как и внезапность является давление «общественности», </w:t>
        <w:t>или склонность к конформизму</w:t>
        <w:t xml:space="preserve"> — базовая идентификация людей в форме со своими товарищами и сильное желание не разделяться с группой, выходя вперёд из неё. Батальон только недавно был пополнен до полного состава, люди плохо знали друг друга, узы боевого братства до конца ещё не сложились, но тем не менее, сам акт выхода вперёд тем утром в Юзефуве означал уход от товарищей и признание себя «слабым» или «трусливым». Кто мог «посметь», как горячо заявил один из полицейских, «потерять лицо» перед всем батальоном.</w:t>
      </w:r>
      <w:hyperlink w:anchor="__195">
        <w:r>
          <w:rPr>
            <w:rStyle w:val="Text2"/>
          </w:rPr>
          <w:bookmarkStart w:id="238" w:name="195"/>
          <w:t>195</w:t>
          <w:bookmarkEnd w:id="238"/>
        </w:r>
      </w:hyperlink>
      <w:r>
        <w:rPr>
          <w:rStyle w:val="Text3"/>
        </w:rPr>
        <w:t xml:space="preserve"> </w:t>
      </w:r>
      <w:r>
        <w:t xml:space="preserve"> «Если бы мне задали вопрос — почему я вообще стрелял вместе со всеми», — сказал другой, — «я бы ответил, что никто не хочет прослыть трусом». «Одно дело отказаться с самого начала», — добавил он, — «и совершенно другое — попробовать пострелять и не смочь продолжать».</w:t>
      </w:r>
      <w:hyperlink w:anchor="__196">
        <w:r>
          <w:rPr>
            <w:rStyle w:val="Text2"/>
          </w:rPr>
          <w:bookmarkStart w:id="239" w:name="196"/>
          <w:t>196</w:t>
          <w:bookmarkEnd w:id="239"/>
        </w:r>
      </w:hyperlink>
      <w:r>
        <w:rPr>
          <w:rStyle w:val="Text3"/>
        </w:rPr>
        <w:t xml:space="preserve"> </w:t>
      </w:r>
      <w:r>
        <w:t xml:space="preserve"> Ещё один полицейский, более осведомлённый о том для чего нужна смелость, сказал просто: «я струсил».</w:t>
      </w:r>
      <w:hyperlink w:anchor="__197">
        <w:r>
          <w:rPr>
            <w:rStyle w:val="Text2"/>
          </w:rPr>
          <w:bookmarkStart w:id="240" w:name="197"/>
          <w:t>197</w:t>
          <w:bookmarkEnd w:id="240"/>
        </w:r>
      </w:hyperlink>
      <w:r>
        <w:rPr>
          <w:rStyle w:val="Text3"/>
        </w:rPr>
        <w:t xml:space="preserve"> </w:t>
      </w:r>
      <w:r>
        <w:t xml:space="preserve"> </w:t>
      </w:r>
    </w:p>
    <w:p>
      <w:pPr>
        <w:pStyle w:val="Para 02"/>
      </w:pPr>
      <w:r>
        <w:t xml:space="preserve">Большинство допрошенных полицейских отрицали наличие какого-либо выбора. Узнав о показаниях остальных, многие не </w:t>
        <w:t>стали</w:t>
        <w:t xml:space="preserve"> оспаривать</w:t>
        <w:t xml:space="preserve"> того, что предложение Траппа имело место быть, однако заявляли, что не слышали эту часть речи или не помнили её. Несколько полицейских попытались описать проблему выбора, но не смогли подобрать слова. Это было другое время и место, будто они побывали на другой политической планете и политические ценности со словарём 1960-</w:t>
        <w:t>х</w:t>
        <w:t xml:space="preserve"> были просто бесполезны в описании ситуации, в которой люди находились в 1942-</w:t>
        <w:t>м</w:t>
        <w:t>. Довольно нетипичным в описании своего состояния утром 13 июля был полицейский, признавший убийство двадцати евреев перед отказом от продолжения: «Я думал, что смогу контролировать ситуацию, и что без меня евреи все равно не избежали бы своей судьбы ... По правде говоря, в то время я об этом не думал. Лишь годы спустя мы по-настоящему осознали случившееся ... Лишь после меня впервые посетила мысль, что всё это было неправильно».</w:t>
      </w:r>
      <w:hyperlink w:anchor="__198">
        <w:r>
          <w:rPr>
            <w:rStyle w:val="Text2"/>
          </w:rPr>
          <w:bookmarkStart w:id="241" w:name="198"/>
          <w:t>198</w:t>
          <w:bookmarkEnd w:id="241"/>
        </w:r>
      </w:hyperlink>
      <w:r>
        <w:rPr>
          <w:rStyle w:val="Text3"/>
        </w:rPr>
        <w:t xml:space="preserve"> </w:t>
      </w:r>
      <w:r>
        <w:t xml:space="preserve"> </w:t>
      </w:r>
    </w:p>
    <w:p>
      <w:pPr>
        <w:pStyle w:val="Para 02"/>
      </w:pPr>
      <w:r>
        <w:t>Помимо лёгкой рационализации о неизбежной судьбе евреев даже в случае отказа, полицейские разработали и другие оправдания своему поведению. Возможно самой поразительной рационализацией всему является пример тридцати пяти летнего металлурга</w:t>
      </w:r>
      <w:hyperlink w:anchor="__199">
        <w:r>
          <w:rPr>
            <w:rStyle w:val="Text2"/>
          </w:rPr>
          <w:bookmarkStart w:id="242" w:name="199"/>
          <w:t>199</w:t>
          <w:bookmarkEnd w:id="242"/>
        </w:r>
      </w:hyperlink>
      <w:r>
        <w:rPr>
          <w:rStyle w:val="Text3"/>
        </w:rPr>
        <w:t xml:space="preserve"> </w:t>
      </w:r>
      <w:r>
        <w:t xml:space="preserve"> из Бремерхафена:</w:t>
      </w:r>
    </w:p>
    <w:p>
      <w:pPr>
        <w:pStyle w:val="Para 33"/>
      </w:pPr>
      <w:r>
        <w:t/>
      </w:r>
    </w:p>
    <w:p>
      <w:pPr>
        <w:pStyle w:val="Para 04"/>
      </w:pPr>
      <w:r>
        <w:t xml:space="preserve">«Приложив усилия, </w:t>
        <w:t>я стал способен</w:t>
        <w:t xml:space="preserve"> расстреливать</w:t>
        <w:t xml:space="preserve"> только детей. Так случилось, что матери вели детей за руки. Мой сосед застрелил мать, а я застрелил её ребёнка, потому, рассудил я, что после смерти матери он бы вс</w:t>
        <w:t>ё</w:t>
        <w:t xml:space="preserve"> равно умер. Это должно было стать, так сказать, успокоением моей совести — освобождение детей не способных жить без матери».</w:t>
      </w:r>
      <w:hyperlink w:anchor="__200">
        <w:r>
          <w:rPr>
            <w:rStyle w:val="Text2"/>
          </w:rPr>
          <w:bookmarkStart w:id="243" w:name="200"/>
          <w:t>200</w:t>
          <w:bookmarkEnd w:id="243"/>
        </w:r>
      </w:hyperlink>
      <w:r>
        <w:rPr>
          <w:rStyle w:val="Text3"/>
        </w:rPr>
        <w:t xml:space="preserve"> </w:t>
      </w:r>
      <w:r>
        <w:t xml:space="preserve"> </w:t>
      </w:r>
    </w:p>
    <w:p>
      <w:pPr>
        <w:pStyle w:val="Para 38"/>
      </w:pPr>
      <w:r>
        <w:t/>
      </w:r>
    </w:p>
    <w:p>
      <w:pPr>
        <w:pStyle w:val="Para 05"/>
      </w:pPr>
      <w:r>
        <w:rPr>
          <w:rStyle w:val="Text10"/>
        </w:rPr>
        <w:t/>
      </w:r>
      <w:r>
        <w:t xml:space="preserve">Весь смысл этого заявления, значение выбора слов бывшего полицейского нельзя оценить без знания немецкого. Немецкое слово «освобождение» </w:t>
        <w:t>[</w:t>
        <w:t>erlösen</w:t>
        <w:t>]</w:t>
        <w:t xml:space="preserve"> так же означает «искупление» или «спасение», когда используется в религиозном смысле. Тот кто «освобождает», тот Избавитель </w:t>
        <w:t>[</w:t>
        <w:t>Erlöser</w:t>
        <w:t>]</w:t>
        <w:t xml:space="preserve"> — Спаситель или Искупитель!</w:t>
      </w:r>
      <w:r>
        <w:rPr>
          <w:rStyle w:val="Text10"/>
        </w:rPr>
        <w:t xml:space="preserve"> </w:t>
      </w:r>
    </w:p>
    <w:p>
      <w:pPr>
        <w:pStyle w:val="Para 02"/>
      </w:pPr>
      <w:r>
        <w:t xml:space="preserve">В вопросе мотивации и сознательности самый вопиющий пробел в допросах — это любая дискуссия об антисемитизме. По большей части этим следователи не занимались, </w:t>
        <w:t>к</w:t>
        <w:t xml:space="preserve">ак и не стремились пролить на эту тему свет и </w:t>
        <w:t>сами</w:t>
        <w:t xml:space="preserve"> допрашиваемые, по понятным причинам не желая оговаривать себя. За несколькими исключениями, вся тема антисемитизма покрыта саваном тишины.</w:t>
      </w:r>
      <w:hyperlink w:anchor="__201">
        <w:r>
          <w:rPr>
            <w:rStyle w:val="Text2"/>
          </w:rPr>
          <w:bookmarkStart w:id="244" w:name="201"/>
          <w:t>201</w:t>
          <w:bookmarkEnd w:id="244"/>
        </w:r>
      </w:hyperlink>
      <w:r>
        <w:rPr>
          <w:rStyle w:val="Text3"/>
        </w:rPr>
        <w:t xml:space="preserve"> </w:t>
      </w:r>
      <w:r>
        <w:t xml:space="preserve"> Что точно ясно, так это что озабоченность людей своим образом в глазах товарищей не могла сравниться с какими-либо их человеческими связями с жертвами. Евреи стоял</w:t>
        <w:t>и</w:t>
        <w:t xml:space="preserve"> вне круга </w:t>
        <w:t xml:space="preserve">человеческих обязательств и </w:t>
        <w:t>ответственности. Такая поляризация на «мы» и «они» между товарищами и враг</w:t>
        <w:t>а</w:t>
        <w:t>м</w:t>
        <w:t>и</w:t>
        <w:t>, конечно же, является стандартом в войне.</w:t>
      </w:r>
    </w:p>
    <w:p>
      <w:pPr>
        <w:pStyle w:val="Para 02"/>
      </w:pPr>
      <w:r>
        <w:t xml:space="preserve">Создаётся впечатление, что даже если члены Полицейского Резервного Батальона 101 не </w:t>
        <w:t>принимали</w:t>
        <w:t xml:space="preserve"> сознательно доктрину антисемитизма режима, они как минимум приняли слияние образа еврея и образа врага. Майор Трапп в своей утренней речи перед батальоном прибегнул к обобщённой идее о евреях как о </w:t>
        <w:t>враждебной стороне</w:t>
        <w:t>. Стреляя в еврейских женщин и детей, люди должны помнить, что враг бомбит Германию, убивает немецких женщин и детей.</w:t>
      </w:r>
    </w:p>
    <w:p>
      <w:pPr>
        <w:pStyle w:val="Para 02"/>
      </w:pPr>
      <w:r>
        <w:t>Если лишь дюжина полицейских вышла вперёд в самом начале и избавила себя от предстоящей роли массовых убийц, намного большее количество либо искало способ незаметно уклониться от расстрелов, либо просило освобождения от обязанностей после начала казней. Сколько полицейских в этих категориях не поддаётся точному подсчёту, но оценка в 10-20% назначенных в расстрельные команды не кажется неправдоподобной. Сержант Гергерт, к примеру, признал снятия с команд пятерых людей из отряда в сорок или сорок пять человек. В группе Дракера-Штайнмеца, в которой было наибольшее количество допрашиваемых стрелков, мы можем идентифицировать шестерых полицейских, вышедших из дела после четырёх казней, а так же целый отряд от пяти до восьми, кто отказался значительно позже. Хоть число уклонистов и отказников и нельзя назвать незначительным, стоит не забывать, что одновременно с этим как минимум восемьдесят процентов стрелков продолжало заниматься казнями, пока все полторы тысячи еврея Юзефува не были убиты.</w:t>
      </w:r>
    </w:p>
    <w:p>
      <w:pPr>
        <w:pStyle w:val="Para 02"/>
      </w:pPr>
      <w:r>
        <w:t xml:space="preserve">Даже двадцать или двадцать пять лет спустя, те, кто отказался уже поучаствовав в казнях, поголовно рассказывают о поглощавшем их физическом отторжении к своим действиям и называют это главным мотивом для отказа. Однако они не выражают этических или политических причин в основе этого отторжения. С учётом уровня образования полицейских </w:t>
        <w:t>запаса</w:t>
        <w:t xml:space="preserve"> не стоит ожидать утончённой артикуляции абстрактных принципов, </w:t>
        <w:t>но о</w:t>
        <w:t>тсутствие подобного однако не означает, что их отторжение не имеет в своей основе базовый человеческий инстинкт, которому нацизм радикально противостоял и который пытался преодолеть.</w:t>
      </w:r>
      <w:hyperlink w:anchor="__202">
        <w:r>
          <w:rPr>
            <w:rStyle w:val="Text2"/>
          </w:rPr>
          <w:bookmarkStart w:id="245" w:name="202"/>
          <w:t>202</w:t>
          <w:bookmarkEnd w:id="245"/>
        </w:r>
      </w:hyperlink>
      <w:r>
        <w:rPr>
          <w:rStyle w:val="Text3"/>
        </w:rPr>
        <w:t xml:space="preserve"> </w:t>
      </w:r>
      <w:r>
        <w:t xml:space="preserve"> Однако сами люди кажется не осознавали противоречие между своими чувствами и сутью режима, которому они служили. Слабость духа и невозможность продолжать казни, конечно, являлись проблемой для «продуктивности» и морали батальона, но не бросали вызов политической дисциплине и </w:t>
        <w:t>власти</w:t>
        <w:t xml:space="preserve"> режим</w:t>
        <w:t>а</w:t>
        <w:t xml:space="preserve"> в целом. Действительно, 4 октября 1943 </w:t>
        <w:t>года</w:t>
        <w:t xml:space="preserve"> Генрих Гиммлер самостоятельно санкционировал толерантность к подобной «слабости» в своей печально известной речи лидерам СС в Позене. Превознося повиновение как одну из главных доблестей всех членов СС, он однако сделал явное исключение для «тех, чьи нервы сдают, чей дух слаб. Такому можно сказать: хорошо, иди возьми свою пенсию».</w:t>
      </w:r>
      <w:hyperlink w:anchor="__203">
        <w:r>
          <w:rPr>
            <w:rStyle w:val="Text2"/>
          </w:rPr>
          <w:bookmarkStart w:id="246" w:name="203"/>
          <w:t>203</w:t>
          <w:bookmarkEnd w:id="246"/>
        </w:r>
      </w:hyperlink>
      <w:r>
        <w:rPr>
          <w:rStyle w:val="Text3"/>
        </w:rPr>
        <w:t xml:space="preserve"> </w:t>
      </w:r>
      <w:r>
        <w:t xml:space="preserve"> </w:t>
      </w:r>
    </w:p>
    <w:p>
      <w:pPr>
        <w:pStyle w:val="Para 02"/>
      </w:pPr>
      <w:r>
        <w:t>Достаточно редким явлением для полицейских было определение себя в «оппозицию» на основе политических или этических взглядов. Один заявил, что решительно отказался от действий против евреев, потому как был активным членом коммунистической партии и, таким образом, полностью отвергал социал-национализм.</w:t>
      </w:r>
      <w:hyperlink w:anchor="__204">
        <w:r>
          <w:rPr>
            <w:rStyle w:val="Text2"/>
          </w:rPr>
          <w:bookmarkStart w:id="247" w:name="204"/>
          <w:t>204</w:t>
          <w:bookmarkEnd w:id="247"/>
        </w:r>
      </w:hyperlink>
      <w:r>
        <w:rPr>
          <w:rStyle w:val="Text3"/>
        </w:rPr>
        <w:t xml:space="preserve"> </w:t>
      </w:r>
      <w:r>
        <w:t xml:space="preserve"> Другой заявил, что отказался от расстрела евреев, так как многие годы был социал-демократом.</w:t>
      </w:r>
      <w:hyperlink w:anchor="__205">
        <w:r>
          <w:rPr>
            <w:rStyle w:val="Text2"/>
          </w:rPr>
          <w:bookmarkStart w:id="248" w:name="205"/>
          <w:t>205</w:t>
          <w:bookmarkEnd w:id="248"/>
        </w:r>
      </w:hyperlink>
      <w:r>
        <w:rPr>
          <w:rStyle w:val="Text3"/>
        </w:rPr>
        <w:t xml:space="preserve"> </w:t>
      </w:r>
      <w:r>
        <w:t xml:space="preserve"> Третий поведал, что был известен в партии как «политически ненадёжный» и «ворчун», но не раскрыл своих политических взглядов.</w:t>
      </w:r>
      <w:hyperlink w:anchor="__206">
        <w:r>
          <w:rPr>
            <w:rStyle w:val="Text2"/>
          </w:rPr>
          <w:bookmarkStart w:id="249" w:name="206"/>
          <w:t>206</w:t>
          <w:bookmarkEnd w:id="249"/>
        </w:r>
      </w:hyperlink>
      <w:r>
        <w:rPr>
          <w:rStyle w:val="Text3"/>
        </w:rPr>
        <w:t xml:space="preserve"> </w:t>
      </w:r>
      <w:r>
        <w:t xml:space="preserve"> Некоторые обосновывали свою оппозицию режиму антисемитизмом. «Раннее в Гамбурге у меня уже сложилось подобное отношение», — сказал один ландшафтный садовник, — «потому что из-за проводимых против евреев действий в Гамбурге я потерял большую часть своих клиентов».</w:t>
      </w:r>
      <w:hyperlink w:anchor="__207">
        <w:r>
          <w:rPr>
            <w:rStyle w:val="Text2"/>
          </w:rPr>
          <w:bookmarkStart w:id="250" w:name="207"/>
          <w:t>207</w:t>
          <w:bookmarkEnd w:id="250"/>
        </w:r>
      </w:hyperlink>
      <w:r>
        <w:rPr>
          <w:rStyle w:val="Text3"/>
        </w:rPr>
        <w:t xml:space="preserve"> </w:t>
      </w:r>
      <w:r>
        <w:t xml:space="preserve"> Другой полицейский просто идентифицировал себя как «хорошего друга евреев» без дальнейших объяснений.</w:t>
      </w:r>
      <w:hyperlink w:anchor="__208">
        <w:r>
          <w:rPr>
            <w:rStyle w:val="Text2"/>
          </w:rPr>
          <w:bookmarkStart w:id="251" w:name="208"/>
          <w:t>208</w:t>
          <w:bookmarkEnd w:id="251"/>
        </w:r>
      </w:hyperlink>
      <w:r>
        <w:rPr>
          <w:rStyle w:val="Text3"/>
        </w:rPr>
        <w:t xml:space="preserve"> </w:t>
      </w:r>
      <w:r>
        <w:t xml:space="preserve"> </w:t>
      </w:r>
    </w:p>
    <w:p>
      <w:pPr>
        <w:pStyle w:val="Para 02"/>
      </w:pPr>
      <w:r>
        <w:t xml:space="preserve">Два человека, подробно объяснивших свой отказ, подчёркивали тот факт, что они не имели никаких карьерных амбиций и могли действовать свободнее остальных. </w:t>
        <w:t>Один</w:t>
        <w:t xml:space="preserve"> принимал возможные недостатки своего выбора «потому что я не был карьеристом и не собирался им становиться, а был независимым умелым ремесленником, имел бизнес дома ... для меня ничего не значило отсутствие успехов в полицейской карьере».</w:t>
      </w:r>
      <w:hyperlink w:anchor="__209">
        <w:r>
          <w:rPr>
            <w:rStyle w:val="Text2"/>
          </w:rPr>
          <w:bookmarkStart w:id="252" w:name="209"/>
          <w:t>209</w:t>
          <w:bookmarkEnd w:id="252"/>
        </w:r>
      </w:hyperlink>
      <w:r>
        <w:rPr>
          <w:rStyle w:val="Text3"/>
        </w:rPr>
        <w:t xml:space="preserve"> </w:t>
      </w:r>
      <w:r>
        <w:t xml:space="preserve"> </w:t>
      </w:r>
    </w:p>
    <w:p>
      <w:pPr>
        <w:pStyle w:val="Para 02"/>
      </w:pPr>
      <w:r>
        <w:t xml:space="preserve">Этическую позицию для оправдания своего отказа занял Лейтенант Бухман — </w:t>
        <w:t>к</w:t>
        <w:t xml:space="preserve">ак </w:t>
        <w:t>офицер</w:t>
        <w:t xml:space="preserve"> запаса и бизнесмен Гамбурга, он не мог стрелять в беззащитных женщин и детей. Однако объясняя отличие своего положения от положения других офицеров, он так же подчёркивал свою экономическую независимость: «Я был немногим старше и к тому же </w:t>
        <w:t>офицером</w:t>
        <w:t xml:space="preserve"> запаса, так что для меня не было важно повышение или продвижение по службе, у меня был процветающий бизнес дома. Командиры роты ... с другой стороны, были молодыми людьми, амбициозными полицейскими, желающими кем-то стать». Бухман так же признался во взглядах, которых нацисты без сомнения заклеймили бы «космополитскими» и про-еврейскими. «В моем опыте ведения бизнеса, особенно с учётом его протяжённости за границу, я получил лучшее представление о вещах. Более того, благодаря </w:t>
        <w:t>моей предыдущей деловой деятельности</w:t>
        <w:t xml:space="preserve"> я </w:t>
        <w:t xml:space="preserve">уже </w:t>
        <w:t>знал многих евреев».</w:t>
      </w:r>
      <w:hyperlink w:anchor="__210">
        <w:r>
          <w:rPr>
            <w:rStyle w:val="Text2"/>
          </w:rPr>
          <w:bookmarkStart w:id="253" w:name="210"/>
          <w:t>210</w:t>
          <w:bookmarkEnd w:id="253"/>
        </w:r>
      </w:hyperlink>
      <w:r>
        <w:rPr>
          <w:rStyle w:val="Text3"/>
        </w:rPr>
        <w:t xml:space="preserve"> </w:t>
      </w:r>
      <w:r>
        <w:t xml:space="preserve"> </w:t>
      </w:r>
    </w:p>
    <w:p>
      <w:pPr>
        <w:pStyle w:val="Para 02"/>
      </w:pPr>
      <w:r>
        <w:t xml:space="preserve">После Юзефува негодование и горечь распространились на </w:t>
        <w:t>всех</w:t>
        <w:t xml:space="preserve"> членов батальона, даже на тех, кто занимался расстрелами весь день. Громкое заявление старшему сержанту Каммеру от одного полицейского — «Я сойду с ума если мне придётся ещё раз это делать» — выражало настроение многих.</w:t>
      </w:r>
      <w:hyperlink w:anchor="__211">
        <w:r>
          <w:rPr>
            <w:rStyle w:val="Text2"/>
          </w:rPr>
          <w:bookmarkStart w:id="254" w:name="211"/>
          <w:t>211</w:t>
          <w:bookmarkEnd w:id="254"/>
        </w:r>
      </w:hyperlink>
      <w:r>
        <w:rPr>
          <w:rStyle w:val="Text3"/>
        </w:rPr>
        <w:t xml:space="preserve"> </w:t>
      </w:r>
      <w:r>
        <w:t xml:space="preserve"> Однако лишь малая часть пошла дальше жалоб в своей попытке </w:t>
        <w:t xml:space="preserve">избежать </w:t>
        <w:t xml:space="preserve">повторения опыта. Группа людей постарше с большими семьями воспользовалась регуляцией, требовавшей от них письменного согласия на несение службы в зоне боевых действий. Один, не подписавший ранее, </w:t>
        <w:t xml:space="preserve">теперь </w:t>
        <w:t xml:space="preserve">отказался её подписывать, </w:t>
        <w:t xml:space="preserve">а </w:t>
        <w:t>другой аннулировал её действие. Обоих впоследствии перевели обратно в Германию.</w:t>
      </w:r>
      <w:hyperlink w:anchor="__212">
        <w:r>
          <w:rPr>
            <w:rStyle w:val="Text2"/>
          </w:rPr>
          <w:bookmarkStart w:id="255" w:name="212"/>
          <w:t>212</w:t>
          <w:bookmarkEnd w:id="255"/>
        </w:r>
      </w:hyperlink>
      <w:r>
        <w:rPr>
          <w:rStyle w:val="Text3"/>
        </w:rPr>
        <w:t xml:space="preserve"> </w:t>
      </w:r>
      <w:r>
        <w:t xml:space="preserve"> Самым драматичным ответом опять оказался ответ лейтенанта Бухмана, который попросил Траппа перевести его в Гамбург и заявил, что исключая прямого приказа </w:t>
        <w:t>от</w:t>
        <w:t xml:space="preserve"> Траппа, он не будет больше принимать участия в </w:t>
        <w:t>операциях</w:t>
        <w:t xml:space="preserve"> против евреев. В конце концов он написал в Гамбург, открыто прося об отзыве со службы из-за своей «непригодности» для </w:t>
        <w:t xml:space="preserve">выполнения </w:t>
        <w:t xml:space="preserve">«чуждых полиции» задач, которые </w:t>
        <w:t>проводились</w:t>
        <w:t xml:space="preserve"> его подразделением в Польше.</w:t>
      </w:r>
      <w:hyperlink w:anchor="__213">
        <w:r>
          <w:rPr>
            <w:rStyle w:val="Text2"/>
          </w:rPr>
          <w:bookmarkStart w:id="256" w:name="213"/>
          <w:t>213</w:t>
          <w:bookmarkEnd w:id="256"/>
        </w:r>
      </w:hyperlink>
      <w:r>
        <w:rPr>
          <w:rStyle w:val="Text3"/>
        </w:rPr>
        <w:t xml:space="preserve"> </w:t>
      </w:r>
      <w:r>
        <w:t xml:space="preserve"> Бухману пришлось ждать до ноября, но его усилия по переводу </w:t>
        <w:t xml:space="preserve">в конечном итоге </w:t>
        <w:t>были успешны.</w:t>
      </w:r>
    </w:p>
    <w:p>
      <w:pPr>
        <w:pStyle w:val="Para 02"/>
      </w:pPr>
      <w:r>
        <w:t xml:space="preserve">Таким образом, перед Траппом и его руководителями стояла не проблема политически и этически настроенного против них меньшинства, а ясно выраженная деморализованность большинства. И тех, кто стрелял до конца, и тех, кто не смог выдержать. Прежде всего это была реакция на сущий ужас самого процесса убийства. Чтобы Полицейский Резервный Батальон 101 продолжал предоставлять так необходимую рабочую силу для имплементации </w:t>
        <w:t>Окончательно</w:t>
        <w:t xml:space="preserve">го Решения в </w:t>
        <w:t>округе</w:t>
        <w:t xml:space="preserve"> Люблина, психологическую нагрузку на людей следовало в дальнейшем учитывать и по возможности снимать.</w:t>
      </w:r>
    </w:p>
    <w:p>
      <w:pPr>
        <w:pStyle w:val="Para 02"/>
      </w:pPr>
      <w:r>
        <w:t xml:space="preserve">В последующих акциях ввели на постоянную основу (с </w:t>
        <w:t>некоторыми</w:t>
        <w:t xml:space="preserve"> заметными исключениями) два главных изменения. </w:t>
        <w:t>Во-первых</w:t>
        <w:t xml:space="preserve">, большинство будущих операций Полицейского Резервного Батальона 101 включали в себя чистки гетто и депортации, но не казни на месте. Таким образом, полицейских освободили от ужаса массовых убийств, </w:t>
        <w:t xml:space="preserve">которые проводились </w:t>
        <w:t>в лагере смерти Треблинк</w:t>
        <w:t>а</w:t>
        <w:t xml:space="preserve"> (</w:t>
        <w:t xml:space="preserve">именно </w:t>
        <w:t xml:space="preserve">там казнили депортированных из северной части </w:t>
        <w:t>округа</w:t>
        <w:t xml:space="preserve"> Люблина). </w:t>
        <w:t>Во-вторых</w:t>
        <w:t>, хоть депортация и характеризуется нуждой в ужасном насилии, необходимым для загона людей в поезда смерти, а также в систематическом убийстве нетранспортируемых, подобные акции обычно производились совместными отрядами Полицейского Резервного Батальона 101 и Травников — тренированны</w:t>
        <w:t>х</w:t>
        <w:t xml:space="preserve"> СС вспомогательны</w:t>
        <w:t>х</w:t>
        <w:t xml:space="preserve"> отряд</w:t>
        <w:t>ов,</w:t>
        <w:t xml:space="preserve"> набранны</w:t>
        <w:t>х</w:t>
        <w:t xml:space="preserve"> в лагерях военнопленных на территориях </w:t>
        <w:t>Советского Союза</w:t>
        <w:t xml:space="preserve">, обычно </w:t>
        <w:t>назначаемых</w:t>
        <w:t xml:space="preserve"> на самые худшие задания по </w:t>
        <w:t xml:space="preserve">зачисткам </w:t>
        <w:t>гетто и депортациям.</w:t>
      </w:r>
    </w:p>
    <w:p>
      <w:pPr>
        <w:pStyle w:val="Para 05"/>
      </w:pPr>
      <w:r>
        <w:t xml:space="preserve"> Обеспокоенность психологической деморализацией после Юзефува является наиболее вероятным объяснением загадочного инцидента в Александруве несколькими днями спустя. Возможно Трапп был убеждён, что расстрелами займутся Травники, а когда те не явились, </w:t>
        <w:t>то</w:t>
        <w:t xml:space="preserve"> </w:t>
        <w:t xml:space="preserve">он </w:t>
        <w:t xml:space="preserve">решил отпустить собранных его людьми евреев. Иными словами, облегчение психологической ноши для интеграции Полицейского Резервного Батальона 101 в процесс по убийству достигалось двойным разделением труда. Большая часть убийств перенесли в лагеря смерти, а худшие части «грязной работы» — убийств на месте — обязали выполнять </w:t>
        <w:t xml:space="preserve">Хиви из </w:t>
        <w:t xml:space="preserve">Травников. Это изменение показало свою эффективность и позволило людям Полицейского Резервного Батальона 101 привыкнуть к своему частию в </w:t>
        <w:t>Окончательно</w:t>
        <w:t>м Решении. Когда настало время снова убивать, полицейские не «сошли с ума». Вместо этого, они стали эффективными и безжалостными палачами.</w:t>
      </w:r>
      <w:r>
        <w:rPr>
          <w:rStyle w:val="Text7"/>
        </w:rPr>
        <w:t xml:space="preserve"> </w:t>
      </w:r>
    </w:p>
    <w:p>
      <w:pPr>
        <w:pStyle w:val="Heading 2"/>
      </w:pPr>
      <w:r>
        <w:bookmarkStart w:id="257" w:name="anchor22"/>
        <w:t/>
        <w:bookmarkEnd w:id="257"/>
        <w:t>Глава 9</w:t>
        <w:bookmarkStart w:id="258" w:name="anchor68"/>
        <w:t/>
        <w:bookmarkEnd w:id="258"/>
        <w:bookmarkStart w:id="259" w:name="anchor69"/>
        <w:t/>
        <w:bookmarkEnd w:id="259"/>
      </w:r>
    </w:p>
    <w:p>
      <w:pPr>
        <w:pStyle w:val="Para 11"/>
      </w:pPr>
      <w:r>
        <w:bookmarkStart w:id="260" w:name="anchor23"/>
        <w:t/>
        <w:bookmarkEnd w:id="260"/>
        <w:t>Падение второй роты</w:t>
      </w:r>
    </w:p>
    <w:p>
      <w:pPr>
        <w:pStyle w:val="Para 09"/>
      </w:pPr>
      <w:r>
        <w:t xml:space="preserve"> </w:t>
        <w:br w:clear="none"/>
      </w:r>
    </w:p>
    <w:p>
      <w:pPr>
        <w:pStyle w:val="Para 05"/>
      </w:pPr>
      <w:r>
        <w:rPr>
          <w:rStyle w:val="Text7"/>
        </w:rPr>
        <w:t/>
      </w:r>
      <w:r>
        <w:t xml:space="preserve">Приказ о передислокации полицейских батальонов в </w:t>
        <w:t xml:space="preserve">округ </w:t>
        <w:t>Люблина пришел ещё 13 июля, до резни в Юзефуве.</w:t>
      </w:r>
      <w:hyperlink w:anchor="__214">
        <w:r>
          <w:rPr>
            <w:rStyle w:val="Text2"/>
          </w:rPr>
          <w:bookmarkStart w:id="261" w:name="214"/>
          <w:t>214</w:t>
          <w:bookmarkEnd w:id="261"/>
        </w:r>
      </w:hyperlink>
      <w:r>
        <w:rPr>
          <w:rStyle w:val="Text3"/>
        </w:rPr>
        <w:t xml:space="preserve"> </w:t>
      </w:r>
      <w:r>
        <w:t xml:space="preserve"> </w:t>
        <w:t xml:space="preserve"> </w:t>
        <w:t xml:space="preserve">Округ </w:t>
        <w:t xml:space="preserve">разделили на четыре «сектора безопасности» — южный, восточный, центральный и северный. В </w:t>
        <w:t xml:space="preserve">последний назначали Полицейский Резервный Батальон 101. Сектор включал в себя </w:t>
        <w:t>районы</w:t>
        <w:t xml:space="preserve"> </w:t>
        <w:t>[</w:t>
        <w:t>Kreise</w:t>
        <w:t>]</w:t>
      </w:r>
      <w:hyperlink w:anchor="__215">
        <w:r>
          <w:rPr>
            <w:rStyle w:val="Text2"/>
          </w:rPr>
          <w:bookmarkStart w:id="262" w:name="215"/>
          <w:t>215</w:t>
          <w:bookmarkEnd w:id="262"/>
        </w:r>
      </w:hyperlink>
      <w:r>
        <w:rPr>
          <w:rStyle w:val="Text3"/>
        </w:rPr>
        <w:t xml:space="preserve"> </w:t>
      </w:r>
      <w:r>
        <w:t xml:space="preserve"> </w:t>
        <w:t xml:space="preserve"> с запада на восток: Пулавы, Радзинь [Radzyń] и Бяла Подляска [Biała Podlaska].</w:t>
      </w:r>
      <w:hyperlink w:anchor="__216">
        <w:r>
          <w:rPr>
            <w:rStyle w:val="Text2"/>
          </w:rPr>
          <w:bookmarkStart w:id="263" w:name="216"/>
          <w:t>216</w:t>
          <w:bookmarkEnd w:id="263"/>
        </w:r>
      </w:hyperlink>
      <w:r>
        <w:rPr>
          <w:rStyle w:val="Text3"/>
        </w:rPr>
        <w:t xml:space="preserve"> </w:t>
      </w:r>
      <w:r>
        <w:t xml:space="preserve"> </w:t>
        <w:t xml:space="preserve"> Вторую роту лейтенанта Гн</w:t>
        <w:t>а</w:t>
        <w:t>д</w:t>
        <w:t>е</w:t>
        <w:t xml:space="preserve"> назначили в Бяла Подляска, а штаб расположился в административном центре </w:t>
        <w:t>района</w:t>
        <w:t xml:space="preserve"> Бяла. Первый взвод разделили между деревнями Пишац [Piszczac] и Тучна [Tuczna] на юго-востоке, второй взвод назначили на юг в Вишнице [Wisznice]. Третий располагался в Парчеве [Parczew] на юго-западе, по соседству с </w:t>
        <w:t>районом</w:t>
        <w:t xml:space="preserve"> Радзинь.</w:t>
      </w:r>
      <w:r>
        <w:rPr>
          <w:rStyle w:val="Text7"/>
        </w:rPr>
        <w:t xml:space="preserve"> </w:t>
      </w:r>
    </w:p>
    <w:p>
      <w:pPr>
        <w:pStyle w:val="Para 02"/>
      </w:pPr>
      <w:r>
        <w:t xml:space="preserve">10 июня 1942 </w:t>
        <w:t xml:space="preserve">года </w:t>
        <w:t xml:space="preserve">стартовало </w:t>
        <w:t>Окончательное</w:t>
        <w:t xml:space="preserve"> Решение в </w:t>
        <w:t>районе</w:t>
        <w:t xml:space="preserve"> Бяла Подляска, когда 3 000 евреев депортировали из Бялы в Собибор. Сотни евреев из малых коммун собрали в деревне Ломазы [Łomazy] — </w:t>
        <w:t xml:space="preserve">располагающейся </w:t>
        <w:t xml:space="preserve">по середине между Бялой и Вишницей — </w:t>
        <w:t>именно эти евреи стали первой целью для совместной казни Полицейским Резервным Батальоном и Травниками</w:t>
        <w:t>.</w:t>
      </w:r>
      <w:hyperlink w:anchor="__217">
        <w:r>
          <w:rPr>
            <w:rStyle w:val="Text2"/>
          </w:rPr>
          <w:bookmarkStart w:id="264" w:name="217"/>
          <w:t>217</w:t>
          <w:bookmarkEnd w:id="264"/>
        </w:r>
      </w:hyperlink>
      <w:r>
        <w:rPr>
          <w:rStyle w:val="Text3"/>
        </w:rPr>
        <w:t xml:space="preserve"> </w:t>
      </w:r>
      <w:r>
        <w:t xml:space="preserve"> </w:t>
        <w:t xml:space="preserve"> П</w:t>
        <w:t xml:space="preserve">ока не прибыла вторая </w:t>
        <w:t>рот</w:t>
        <w:t xml:space="preserve">а </w:t>
        <w:t>лейтенанта Гн</w:t>
        <w:t>а</w:t>
        <w:t>д</w:t>
        <w:t xml:space="preserve">е, </w:t>
        <w:t>кровав</w:t>
        <w:t>ая</w:t>
        <w:t xml:space="preserve"> компани</w:t>
        <w:t>я приостановилась</w:t>
        <w:t xml:space="preserve">. </w:t>
        <w:t>Эта рота</w:t>
        <w:t xml:space="preserve"> должна была </w:t>
        <w:t>предостав</w:t>
        <w:t xml:space="preserve">ить </w:t>
        <w:t xml:space="preserve">бóльшую часть людей для захвата, </w:t>
        <w:t>а г</w:t>
        <w:t xml:space="preserve">лавной функцией Травников </w:t>
        <w:t>являлось</w:t>
        <w:t xml:space="preserve"> формирование</w:t>
        <w:t xml:space="preserve"> расстрельных команд</w:t>
        <w:t xml:space="preserve">, таким образом, облегчая ношу немецких полицейских, </w:t>
        <w:t xml:space="preserve">испытанную ими в </w:t>
        <w:t>Юзефув</w:t>
        <w:t>е</w:t>
        <w:t>.</w:t>
      </w:r>
    </w:p>
    <w:p>
      <w:pPr>
        <w:pStyle w:val="Para 02"/>
      </w:pPr>
      <w:r>
        <w:t xml:space="preserve">Ранним августом в Ломазы расположился один отряд третьего взвода под командованием сержанта Генриха Бекемейера* — от пятнадцати до восемнадцати человек. </w:t>
        <w:t>Насколько</w:t>
        <w:t xml:space="preserve"> известно, </w:t>
        <w:t>отряд</w:t>
        <w:t xml:space="preserve"> Бекемейера без происшествий </w:t>
        <w:t>пров</w:t>
        <w:t>ё</w:t>
        <w:t xml:space="preserve">л несколько недель </w:t>
        <w:t xml:space="preserve">в городе, наполовину населённом поляками, а наполовину евреями. Хоть </w:t>
        <w:t>те и жили раздельно</w:t>
        <w:t>, еврейская часть города не охранялась и не обносилась забором.</w:t>
      </w:r>
      <w:hyperlink w:anchor="__218">
        <w:r>
          <w:rPr>
            <w:rStyle w:val="Text2"/>
          </w:rPr>
          <w:bookmarkStart w:id="265" w:name="218"/>
          <w:t>218</w:t>
          <w:bookmarkEnd w:id="265"/>
        </w:r>
      </w:hyperlink>
      <w:r>
        <w:rPr>
          <w:rStyle w:val="Text3"/>
        </w:rPr>
        <w:t xml:space="preserve"> </w:t>
      </w:r>
      <w:r>
        <w:t xml:space="preserve"> Немецкие полицейские расквартировались в школе в еврейской части.</w:t>
      </w:r>
    </w:p>
    <w:p>
      <w:pPr>
        <w:pStyle w:val="Para 02"/>
      </w:pPr>
      <w:r>
        <w:t>16 августа, за день до предстоящей операции, Генриху Бекемейеру в Ломазы поступил звонок от лейтенанта Гн</w:t>
        <w:t>аде</w:t>
        <w:t xml:space="preserve">. Тот информировал его, что следующим утром предстоит «переселение» евреев, и </w:t>
        <w:t>в четыре утра уже</w:t>
        <w:t xml:space="preserve"> следует быть готовым. Для Бекемейера было «ясно» что это значило.</w:t>
      </w:r>
      <w:hyperlink w:anchor="__219">
        <w:r>
          <w:rPr>
            <w:rStyle w:val="Text2"/>
          </w:rPr>
          <w:bookmarkStart w:id="266" w:name="219"/>
          <w:t>219</w:t>
          <w:bookmarkEnd w:id="266"/>
        </w:r>
      </w:hyperlink>
      <w:r>
        <w:rPr>
          <w:rStyle w:val="Text3"/>
        </w:rPr>
        <w:t xml:space="preserve"> </w:t>
      </w:r>
      <w:r>
        <w:t xml:space="preserve"> В тот же день Гн</w:t>
        <w:t>а</w:t>
        <w:t>д</w:t>
        <w:t>е</w:t>
        <w:t xml:space="preserve"> вызвал в Бялу лейтенантов Дракера и Шира. Возможно в присутствии офицера Службы Безопасности, он проинформировал их о задаче следующего дня, которую предстояло выполнить в кооперации с СС: </w:t>
        <w:t>в</w:t>
        <w:t>сё население евреев подлежало расстрелу.</w:t>
      </w:r>
      <w:hyperlink w:anchor="__220">
        <w:r>
          <w:rPr>
            <w:rStyle w:val="Text2"/>
          </w:rPr>
          <w:bookmarkStart w:id="267" w:name="220"/>
          <w:t>220</w:t>
          <w:bookmarkEnd w:id="267"/>
        </w:r>
      </w:hyperlink>
      <w:r>
        <w:rPr>
          <w:rStyle w:val="Text3"/>
        </w:rPr>
        <w:t xml:space="preserve"> </w:t>
      </w:r>
      <w:r>
        <w:t xml:space="preserve"> Второму взводу в Вишнице предоставили грузовик для получасовой поездки к месту.</w:t>
      </w:r>
      <w:hyperlink w:anchor="__221">
        <w:r>
          <w:rPr>
            <w:rStyle w:val="Text2"/>
          </w:rPr>
          <w:bookmarkStart w:id="268" w:name="221"/>
          <w:t>221</w:t>
          <w:bookmarkEnd w:id="268"/>
        </w:r>
      </w:hyperlink>
      <w:r>
        <w:rPr>
          <w:rStyle w:val="Text3"/>
        </w:rPr>
        <w:t xml:space="preserve"> </w:t>
      </w:r>
      <w:r>
        <w:t xml:space="preserve"> Первому взводу пришлось изъять с польских ферм фургоны с лошадьми и </w:t>
        <w:t>провести</w:t>
        <w:t xml:space="preserve"> всю ночь в пути. Прибыли ранним утром.</w:t>
      </w:r>
      <w:hyperlink w:anchor="__222">
        <w:r>
          <w:rPr>
            <w:rStyle w:val="Text2"/>
          </w:rPr>
          <w:bookmarkStart w:id="269" w:name="222"/>
          <w:t>222</w:t>
          <w:bookmarkEnd w:id="269"/>
        </w:r>
      </w:hyperlink>
      <w:r>
        <w:rPr>
          <w:rStyle w:val="Text3"/>
        </w:rPr>
        <w:t xml:space="preserve"> </w:t>
      </w:r>
      <w:r>
        <w:t xml:space="preserve"> </w:t>
      </w:r>
    </w:p>
    <w:p>
      <w:pPr>
        <w:pStyle w:val="Para 02"/>
      </w:pPr>
      <w:r>
        <w:t>В Ломазы у Гн</w:t>
        <w:t>а</w:t>
        <w:t>д</w:t>
        <w:t>е</w:t>
        <w:t xml:space="preserve"> состоялась встреча с его унтер-офицерами. </w:t>
        <w:t xml:space="preserve">Он </w:t>
        <w:t>передал им</w:t>
        <w:t xml:space="preserve"> приказ зачистить еврейский квартал и собрать всех евреев во дворе школы. Офицерам сообщили, что стрельбой займутся Хиви из Травников, а полицейские останутся в стороне. Тем не менее сам сбор должен был пройти «как уже делалось» — младенцев, старых, больных и немощных </w:t>
        <w:t xml:space="preserve">предстояло </w:t>
        <w:t xml:space="preserve">расстреливать на месте. Согласно командиру одного отряда, однако, большинство детей вновь привели на точку сбора. Как и в Юзефуве, люди столкнулись не </w:t>
        <w:t>просто</w:t>
        <w:t xml:space="preserve"> с немецкими евреями, но с евреями Гамбурга. Евреи быстро заполнили школьный двор и часть спортивного поля. С некоторой стрельбой, но сбор закончился за два часа.</w:t>
      </w:r>
      <w:hyperlink w:anchor="__223">
        <w:r>
          <w:rPr>
            <w:rStyle w:val="Text2"/>
          </w:rPr>
          <w:bookmarkStart w:id="270" w:name="223"/>
          <w:t>223</w:t>
          <w:bookmarkEnd w:id="270"/>
        </w:r>
      </w:hyperlink>
      <w:r>
        <w:rPr>
          <w:rStyle w:val="Text3"/>
        </w:rPr>
        <w:t xml:space="preserve"> </w:t>
      </w:r>
      <w:r>
        <w:t xml:space="preserve"> </w:t>
      </w:r>
    </w:p>
    <w:p>
      <w:pPr>
        <w:pStyle w:val="Para 02"/>
      </w:pPr>
      <w:r>
        <w:t xml:space="preserve">1 700 евреев </w:t>
        <w:t xml:space="preserve">Ломазы </w:t>
        <w:t xml:space="preserve">заставили сидеть и ждать. Выбрали группу из </w:t>
        <w:t>60</w:t>
        <w:t xml:space="preserve"> или</w:t>
        <w:t xml:space="preserve"> 70 </w:t>
        <w:t xml:space="preserve">молодых мужчин, выдали им лопаты, погрузили в грузовики и отправили в лес. </w:t>
        <w:t xml:space="preserve">По дороге </w:t>
        <w:t>туда</w:t>
        <w:t xml:space="preserve"> н</w:t>
        <w:t xml:space="preserve">ескольким удалось выбраться из грузовиков и убежать. Один попытался </w:t>
        <w:t xml:space="preserve">было </w:t>
        <w:t xml:space="preserve">напасть на немецкого капрала — чемпиона батальона по боксу — </w:t>
        <w:t>и</w:t>
        <w:t xml:space="preserve"> тот быстро отправил нападавшего в нокаут. В лесу евреев заставили рыть яму для массового захоронения.</w:t>
      </w:r>
      <w:hyperlink w:anchor="__224">
        <w:r>
          <w:rPr>
            <w:rStyle w:val="Text2"/>
          </w:rPr>
          <w:bookmarkStart w:id="271" w:name="224"/>
          <w:t>224</w:t>
          <w:bookmarkEnd w:id="271"/>
        </w:r>
      </w:hyperlink>
      <w:r>
        <w:rPr>
          <w:rStyle w:val="Text3"/>
        </w:rPr>
        <w:t xml:space="preserve"> </w:t>
      </w:r>
      <w:r>
        <w:t xml:space="preserve"> </w:t>
      </w:r>
    </w:p>
    <w:p>
      <w:pPr>
        <w:pStyle w:val="Para 02"/>
      </w:pPr>
      <w:r>
        <w:t xml:space="preserve">В Ломазы ожидание </w:t>
        <w:t xml:space="preserve">обречённых евреев и их полицейских охранников </w:t>
        <w:t xml:space="preserve">затянулось на часы. Неожиданно в город под командованием немецкого офицера СС прибыла группа из пятидесяти </w:t>
        <w:t>Т</w:t>
        <w:t xml:space="preserve">равников. «Я до сих пор чётко помню», — дал показания полицейский, — «что </w:t>
        <w:t>Т</w:t>
        <w:t>равники взяли перерыв сразу после прибытия. Помимо еды я видел, как они распаковывали и пили водку». Пить начали и офицер СС с Гн</w:t>
        <w:t>а</w:t>
        <w:t>д</w:t>
        <w:t>е</w:t>
        <w:t>. От унтер-офицеров тоже разило алкоголем, но пьяными они не выглядели.</w:t>
      </w:r>
      <w:hyperlink w:anchor="__225">
        <w:r>
          <w:rPr>
            <w:rStyle w:val="Text2"/>
          </w:rPr>
          <w:bookmarkStart w:id="272" w:name="225"/>
          <w:t>225</w:t>
          <w:bookmarkEnd w:id="272"/>
        </w:r>
      </w:hyperlink>
      <w:r>
        <w:rPr>
          <w:rStyle w:val="Text3"/>
        </w:rPr>
        <w:t xml:space="preserve"> </w:t>
      </w:r>
      <w:r>
        <w:t xml:space="preserve"> Для полицейских подготовили хлеб с маслом.</w:t>
      </w:r>
      <w:hyperlink w:anchor="__226">
        <w:r>
          <w:rPr>
            <w:rStyle w:val="Text2"/>
          </w:rPr>
          <w:bookmarkStart w:id="273" w:name="226"/>
          <w:t>226</w:t>
          <w:bookmarkEnd w:id="273"/>
        </w:r>
      </w:hyperlink>
      <w:r>
        <w:rPr>
          <w:rStyle w:val="Text3"/>
        </w:rPr>
        <w:t xml:space="preserve"> </w:t>
      </w:r>
      <w:r>
        <w:t xml:space="preserve"> </w:t>
      </w:r>
    </w:p>
    <w:p>
      <w:pPr>
        <w:pStyle w:val="Para 02"/>
      </w:pPr>
      <w:r>
        <w:t/>
        <w:t>После того как могилу выкопали, а полицейские с Травниками закончили перерыв на обед, начался к</w:t>
        <w:t xml:space="preserve">илометровый «марш на смерть» </w:t>
        <w:t>в лес</w:t>
        <w:t>.</w:t>
      </w:r>
      <w:hyperlink w:anchor="__227">
        <w:r>
          <w:rPr>
            <w:rStyle w:val="Text2"/>
          </w:rPr>
          <w:bookmarkStart w:id="274" w:name="227"/>
          <w:t>227</w:t>
          <w:bookmarkEnd w:id="274"/>
        </w:r>
      </w:hyperlink>
      <w:r>
        <w:rPr>
          <w:rStyle w:val="Text3"/>
        </w:rPr>
        <w:t xml:space="preserve"> </w:t>
      </w:r>
      <w:r>
        <w:t xml:space="preserve"> На создание кордона к лесу отвезли часть фургонов фермеров.</w:t>
      </w:r>
      <w:hyperlink w:anchor="__228">
        <w:r>
          <w:rPr>
            <w:rStyle w:val="Text2"/>
          </w:rPr>
          <w:bookmarkStart w:id="275" w:name="228"/>
          <w:t>228</w:t>
          <w:bookmarkEnd w:id="275"/>
        </w:r>
      </w:hyperlink>
      <w:r>
        <w:rPr>
          <w:rStyle w:val="Text3"/>
        </w:rPr>
        <w:t xml:space="preserve"> </w:t>
      </w:r>
      <w:r>
        <w:t xml:space="preserve"> Для марша евреев разделили «порциями» на группы по 200 или 300 человек, </w:t>
        <w:t>у</w:t>
        <w:t>павших по пути просто расстреливали.</w:t>
      </w:r>
      <w:hyperlink w:anchor="__229">
        <w:r>
          <w:rPr>
            <w:rStyle w:val="Text2"/>
          </w:rPr>
          <w:bookmarkStart w:id="276" w:name="229"/>
          <w:t>229</w:t>
          <w:bookmarkEnd w:id="276"/>
        </w:r>
      </w:hyperlink>
      <w:r>
        <w:rPr>
          <w:rStyle w:val="Text3"/>
        </w:rPr>
        <w:t xml:space="preserve"> </w:t>
      </w:r>
      <w:r>
        <w:t xml:space="preserve"> Когда процесс показался слишком медленным, решили отправить оставшихся евреев одной большой группой. С польских жителей собрали верёвки, связали их в одну </w:t>
        <w:t>длинную</w:t>
        <w:t xml:space="preserve"> и окружили ею евреев. Им приказали подняться, взять верёвку в рук</w:t>
        <w:t>и</w:t>
        <w:t xml:space="preserve"> и отправиться в лес.</w:t>
      </w:r>
    </w:p>
    <w:p>
      <w:pPr>
        <w:pStyle w:val="Para 02"/>
      </w:pPr>
      <w:r>
        <w:t>Сержант Тони Бентхейм описал последовавшее:</w:t>
      </w:r>
    </w:p>
    <w:p>
      <w:pPr>
        <w:pStyle w:val="Para 02"/>
      </w:pPr>
      <w:r>
        <w:t/>
      </w:r>
    </w:p>
    <w:p>
      <w:pPr>
        <w:pStyle w:val="Para 04"/>
      </w:pPr>
      <w:r>
        <w:t xml:space="preserve">«Марш был крайне неуклюжим. Предположительно, </w:t>
        <w:t>люди</w:t>
        <w:t xml:space="preserve"> спереди шли слишком быстро, так что в конце образовалась огромная толпа, в которой евреи не могли даже переставлять ноги. Неизбежно люди начали падать ещё до того, как группа покинула спортивное поле. Первые упавшие повисли на верёвке и их тащили за собой. Внутри толпы людей даже затаптывали. Упавших евреев либо заставляли подниматься и возвращаться в толпу, либо расстреливали на месте. Однако даже первые расстрелы не изменили ситуацию, так что нагромождение людей позади никак не могло распутаться и </w:t>
        <w:t xml:space="preserve">наконец </w:t>
        <w:t xml:space="preserve">двинуться вперёд. У меня в то время не было задачи и я подумал, что там мы </w:t>
        <w:t>ни к чему не придём</w:t>
        <w:t xml:space="preserve">, так что </w:t>
        <w:t xml:space="preserve">я либо </w:t>
        <w:t xml:space="preserve">один, </w:t>
        <w:t>либо с</w:t>
        <w:t xml:space="preserve"> несколькими товарищами </w:t>
        <w:t>последовал за</w:t>
        <w:t xml:space="preserve"> евреям</w:t>
        <w:t>и</w:t>
        <w:t xml:space="preserve">. Когда после первых выстрелов изменений не последовало, я громко проревел что-то вроде „Какой в этом смысл? Долой верёвку“. Из-за моего крика вся формация </w:t>
        <w:t>остановилась</w:t>
        <w:t xml:space="preserve">, включая Хиви, </w:t>
        <w:t>и те</w:t>
        <w:t xml:space="preserve"> недоумением повернулись ко мне. Я снова прокричал им что-то о том, что они вооружены и вся затея с верёвкой это нонсенс. Долой верёвку ... После второго моего крика евреи отпустили её и вся группа пошла вперёд обычной колонной. Сам я вернулся в школьный двор. Возбуждённый и </w:t>
        <w:t>злой</w:t>
        <w:t>, я незамедлительно ушёл в школу пить шнапс».</w:t>
      </w:r>
      <w:hyperlink w:anchor="__230">
        <w:r>
          <w:rPr>
            <w:rStyle w:val="Text2"/>
          </w:rPr>
          <w:bookmarkStart w:id="277" w:name="230"/>
          <w:t>230</w:t>
          <w:bookmarkEnd w:id="277"/>
        </w:r>
      </w:hyperlink>
      <w:r>
        <w:rPr>
          <w:rStyle w:val="Text3"/>
        </w:rPr>
        <w:t xml:space="preserve"> </w:t>
      </w:r>
      <w:r>
        <w:t xml:space="preserve"> </w:t>
      </w:r>
    </w:p>
    <w:p>
      <w:pPr>
        <w:pStyle w:val="Para 33"/>
      </w:pPr>
      <w:r>
        <w:t/>
      </w:r>
    </w:p>
    <w:p>
      <w:pPr>
        <w:pStyle w:val="Para 05"/>
      </w:pPr>
      <w:r>
        <w:rPr>
          <w:rStyle w:val="Text6"/>
        </w:rPr>
        <w:t/>
      </w:r>
      <w:r>
        <w:t xml:space="preserve">По прибытию к лесу колонну евреев разделили по шестеро и отправили в один из трёх пунктов сбора, </w:t>
        <w:t xml:space="preserve">где </w:t>
        <w:t xml:space="preserve">им приказали раздеться. Женщинам позволили оставить сорочки. Где-то мужчины были полностью голы, а где-то им </w:t>
        <w:t>разрешали</w:t>
        <w:t xml:space="preserve"> остаться в исподнем. Евреи шли со стопками одежды в руках и сваливали их в кучу, которая затем обыскивалась. В каждой из зон сбором одежды и ценностей занимались назначенные полицейские — </w:t>
        <w:t>и</w:t>
        <w:t xml:space="preserve">х </w:t>
        <w:t xml:space="preserve">заранее </w:t>
        <w:t>предупредили, что и их самих потом будут обыскивать. После сброса ценностей в большой контейнер или в одеяло, евреев заставляли лечь лицом вниз и ждать, иногда часами, пока их неприкрытая кожа горела под горячим августовским солнцем.</w:t>
      </w:r>
      <w:hyperlink w:anchor="__231">
        <w:r>
          <w:rPr>
            <w:rStyle w:val="Text2"/>
          </w:rPr>
          <w:bookmarkStart w:id="278" w:name="231"/>
          <w:t>231</w:t>
          <w:bookmarkEnd w:id="278"/>
        </w:r>
      </w:hyperlink>
      <w:r>
        <w:rPr>
          <w:rStyle w:val="Text3"/>
        </w:rPr>
        <w:t xml:space="preserve"> </w:t>
      </w:r>
      <w:r>
        <w:t xml:space="preserve"> </w:t>
      </w:r>
      <w:r>
        <w:rPr>
          <w:rStyle w:val="Text6"/>
        </w:rPr>
        <w:t xml:space="preserve"> </w:t>
      </w:r>
    </w:p>
    <w:p>
      <w:pPr>
        <w:pStyle w:val="Para 02"/>
      </w:pPr>
      <w:r>
        <w:t>В преобладающем количестве показаний отмечалось, что лейтенант Гн</w:t>
        <w:t>а</w:t>
        <w:t>д</w:t>
        <w:t>е</w:t>
        <w:t xml:space="preserve"> был «убеждённым нацистом» и антисемитом. К тому же непредсказуемым — приветливый и дружелюбный в одно время, жестокий и беспощадный в другое. Худшие его черты сильнее всего проявлялись под алкоголем, и по всем показаниям тем днём в Ломазы Гн</w:t>
        <w:t>а</w:t>
        <w:t>д</w:t>
        <w:t>е</w:t>
        <w:t xml:space="preserve"> был пьян до безобразия. На самом деле в Польше он выродился в «пьяницу».</w:t>
      </w:r>
      <w:hyperlink w:anchor="__232">
        <w:r>
          <w:rPr>
            <w:rStyle w:val="Text2"/>
          </w:rPr>
          <w:bookmarkStart w:id="279" w:name="232"/>
          <w:t>232</w:t>
          <w:bookmarkEnd w:id="279"/>
        </w:r>
      </w:hyperlink>
      <w:r>
        <w:rPr>
          <w:rStyle w:val="Text3"/>
        </w:rPr>
        <w:t xml:space="preserve"> </w:t>
      </w:r>
      <w:r>
        <w:t xml:space="preserve"> Его зависимость от алкоголя не была для батальона чем-то ненормальным. Как отметил один непьющий полицейский: «Большинство товарищей пило так много исключительно из-за множества расстрелов евреев, такая жизнь была невыносима в трезвом состоянии».</w:t>
      </w:r>
      <w:hyperlink w:anchor="__233">
        <w:r>
          <w:rPr>
            <w:rStyle w:val="Text2"/>
          </w:rPr>
          <w:bookmarkStart w:id="280" w:name="233"/>
          <w:t>233</w:t>
          <w:bookmarkEnd w:id="280"/>
        </w:r>
      </w:hyperlink>
      <w:r>
        <w:rPr>
          <w:rStyle w:val="Text3"/>
        </w:rPr>
        <w:t xml:space="preserve"> </w:t>
      </w:r>
      <w:r>
        <w:t xml:space="preserve"> </w:t>
      </w:r>
    </w:p>
    <w:p>
      <w:pPr>
        <w:pStyle w:val="Para 02"/>
      </w:pPr>
      <w:r>
        <w:t>Если пьянство Гн</w:t>
        <w:t>а</w:t>
        <w:t>д</w:t>
        <w:t>е</w:t>
        <w:t xml:space="preserve"> было нормой, то садизм, который он начал проявлять в Ломазы, нормальным уже не был. Предыдущей осенью Гн</w:t>
        <w:t>а</w:t>
        <w:t>д</w:t>
        <w:t>е</w:t>
        <w:t xml:space="preserve"> посадил своих людей на ночной поезд дабы избежать участия в казни евреев в Минске, которых он</w:t>
        <w:t xml:space="preserve">и привезли </w:t>
        <w:t>из Гамбурга. В Юзефуве садизмом среди офицеров он тоже не выделялся. Вс</w:t>
        <w:t>ё</w:t>
        <w:t xml:space="preserve"> изменилось в лесу неподалёку от Ломазы, когда Гн</w:t>
        <w:t>а</w:t>
        <w:t>д</w:t>
        <w:t>е</w:t>
        <w:t xml:space="preserve"> решил развлечь себя во время ожидания, пока евреи закончат рыть себе могилу.</w:t>
      </w:r>
    </w:p>
    <w:p>
      <w:pPr>
        <w:pStyle w:val="Para 04"/>
      </w:pPr>
      <w:r>
        <w:t/>
      </w:r>
    </w:p>
    <w:p>
      <w:pPr>
        <w:pStyle w:val="Para 04"/>
      </w:pPr>
      <w:r>
        <w:t>«Ещё до начала расстрелов старший лейтенант Гн</w:t>
        <w:t>а</w:t>
        <w:t>д</w:t>
        <w:t>е</w:t>
        <w:t xml:space="preserve"> персонально выбрал около двадцати или двадцати пяти старых евреев. Исключительно мужчин с </w:t>
        <w:t>длинными</w:t>
        <w:t xml:space="preserve"> бородами. Он заставил стариков ползти по земле перед могилой. А перед этим заставил раздеться. Пока полностью голые евреи ползли, старший лейтенант Гн</w:t>
        <w:t>а</w:t>
        <w:t>д</w:t>
        <w:t>е</w:t>
        <w:t xml:space="preserve"> кричал в сторону остальных: „Где мои унтер-офицеры? У вас что, ещё нет дубинок?“. Унтер-офицеры отправились на опушку, насобирали дубинок и начали энергично бить ими евреев».</w:t>
      </w:r>
      <w:hyperlink w:anchor="__234">
        <w:r>
          <w:rPr>
            <w:rStyle w:val="Text2"/>
          </w:rPr>
          <w:bookmarkStart w:id="281" w:name="234"/>
          <w:t>234</w:t>
          <w:bookmarkEnd w:id="281"/>
        </w:r>
      </w:hyperlink>
      <w:r>
        <w:rPr>
          <w:rStyle w:val="Text3"/>
        </w:rPr>
        <w:t xml:space="preserve"> </w:t>
      </w:r>
      <w:r>
        <w:t xml:space="preserve"> </w:t>
      </w:r>
    </w:p>
    <w:p>
      <w:pPr>
        <w:pStyle w:val="Para 39"/>
      </w:pPr>
      <w:r>
        <w:t/>
      </w:r>
    </w:p>
    <w:p>
      <w:pPr>
        <w:pStyle w:val="Para 05"/>
      </w:pPr>
      <w:r>
        <w:rPr>
          <w:rStyle w:val="Text6"/>
        </w:rPr>
        <w:t/>
      </w:r>
      <w:r>
        <w:t>Когда подготовка в расстрелам завершилась, Гн</w:t>
        <w:t>а</w:t>
        <w:t>д</w:t>
        <w:t>е</w:t>
        <w:t xml:space="preserve"> погнал евреев </w:t>
        <w:t>от</w:t>
        <w:t xml:space="preserve"> зон раздевания к могиле.</w:t>
      </w:r>
      <w:hyperlink w:anchor="__235">
        <w:r>
          <w:rPr>
            <w:rStyle w:val="Text2"/>
          </w:rPr>
          <w:bookmarkStart w:id="282" w:name="235"/>
          <w:t>235</w:t>
          <w:bookmarkEnd w:id="282"/>
        </w:r>
      </w:hyperlink>
      <w:r>
        <w:rPr>
          <w:rStyle w:val="Text3"/>
        </w:rPr>
        <w:t xml:space="preserve"> </w:t>
      </w:r>
      <w:r>
        <w:t xml:space="preserve"> </w:t>
      </w:r>
      <w:r>
        <w:rPr>
          <w:rStyle w:val="Text6"/>
        </w:rPr>
        <w:t xml:space="preserve"> </w:t>
      </w:r>
    </w:p>
    <w:p>
      <w:pPr>
        <w:pStyle w:val="Para 02"/>
      </w:pPr>
      <w:r>
        <w:t xml:space="preserve">Малыми группами их заставили бежать между тонким заграждением из охранников — </w:t>
        <w:t>от зон до могилы</w:t>
        <w:t xml:space="preserve"> г</w:t>
        <w:t>де-то тридцать или тридцать пять метров.</w:t>
      </w:r>
      <w:hyperlink w:anchor="__236">
        <w:r>
          <w:rPr>
            <w:rStyle w:val="Text2"/>
          </w:rPr>
          <w:bookmarkStart w:id="283" w:name="236"/>
          <w:t>236</w:t>
          <w:bookmarkEnd w:id="283"/>
        </w:r>
      </w:hyperlink>
      <w:r>
        <w:rPr>
          <w:rStyle w:val="Text3"/>
        </w:rPr>
        <w:t xml:space="preserve"> </w:t>
      </w:r>
      <w:r>
        <w:t xml:space="preserve"> </w:t>
        <w:t xml:space="preserve">Могилу </w:t>
        <w:t xml:space="preserve">с трёх сторон окружали горы земли, </w:t>
        <w:t xml:space="preserve">а </w:t>
        <w:t xml:space="preserve">четвёртая была </w:t>
        <w:t xml:space="preserve">пологим </w:t>
        <w:t>склоном</w:t>
        <w:t xml:space="preserve"> —</w:t>
        <w:t xml:space="preserve"> туда евреев и гнали. В своём опьяняющем возбуждении Хиви открыли огонь по евреям ещё на спуске. «Как результат, убитые евреи блокировали спуск. Поэтому некоторых евреев отправили вниз, </w:t>
        <w:t>и те оттащили</w:t>
        <w:t xml:space="preserve"> трупы подальше от входа. Без промедления большое количество евреев погнали в могилу, а Хиви заняли свою позицию на импровизированных стенах. Оттуда они </w:t>
        <w:t>открыли</w:t>
        <w:t xml:space="preserve"> огонь </w:t>
        <w:t>по жертвам».</w:t>
      </w:r>
      <w:hyperlink w:anchor="__237">
        <w:r>
          <w:rPr>
            <w:rStyle w:val="Text2"/>
          </w:rPr>
          <w:bookmarkStart w:id="284" w:name="237"/>
          <w:t>237</w:t>
          <w:bookmarkEnd w:id="284"/>
        </w:r>
      </w:hyperlink>
      <w:r>
        <w:rPr>
          <w:rStyle w:val="Text3"/>
        </w:rPr>
        <w:t xml:space="preserve"> </w:t>
      </w:r>
      <w:r>
        <w:t xml:space="preserve"> Могила постепенно начала заполняться. «Последующим евреям приходилось перелезать трупы и потом даже карабкаться по телам, потому что могила наполнилась трупами почти до краёв».</w:t>
      </w:r>
      <w:hyperlink w:anchor="__238">
        <w:r>
          <w:rPr>
            <w:rStyle w:val="Text2"/>
          </w:rPr>
          <w:bookmarkStart w:id="285" w:name="238"/>
          <w:t>238</w:t>
          <w:bookmarkEnd w:id="285"/>
        </w:r>
      </w:hyperlink>
      <w:r>
        <w:rPr>
          <w:rStyle w:val="Text3"/>
        </w:rPr>
        <w:t xml:space="preserve"> </w:t>
      </w:r>
      <w:r>
        <w:t xml:space="preserve"> </w:t>
      </w:r>
    </w:p>
    <w:p>
      <w:pPr>
        <w:pStyle w:val="Para 02"/>
      </w:pPr>
      <w:r>
        <w:t>Хиви, часто с бутылкой в руках, а также Гн</w:t>
        <w:t>а</w:t>
        <w:t>д</w:t>
        <w:t>е</w:t>
        <w:t xml:space="preserve"> и офицер СС </w:t>
        <w:t>напивались всё сильнее</w:t>
        <w:t>.</w:t>
      </w:r>
      <w:hyperlink w:anchor="__239">
        <w:r>
          <w:rPr>
            <w:rStyle w:val="Text2"/>
          </w:rPr>
          <w:bookmarkStart w:id="286" w:name="239"/>
          <w:t>239</w:t>
          <w:bookmarkEnd w:id="286"/>
        </w:r>
      </w:hyperlink>
      <w:r>
        <w:rPr>
          <w:rStyle w:val="Text3"/>
        </w:rPr>
        <w:t xml:space="preserve"> </w:t>
      </w:r>
      <w:r>
        <w:t xml:space="preserve"> «Старший лейтенант Гн</w:t>
        <w:t>а</w:t>
        <w:t>д</w:t>
        <w:t>е</w:t>
        <w:t xml:space="preserve"> постоянно рисковал упасть в могилу пока стрелял из своего пистолета. Офицер Службы Безопасности </w:t>
        <w:t>(</w:t>
      </w:r>
      <w:r>
        <w:rPr>
          <w:rStyle w:val="Text0"/>
        </w:rPr>
        <w:t>sic</w:t>
        <w:t>!</w:t>
      </w:r>
      <w:r>
        <w:t xml:space="preserve">) </w:t>
        <w:t>был слишком пьян чтобы стоять на стене, поэтому как и Хиви сам залез в могилу и стрелял оттуда». Из могилы вперемешку с кровью стали подниматься грунтовые воды, так что Хиви стояли по колено в ней. Число стрелков уверенно уменьшалось, пока одним за другим Хиви впадали в пьяный ступор. Гн</w:t>
        <w:t>а</w:t>
        <w:t>д</w:t>
        <w:t>е</w:t>
        <w:t xml:space="preserve"> и офицер СС кричали друг на друга с упрёками так громко, что их могли слышать все в радиусе тридцати метров от могилы. Офицер СС кричал: «Твоя дерьмовая полиция вообще не стреляет», Гн</w:t>
        <w:t>а</w:t>
        <w:t>д</w:t>
        <w:t>е</w:t>
        <w:t xml:space="preserve"> парировал: «Хорошо, тогда моим людям тоже </w:t>
        <w:t>придётся</w:t>
        <w:t xml:space="preserve"> пострелять»</w:t>
      </w:r>
      <w:hyperlink w:anchor="__240">
        <w:r>
          <w:rPr>
            <w:rStyle w:val="Text2"/>
          </w:rPr>
          <w:bookmarkStart w:id="287" w:name="240"/>
          <w:t>240</w:t>
          <w:bookmarkEnd w:id="287"/>
        </w:r>
      </w:hyperlink>
      <w:r>
        <w:rPr>
          <w:rStyle w:val="Text3"/>
        </w:rPr>
        <w:t xml:space="preserve"> </w:t>
      </w:r>
      <w:r>
        <w:t xml:space="preserve"> </w:t>
      </w:r>
      <w:hyperlink w:anchor="__241">
        <w:r>
          <w:rPr>
            <w:rStyle w:val="Text2"/>
          </w:rPr>
          <w:bookmarkStart w:id="288" w:name="241"/>
          <w:t>241</w:t>
          <w:bookmarkEnd w:id="288"/>
        </w:r>
      </w:hyperlink>
      <w:r>
        <w:rPr>
          <w:rStyle w:val="Text3"/>
        </w:rPr>
        <w:t xml:space="preserve"> </w:t>
      </w:r>
      <w:r>
        <w:t xml:space="preserve"> </w:t>
      </w:r>
    </w:p>
    <w:p>
      <w:pPr>
        <w:pStyle w:val="Para 02"/>
      </w:pPr>
      <w:r>
        <w:t xml:space="preserve">Лейтенанты Дракер и Шир вызвали своих унтер-офицеров и передали приказ сформировать расстрельные команд и приступить к казням по примеру Хиви. Согласно сержанту Гергерту, унтер-офицеры отвергли предложенный метод, «потому что грунтовые грунтовые воды уже поднялись на полметра. К тому же, трупы уже лежали — плавали, если быть точным — </w:t>
        <w:t>п</w:t>
        <w:t xml:space="preserve">о всей могиле. Особенно ужасным мне помнится судьба не смертельно раненных евреев, </w:t>
        <w:t>погребённых телами</w:t>
        <w:t xml:space="preserve"> последовавш</w:t>
        <w:t>их</w:t>
        <w:t xml:space="preserve"> жертв. Выстрел милосердия им не предоставлялся».</w:t>
      </w:r>
      <w:hyperlink w:anchor="__242">
        <w:r>
          <w:rPr>
            <w:rStyle w:val="Text2"/>
          </w:rPr>
          <w:bookmarkStart w:id="289" w:name="242"/>
          <w:t>242</w:t>
          <w:bookmarkEnd w:id="289"/>
        </w:r>
      </w:hyperlink>
      <w:r>
        <w:rPr>
          <w:rStyle w:val="Text3"/>
        </w:rPr>
        <w:t xml:space="preserve"> </w:t>
      </w:r>
      <w:r>
        <w:t xml:space="preserve"> </w:t>
      </w:r>
    </w:p>
    <w:p>
      <w:pPr>
        <w:pStyle w:val="Para 02"/>
      </w:pPr>
      <w:r>
        <w:t xml:space="preserve">Унтер-офицеры решили, что казнь следует продолжить двумя расстрельными командами с двух сторон могилы. Евреев заставили </w:t>
        <w:t>ложиться</w:t>
        <w:t xml:space="preserve"> рядами</w:t>
        <w:t xml:space="preserve"> вдоль стен, а полицейские с противоположных сторон </w:t>
        <w:t xml:space="preserve">их </w:t>
        <w:t xml:space="preserve">расстреливали. Из членов всех трёх рот были сформированы отряды по восемь или десять человек с постоянной ротацией после пяти или шести выстрелов. </w:t>
        <w:t xml:space="preserve">Из своего ступора </w:t>
        <w:t xml:space="preserve">Хиви вышли </w:t>
        <w:t xml:space="preserve">где-то через два часа </w:t>
        <w:t xml:space="preserve">и продолжили расстрелы вместо немецких полицейских. Стрельба завершилась около </w:t>
        <w:t>7</w:t>
        <w:t xml:space="preserve"> вечера. Рабочих-евреев, которых держали около могилы, тоже застрелили после того, как они «закопали» могилу землёй.</w:t>
      </w:r>
      <w:hyperlink w:anchor="__243">
        <w:r>
          <w:rPr>
            <w:rStyle w:val="Text2"/>
          </w:rPr>
          <w:bookmarkStart w:id="290" w:name="243"/>
          <w:t>243</w:t>
          <w:bookmarkEnd w:id="290"/>
        </w:r>
      </w:hyperlink>
      <w:r>
        <w:rPr>
          <w:rStyle w:val="Text3"/>
        </w:rPr>
        <w:t xml:space="preserve"> </w:t>
      </w:r>
      <w:r>
        <w:t xml:space="preserve"> Покрыв</w:t>
        <w:t>авший</w:t>
        <w:t xml:space="preserve"> переполненную могилу</w:t>
        <w:t xml:space="preserve"> тонкий слой </w:t>
        <w:t xml:space="preserve">земли </w:t>
        <w:t>продолжал двигаться.</w:t>
      </w:r>
      <w:hyperlink w:anchor="__244">
        <w:r>
          <w:rPr>
            <w:rStyle w:val="Text2"/>
          </w:rPr>
          <w:bookmarkStart w:id="291" w:name="244"/>
          <w:t>244</w:t>
          <w:bookmarkEnd w:id="291"/>
        </w:r>
      </w:hyperlink>
      <w:r>
        <w:rPr>
          <w:rStyle w:val="Text3"/>
        </w:rPr>
        <w:t xml:space="preserve"> </w:t>
      </w:r>
      <w:r>
        <w:t xml:space="preserve"> </w:t>
      </w:r>
    </w:p>
    <w:p>
      <w:pPr>
        <w:pStyle w:val="Para 02"/>
      </w:pPr>
      <w:r>
        <w:t xml:space="preserve">Тем же вечером первый и второй взводы вернулись на </w:t>
        <w:t xml:space="preserve">свои </w:t>
        <w:t>станци</w:t>
        <w:t>и</w:t>
        <w:t xml:space="preserve">, но </w:t>
        <w:t>отряд</w:t>
        <w:t xml:space="preserve"> Бекемейера остал</w:t>
        <w:t>ся</w:t>
        <w:t xml:space="preserve"> в Ломазы. Несколькими днями спустя </w:t>
        <w:t>он</w:t>
        <w:t xml:space="preserve"> пров</w:t>
        <w:t>ё</w:t>
        <w:t>л чистку еврейского квартала. Рыская по чердакам и ища самодельные землянки под полами, полицейские захватили ещё двадцать или тридцать евреев. Бекемейер связался с Гн</w:t>
        <w:t>а</w:t>
        <w:t>д</w:t>
        <w:t>е</w:t>
        <w:t xml:space="preserve"> по телефону, </w:t>
        <w:t xml:space="preserve">и </w:t>
        <w:t>тот приказ</w:t>
        <w:t>ал</w:t>
        <w:t xml:space="preserve"> стрелять. В сопровождении трёх или четырёх польских полицейских, Бекемейер и его люди отвели евреев на опушку, заставали лечь на землю и, вновь используя штыки в качестве прицела, застрелили в шеи. Каждый выстрелил минимум единожды, кто-то дважды. Захоронение тел поручили польскому мэру.</w:t>
      </w:r>
      <w:hyperlink w:anchor="__245">
        <w:r>
          <w:rPr>
            <w:rStyle w:val="Text2"/>
          </w:rPr>
          <w:bookmarkStart w:id="292" w:name="245"/>
          <w:t>245</w:t>
          <w:bookmarkEnd w:id="292"/>
        </w:r>
      </w:hyperlink>
      <w:r>
        <w:rPr>
          <w:rStyle w:val="Text3"/>
        </w:rPr>
        <w:t xml:space="preserve"> </w:t>
      </w:r>
      <w:r>
        <w:t xml:space="preserve"> </w:t>
      </w:r>
    </w:p>
    <w:p>
      <w:pPr>
        <w:pStyle w:val="Para 02"/>
      </w:pPr>
      <w:r>
        <w:t>Резня в Ломазы — второй массовый расстрел с цифрами больше тысячи, выполненный Полицейским Резервным Батальоном 101 — значительно отличался от резни в Юзефуве. Со стороны жертв, судя по всему, было больше попыток сбежать</w:t>
      </w:r>
      <w:hyperlink w:anchor="__246">
        <w:r>
          <w:rPr>
            <w:rStyle w:val="Text2"/>
          </w:rPr>
          <w:bookmarkStart w:id="293" w:name="246"/>
          <w:t>246</w:t>
          <w:bookmarkEnd w:id="293"/>
        </w:r>
      </w:hyperlink>
      <w:r>
        <w:rPr>
          <w:rStyle w:val="Text3"/>
        </w:rPr>
        <w:t xml:space="preserve"> </w:t>
      </w:r>
      <w:r>
        <w:t xml:space="preserve"> , предположительно потому, что молодых и здоровых «рабочих-евреев» не щадили, и евреи с самого начала представляли себе свою участь. Несмотря на все старания евреев сбежать или спрятаться, эффективность процесса убийства значительно повысилась в сравнении с импровизированным и дилетантским методом, применявшимся в Юзефуве. Сравнивая с той резнёй — примерно треть полицейских убила больше евреев (1 700) и в два раза быстрее. К тому же, собрали вещи и ценности, а от тел избавились в массовом захоронении.</w:t>
      </w:r>
    </w:p>
    <w:p>
      <w:pPr>
        <w:pStyle w:val="Para 02"/>
      </w:pPr>
      <w:r>
        <w:t xml:space="preserve">Психологически </w:t>
        <w:t>же</w:t>
        <w:t>, нагрузка на убийц снизилась. Большую часть расстрелов провели Хиви, не просто выпивающие, а пьяные с самого начала. Согласно сержанту Бентхейму, его люди были «вне себя от радости», что им не пришлось стрелять в этот раз.</w:t>
      </w:r>
      <w:hyperlink w:anchor="__247">
        <w:r>
          <w:rPr>
            <w:rStyle w:val="Text2"/>
          </w:rPr>
          <w:bookmarkStart w:id="294" w:name="247"/>
          <w:t>247</w:t>
          <w:bookmarkEnd w:id="294"/>
        </w:r>
      </w:hyperlink>
      <w:r>
        <w:rPr>
          <w:rStyle w:val="Text3"/>
        </w:rPr>
        <w:t xml:space="preserve"> </w:t>
      </w:r>
      <w:r>
        <w:t xml:space="preserve"> Те, кому удалось избежать прямого участия в убийствах, кажется </w:t>
        <w:t xml:space="preserve">вовсе </w:t>
        <w:t xml:space="preserve">не чувствовали себя соучастниками убийства. </w:t>
        <w:t>После Юзефува с</w:t>
        <w:t>бор и охрана евреев для убийства кем-то другим казалось относительно невинной задачей.</w:t>
      </w:r>
    </w:p>
    <w:p>
      <w:pPr>
        <w:pStyle w:val="Para 02"/>
      </w:pPr>
      <w:r>
        <w:t xml:space="preserve">Даже полицейские, которым пришлось заменять Хиви и несколько </w:t>
        <w:t xml:space="preserve">вечерних </w:t>
        <w:t xml:space="preserve">часов стрелять, не </w:t>
        <w:t>рассказывали</w:t>
        <w:t xml:space="preserve"> ни о каком ужасном </w:t>
        <w:t>опыт</w:t>
        <w:t>е</w:t>
        <w:t xml:space="preserve">, который доминировал в показаниях о Юзефуве. В этот раз люди не находились со своими жертвами лицом к лицу — </w:t>
        <w:t>л</w:t>
        <w:t>ичный контакт между убийцей и жертвой был разрушен. На ярком контрасте с Юзефувом лишь один полицейский вспомнил личность конкретного еврея, которого застрелил.</w:t>
      </w:r>
      <w:hyperlink w:anchor="__248">
        <w:r>
          <w:rPr>
            <w:rStyle w:val="Text2"/>
          </w:rPr>
          <w:bookmarkStart w:id="295" w:name="248"/>
          <w:t>248</w:t>
          <w:bookmarkEnd w:id="295"/>
        </w:r>
      </w:hyperlink>
      <w:r>
        <w:rPr>
          <w:rStyle w:val="Text3"/>
        </w:rPr>
        <w:t xml:space="preserve"> </w:t>
      </w:r>
      <w:r>
        <w:t xml:space="preserve"> В дополнени</w:t>
        <w:t>е</w:t>
        <w:t xml:space="preserve"> к обезличиванию процесса убийства, быстрая ротация расстрельных команд позволила избежать стрелкам там заметного в Юзефуве чувства непрекращающейся, бесконечной стрельбы. Их прямое участие в убийстве было не только безличным, но и конéчным. Свою роль сыграло и привыкание. Убив однажды, люди не испытывали такой травмирующий шок во второй раз. Как и ко всему остальному, к убийствам можно привыкнуть.</w:t>
      </w:r>
    </w:p>
    <w:p>
      <w:pPr>
        <w:pStyle w:val="Para 02"/>
      </w:pPr>
      <w:r>
        <w:t xml:space="preserve">Ещё одним моментом, остро отличающим Ломазы от Юзефува, и который можно назвать неким «психологическим» облегчением ноши, является выбор. </w:t>
        <w:t>А именно то</w:t>
        <w:t xml:space="preserve">, </w:t>
        <w:t xml:space="preserve">что </w:t>
        <w:t>в этот раз перед людьми не стояла «проблема выбора», которую Трапп чётко поставил перед ними в первый раз. Не было шанса выйти вперёд для тех, кто не ощущал себя готовым к расстрелу. Никто систематически не освобождал тех, кто не был готов продолжать. Каждый назначенный в расстрельную команду выполнял данный ему приказ.</w:t>
      </w:r>
      <w:hyperlink w:anchor="__249">
        <w:r>
          <w:rPr>
            <w:rStyle w:val="Text2"/>
          </w:rPr>
          <w:bookmarkStart w:id="296" w:name="249"/>
          <w:t>249</w:t>
          <w:bookmarkEnd w:id="296"/>
        </w:r>
      </w:hyperlink>
      <w:r>
        <w:rPr>
          <w:rStyle w:val="Text3"/>
        </w:rPr>
        <w:t xml:space="preserve"> </w:t>
      </w:r>
      <w:r>
        <w:t xml:space="preserve"> Таким образом, те, кто стрелял, не жили дальше с чётким осознанием </w:t>
        <w:t>того</w:t>
        <w:t>, что всего этого можно было избежать.</w:t>
      </w:r>
    </w:p>
    <w:p>
      <w:pPr>
        <w:pStyle w:val="Para 02"/>
      </w:pPr>
      <w:r>
        <w:t>Нельзя правда сказать, что у этих людей не было выбора, а только что его им не дали так открыто и явно как в Юзефуве. В этот раз искать пути для уклонения от убийств приходилось самостоятельно. Даже сержант Гергерт решительно подчёркивал, что никто не спрашивал добровольцев и буквально каждому в роте пришлось поучаствовать в стрельбе, однако некоторые «ускользнули» в лес.</w:t>
      </w:r>
      <w:hyperlink w:anchor="__250">
        <w:r>
          <w:rPr>
            <w:rStyle w:val="Text2"/>
          </w:rPr>
          <w:bookmarkStart w:id="297" w:name="250"/>
          <w:t>250</w:t>
          <w:bookmarkEnd w:id="297"/>
        </w:r>
      </w:hyperlink>
      <w:r>
        <w:rPr>
          <w:rStyle w:val="Text3"/>
        </w:rPr>
        <w:t xml:space="preserve"> </w:t>
      </w:r>
      <w:r>
        <w:t xml:space="preserve"> Число уклонистов, судя по всему, было довольно мало. Лишь двое дали показания о том, что сознательно уклонялись от казней тем или иным путём. Джордж Кагелер заявил о своей принадлежности к группе тех, кто дважды сопровождал евреев из Ломазы в лес, а затем «более менее ускользнули» для избежания дальнейших приказов.</w:t>
      </w:r>
      <w:hyperlink w:anchor="__251">
        <w:r>
          <w:rPr>
            <w:rStyle w:val="Text2"/>
          </w:rPr>
          <w:bookmarkStart w:id="298" w:name="251"/>
          <w:t>251</w:t>
          <w:bookmarkEnd w:id="298"/>
        </w:r>
      </w:hyperlink>
      <w:r>
        <w:rPr>
          <w:rStyle w:val="Text3"/>
        </w:rPr>
        <w:t xml:space="preserve"> </w:t>
      </w:r>
      <w:r>
        <w:t xml:space="preserve"> На опушке леса стоял кордон для пресечения попыток бегства из зон раздевания, в него был назначен Пол Мецгер*. В Юзефуве после двух казней он «спрятался» среди грузовиков, </w:t>
        <w:t>а т</w:t>
        <w:t xml:space="preserve">еперь в Ломазы, когда один еврей внезапно побежал </w:t>
        <w:t>ему</w:t>
        <w:t xml:space="preserve"> навстречу, тот позволил ему пройти. Как он вспоминал: «Старший лейтенант Гн</w:t>
        <w:t>а</w:t>
        <w:t>д</w:t>
        <w:t xml:space="preserve">е </w:t>
        <w:t xml:space="preserve">... к тому моменту уже пьяный, пытался выяснить, кто из охраны позволил еврею сбежать. Я не признался, </w:t>
        <w:t xml:space="preserve">а </w:t>
        <w:t>товарищи меня не выдали. Из-за своего опьянения старший лейтенант Гн</w:t>
        <w:t>а</w:t>
        <w:t>д</w:t>
        <w:t>е</w:t>
        <w:t xml:space="preserve"> не смог разобраться в деле, так что к ответственности меня не призвали».</w:t>
      </w:r>
      <w:hyperlink w:anchor="__252">
        <w:r>
          <w:rPr>
            <w:rStyle w:val="Text2"/>
          </w:rPr>
          <w:bookmarkStart w:id="299" w:name="252"/>
          <w:t>252</w:t>
          <w:bookmarkEnd w:id="299"/>
        </w:r>
      </w:hyperlink>
      <w:r>
        <w:rPr>
          <w:rStyle w:val="Text3"/>
        </w:rPr>
        <w:t xml:space="preserve"> </w:t>
      </w:r>
      <w:r>
        <w:t xml:space="preserve"> </w:t>
      </w:r>
    </w:p>
    <w:p>
      <w:pPr>
        <w:pStyle w:val="Para 02"/>
      </w:pPr>
      <w:r>
        <w:t xml:space="preserve">В показаниях Кагелера и Мецгера содержалась информация о действиях в какой-то мере рискованных, однако они не столкнулись с последствиями своего уклонения. </w:t>
        <w:t>Б</w:t>
        <w:t xml:space="preserve">ольшинство </w:t>
        <w:t xml:space="preserve">же </w:t>
        <w:t xml:space="preserve">полицейских не прикладывало </w:t>
        <w:t xml:space="preserve">видимых </w:t>
        <w:t>усилий по избежанию расстрелов. В Ломазы приказы подкреплялись естественным стремлением к конформизму и соответствию поведени</w:t>
        <w:t xml:space="preserve">ю </w:t>
        <w:t>своих товарищей. Это было вынести намного легче, чем ситуацию в Юзефуве, где полицейским пришлось принимать личное решение об участии, но «цена» отказа была отделение себя от товарищей и выставление себя «слабым».</w:t>
      </w:r>
    </w:p>
    <w:p>
      <w:pPr>
        <w:pStyle w:val="Para 02"/>
      </w:pPr>
      <w:r>
        <w:t>Трапп не только предложил выбор, но и задал тон. «У нас задача застрелить евреев, но не избивать или мучить их». — заявлял он.</w:t>
      </w:r>
      <w:hyperlink w:anchor="__253">
        <w:r>
          <w:rPr>
            <w:rStyle w:val="Text2"/>
          </w:rPr>
          <w:bookmarkStart w:id="300" w:name="253"/>
          <w:t>253</w:t>
          <w:bookmarkEnd w:id="300"/>
        </w:r>
      </w:hyperlink>
      <w:r>
        <w:rPr>
          <w:rStyle w:val="Text3"/>
        </w:rPr>
        <w:t xml:space="preserve"> </w:t>
      </w:r>
      <w:r>
        <w:t xml:space="preserve"> Его собственное беспокойство было явным для всех в Юзефуве. Впоследствии, однако, большинство «еврейских действий» совершалось силами взводов или рот, а не полным составом батальона. Таким образом, </w:t>
        <w:t>не Трапп, а</w:t>
        <w:t xml:space="preserve"> командующие роты, как Гн</w:t>
        <w:t>аде</w:t>
        <w:t xml:space="preserve"> в Ломазы, задавали людям модель поведения. Беспричинный и ужасный садизм Гн</w:t>
        <w:t>а</w:t>
        <w:t>д</w:t>
        <w:t>е</w:t>
        <w:t xml:space="preserve"> около могилы является лишь одним примером того, каким он видел лидерство в тот момент, </w:t>
        <w:t xml:space="preserve">а </w:t>
        <w:t>со временем таких примеров становилось всё больше. Когда на школьном дворе в Ломазы вс</w:t>
        <w:t>ё</w:t>
        <w:t xml:space="preserve"> ещё пьяные Гн</w:t>
        <w:t>а</w:t>
        <w:t>д</w:t>
        <w:t>е</w:t>
        <w:t xml:space="preserve"> и командир СС Травников встретились с Тони Бентхеймом, Гн</w:t>
        <w:t>а</w:t>
        <w:t>д</w:t>
        <w:t>е</w:t>
        <w:t xml:space="preserve"> спросил его: «Ну, скольких ты застрелил?» Когда сержант ответил «нисколько», Гн</w:t>
        <w:t>а</w:t>
        <w:t>д</w:t>
        <w:t>е</w:t>
        <w:t xml:space="preserve"> выразил своё презрение: «Другого я и не ожидал, ты же всё таки католик».</w:t>
      </w:r>
      <w:hyperlink w:anchor="__254">
        <w:r>
          <w:rPr>
            <w:rStyle w:val="Text2"/>
          </w:rPr>
          <w:bookmarkStart w:id="301" w:name="254"/>
          <w:t>254</w:t>
          <w:bookmarkEnd w:id="301"/>
        </w:r>
      </w:hyperlink>
      <w:r>
        <w:rPr>
          <w:rStyle w:val="Text3"/>
        </w:rPr>
        <w:t xml:space="preserve"> </w:t>
      </w:r>
      <w:r>
        <w:t xml:space="preserve"> С таким руководством и с помощью Травников в Ломазы, члены второй роты сделали решительный шаг в становлении закалёнными убийцами.</w:t>
      </w:r>
    </w:p>
    <w:p>
      <w:pPr>
        <w:pStyle w:val="Heading 2"/>
      </w:pPr>
      <w:r>
        <w:bookmarkStart w:id="302" w:name="anchor24"/>
        <w:t/>
        <w:bookmarkEnd w:id="302"/>
        <w:t>Глава 10</w:t>
        <w:bookmarkStart w:id="303" w:name="anchor70"/>
        <w:t/>
        <w:bookmarkEnd w:id="303"/>
        <w:bookmarkStart w:id="304" w:name="anchor71"/>
        <w:t/>
        <w:bookmarkEnd w:id="304"/>
      </w:r>
    </w:p>
    <w:p>
      <w:pPr>
        <w:pStyle w:val="Para 11"/>
      </w:pPr>
      <w:r>
        <w:bookmarkStart w:id="305" w:name="anchor25"/>
        <w:t/>
        <w:bookmarkEnd w:id="305"/>
        <w:t>Августовская депортация в Треблинку</w:t>
      </w:r>
    </w:p>
    <w:p>
      <w:pPr>
        <w:pStyle w:val="Para 09"/>
      </w:pPr>
      <w:r>
        <w:t xml:space="preserve"> </w:t>
        <w:br w:clear="none"/>
      </w:r>
    </w:p>
    <w:p>
      <w:pPr>
        <w:pStyle w:val="Para 02"/>
      </w:pPr>
      <w:r>
        <w:t xml:space="preserve">Из расположенного далеко от железнодорожной станции Ломазы нельзя было </w:t>
        <w:t>с лёгкостью</w:t>
        <w:t xml:space="preserve"> депортировать сконцентрированных там в июне 1942 </w:t>
        <w:t>года</w:t>
        <w:t xml:space="preserve"> евреев — </w:t>
        <w:t>о</w:t>
        <w:t xml:space="preserve">тсюда </w:t>
        <w:t xml:space="preserve">и </w:t>
        <w:t>вытекает</w:t>
        <w:t xml:space="preserve"> вышеописанная резня </w:t>
        <w:t>17</w:t>
        <w:t xml:space="preserve"> августа. Однако большинство евреев северного </w:t>
        <w:t>округа</w:t>
        <w:t xml:space="preserve"> Люблина проживали в соседствующих с железной дорогой городах Радзинь, Лукув, Парчев и Медзыжец [Мендзыжец-Подляски, Międzyrzec Podlaski]. Так что большим вкладом Полицейского Резервного Батальона 101 в </w:t>
        <w:t>Окончательное</w:t>
        <w:t xml:space="preserve"> Решение стало не резня на местах, а чистки гетто и депортации в лагерь смерти Треблинка, расположенный в около 110 километрах к северу от штаба батальона в Радзине.</w:t>
      </w:r>
    </w:p>
    <w:p>
      <w:pPr>
        <w:pStyle w:val="Para 02"/>
      </w:pPr>
      <w:r>
        <w:t xml:space="preserve">Первый депортационный поезд в Треблинку покинул Варшаву вечером 22 июля 1942 </w:t>
        <w:t>г.</w:t>
        <w:t xml:space="preserve">, прибыл в лагерь смерти следующим утром. После него поезда с евреями из Варшавы и окрестностей прибывали ежедневно. Между </w:t>
        <w:t>5</w:t>
        <w:t xml:space="preserve"> и </w:t>
        <w:t xml:space="preserve">24 </w:t>
        <w:t xml:space="preserve">августом в Треблинку </w:t>
        <w:t>дополнительно</w:t>
        <w:t xml:space="preserve"> доставили около 30 000 евреев из Радома и Кельце. Хотя доступные ресурсы </w:t>
        <w:t xml:space="preserve">лагеря </w:t>
        <w:t xml:space="preserve">для убийств уже находились на грани, Глобочник нетерпеливо решил начать депортации </w:t>
        <w:t xml:space="preserve">дополнительно </w:t>
        <w:t xml:space="preserve">и </w:t>
        <w:t xml:space="preserve">из северного Люблина. Евреи Парчева и Медзыжеца в </w:t>
        <w:t>районе</w:t>
        <w:t xml:space="preserve"> Радзинь, в центре зоны операций Полицейского Резервного Батальона 101, стали первой целью.</w:t>
      </w:r>
    </w:p>
    <w:p>
      <w:pPr>
        <w:pStyle w:val="Para 02"/>
      </w:pPr>
      <w:r>
        <w:t xml:space="preserve">Кроме </w:t>
        <w:t>отряда</w:t>
        <w:t xml:space="preserve"> Бекемейера в Ломазы, весь третий взвод второй роты под командованием Штайнмеца расположился в Парчеве. В его не огороженной ни стеной, ни проволокой части города проживало более 5 000 евреев. Однако отсутствие опечатанного гетто не означает, что коммуна евреев не страдала от дискриминации и унижения немецкими оккупационными силами. Как вспоминал Штайнмец, к тому времени как его полицейские прибыли, главная улица города уже была устелена надгробными камнями евреев.</w:t>
      </w:r>
      <w:hyperlink w:anchor="__255">
        <w:r>
          <w:rPr>
            <w:rStyle w:val="Text2"/>
          </w:rPr>
          <w:bookmarkStart w:id="306" w:name="255"/>
          <w:t>255</w:t>
          <w:bookmarkEnd w:id="306"/>
        </w:r>
      </w:hyperlink>
      <w:r>
        <w:rPr>
          <w:rStyle w:val="Text3"/>
        </w:rPr>
        <w:t xml:space="preserve"> </w:t>
      </w:r>
      <w:r>
        <w:t xml:space="preserve"> </w:t>
        <w:t xml:space="preserve"> В начале августа</w:t>
        <w:t xml:space="preserve"> от 300 до 500 евреев погрузили в фургоны с лошадьми и под охраной полиции провезли пять или шесть километров в лес, где их передали отряду СС. Полицейские ушли до того как услышали выстрелы и судьба евреев им неизвестна.</w:t>
      </w:r>
      <w:hyperlink w:anchor="__256">
        <w:r>
          <w:rPr>
            <w:rStyle w:val="Text2"/>
          </w:rPr>
          <w:bookmarkStart w:id="307" w:name="256"/>
          <w:t>256</w:t>
          <w:bookmarkEnd w:id="307"/>
        </w:r>
      </w:hyperlink>
      <w:r>
        <w:rPr>
          <w:rStyle w:val="Text3"/>
        </w:rPr>
        <w:t xml:space="preserve"> </w:t>
      </w:r>
      <w:r>
        <w:t xml:space="preserve"> </w:t>
      </w:r>
    </w:p>
    <w:p>
      <w:pPr>
        <w:pStyle w:val="Para 02"/>
      </w:pPr>
      <w:r>
        <w:t>По Парчеву прошёл слух о крупной депортации, и многие евреи сбежали в леса,</w:t>
      </w:r>
      <w:hyperlink w:anchor="__257">
        <w:r>
          <w:rPr>
            <w:rStyle w:val="Text2"/>
          </w:rPr>
          <w:bookmarkStart w:id="308" w:name="257"/>
          <w:t>257</w:t>
          <w:bookmarkEnd w:id="308"/>
        </w:r>
      </w:hyperlink>
      <w:r>
        <w:rPr>
          <w:rStyle w:val="Text3"/>
        </w:rPr>
        <w:t xml:space="preserve"> </w:t>
      </w:r>
      <w:r>
        <w:t xml:space="preserve"> </w:t>
        <w:t xml:space="preserve"> но б</w:t>
        <w:t xml:space="preserve">ольшинство, однако, осталось в городе. Всего два дня после событий в Ломазы — утром 19 августа — в Парчев прибыли первая и вторая роты Полицейского Резервного Батальона 101 </w:t>
        <w:t xml:space="preserve">вместе </w:t>
        <w:t xml:space="preserve">с отрядом Хиви. Трапп </w:t>
        <w:t>выступил с</w:t>
        <w:t xml:space="preserve"> очередн</w:t>
        <w:t>ой</w:t>
        <w:t xml:space="preserve"> речь</w:t>
        <w:t>ю</w:t>
        <w:t xml:space="preserve">, проинформировав людей, что евреев следует отправить на железнодорожную станцию в двух или трёх километрах от города. Он «не напрямую», но недвусмысленно намекнул, что старых, немощных </w:t>
        <w:t xml:space="preserve">и </w:t>
        <w:t>непригодных к маршу предстоит расстреливать на месте.</w:t>
      </w:r>
      <w:hyperlink w:anchor="__258">
        <w:r>
          <w:rPr>
            <w:rStyle w:val="Text2"/>
          </w:rPr>
          <w:bookmarkStart w:id="309" w:name="258"/>
          <w:t>258</w:t>
          <w:bookmarkEnd w:id="309"/>
        </w:r>
      </w:hyperlink>
      <w:r>
        <w:rPr>
          <w:rStyle w:val="Text3"/>
        </w:rPr>
        <w:t xml:space="preserve"> </w:t>
      </w:r>
      <w:r>
        <w:t xml:space="preserve"> </w:t>
      </w:r>
    </w:p>
    <w:p>
      <w:pPr>
        <w:pStyle w:val="Para 02"/>
      </w:pPr>
      <w:r>
        <w:t xml:space="preserve">Вторая рота установила кордон, </w:t>
        <w:t xml:space="preserve">а </w:t>
        <w:t>первая устроила обыск еврейского квартала.</w:t>
      </w:r>
      <w:hyperlink w:anchor="__259">
        <w:r>
          <w:rPr>
            <w:rStyle w:val="Text2"/>
          </w:rPr>
          <w:bookmarkStart w:id="310" w:name="259"/>
          <w:t>259</w:t>
          <w:bookmarkEnd w:id="310"/>
        </w:r>
      </w:hyperlink>
      <w:r>
        <w:rPr>
          <w:rStyle w:val="Text3"/>
        </w:rPr>
        <w:t xml:space="preserve"> </w:t>
      </w:r>
      <w:r>
        <w:t xml:space="preserve"> К полудню от рынка до железнодорожной станции растянулась длинная колонна </w:t>
        <w:t>людей —</w:t>
        <w:t xml:space="preserve"> в</w:t>
        <w:t xml:space="preserve"> тот день депортировали около 3 000 евреев Парчева. Операция повторилась несколькими днями спустя, </w:t>
        <w:t xml:space="preserve">но </w:t>
        <w:t>уже без помощи Хиви. Оставшихся 2 000 евреев так же отправили в Треблинку.</w:t>
      </w:r>
      <w:hyperlink w:anchor="__260">
        <w:r>
          <w:rPr>
            <w:rStyle w:val="Text2"/>
          </w:rPr>
          <w:bookmarkStart w:id="311" w:name="260"/>
          <w:t>260</w:t>
          <w:bookmarkEnd w:id="311"/>
        </w:r>
      </w:hyperlink>
      <w:r>
        <w:rPr>
          <w:rStyle w:val="Text3"/>
        </w:rPr>
        <w:t xml:space="preserve"> </w:t>
      </w:r>
      <w:r>
        <w:t xml:space="preserve"> </w:t>
      </w:r>
    </w:p>
    <w:p>
      <w:pPr>
        <w:pStyle w:val="Para 02"/>
      </w:pPr>
      <w:r>
        <w:t>В воспоминаниях полицейских депортация из Парчева прошла без каких-то особенных событий. Всё прошло гладко, стрельбы было мало, Хиви не отлич</w:t>
        <w:t>а</w:t>
        <w:t xml:space="preserve">лись </w:t>
        <w:t>обычной для них</w:t>
        <w:t xml:space="preserve"> жестокостью и алкоголизмом. Из-за предположительно малого количества «грязной работы» на вторую депортацию Хиви </w:t>
        <w:t xml:space="preserve">вовсе </w:t>
        <w:t xml:space="preserve">не отправили. Полицейские, конечно </w:t>
        <w:t xml:space="preserve">же, </w:t>
        <w:t>точно не знали куда отправляют евреев и что именно с ними делалось, но «нам всем было ясно и понятно», — как признал Генрих Штайнмец, — «что депортированные евреи отправляются на смерть. Мы подозревали, что их убьют в каком-нибудь лагере».</w:t>
      </w:r>
      <w:hyperlink w:anchor="__261">
        <w:r>
          <w:rPr>
            <w:rStyle w:val="Text2"/>
          </w:rPr>
          <w:bookmarkStart w:id="312" w:name="261"/>
          <w:t>261</w:t>
          <w:bookmarkEnd w:id="312"/>
        </w:r>
      </w:hyperlink>
      <w:r>
        <w:rPr>
          <w:rStyle w:val="Text3"/>
        </w:rPr>
        <w:t xml:space="preserve"> </w:t>
      </w:r>
      <w:r>
        <w:t xml:space="preserve"> Избежав прямого участия в убийствах, люди Полицейского Резервного Батальона 101 не кажутся обременёнными этим знанием, хоть депортированных и было больше, чем жертв в Юзефуве и Ломазы вместе взятых. „С глаз долой из сердца вон“. И действительно, для некоторых членов взвода Штайнмеца самым ярким воспоминанием стало несение службы в болотистых лугах к северу от Парчева, где им приходилось весь день стоять с мокрыми ногами.</w:t>
      </w:r>
      <w:hyperlink w:anchor="__262">
        <w:r>
          <w:rPr>
            <w:rStyle w:val="Text2"/>
          </w:rPr>
          <w:bookmarkStart w:id="313" w:name="262"/>
          <w:t>262</w:t>
          <w:bookmarkEnd w:id="313"/>
        </w:r>
      </w:hyperlink>
      <w:r>
        <w:rPr>
          <w:rStyle w:val="Text3"/>
        </w:rPr>
        <w:t xml:space="preserve"> </w:t>
      </w:r>
      <w:r>
        <w:t xml:space="preserve"> </w:t>
      </w:r>
    </w:p>
    <w:p>
      <w:pPr>
        <w:pStyle w:val="Para 02"/>
      </w:pPr>
      <w:r>
        <w:t>Намного более запоминающимся для Полицейского Резервного Батальона 101 стала депортация 11 000 евреев из Мендзыжеца в Треблинку 25-26 августа.</w:t>
      </w:r>
      <w:hyperlink w:anchor="__263">
        <w:r>
          <w:rPr>
            <w:rStyle w:val="Text2"/>
          </w:rPr>
          <w:bookmarkStart w:id="314" w:name="263"/>
          <w:t>263</w:t>
          <w:bookmarkEnd w:id="314"/>
        </w:r>
      </w:hyperlink>
      <w:r>
        <w:rPr>
          <w:rStyle w:val="Text3"/>
        </w:rPr>
        <w:t xml:space="preserve"> </w:t>
      </w:r>
      <w:r>
        <w:t xml:space="preserve"> В августе 1942 </w:t>
        <w:t xml:space="preserve">г. </w:t>
        <w:t xml:space="preserve">Мендзыжец, в сравнении с 10 000 евреями Лукува и 6 000 Радзиня, был крупнейшим гетто </w:t>
        <w:t>района</w:t>
        <w:t xml:space="preserve"> Радзинь, с еврейским населением более 12 000. В июне 1942-</w:t>
        <w:t>го</w:t>
        <w:t xml:space="preserve"> администрация гетто в </w:t>
        <w:t>округе Люблина</w:t>
        <w:t xml:space="preserve"> передала гражданскую администрацию СС, таким образом, оставив эти гетто под руководством людей, назначенных из Радзиня Полицией Безопасности.</w:t>
      </w:r>
      <w:hyperlink w:anchor="__264">
        <w:r>
          <w:rPr>
            <w:rStyle w:val="Text2"/>
          </w:rPr>
          <w:bookmarkStart w:id="315" w:name="264"/>
          <w:t>264</w:t>
          <w:bookmarkEnd w:id="315"/>
        </w:r>
      </w:hyperlink>
      <w:r>
        <w:rPr>
          <w:rStyle w:val="Text3"/>
        </w:rPr>
        <w:t xml:space="preserve"> </w:t>
      </w:r>
      <w:r>
        <w:t xml:space="preserve"> </w:t>
      </w:r>
    </w:p>
    <w:p>
      <w:pPr>
        <w:pStyle w:val="Para 02"/>
      </w:pPr>
      <w:r>
        <w:t xml:space="preserve">Как и Избица с Пяски на юге </w:t>
        <w:t>округа</w:t>
        <w:t xml:space="preserve"> Люблина, Мендзыжец был определён как «транзитное гетто», в которое собирали евреев с окрестностей перед отправкой в Треблинку. Для получения евреев ещё откуда-либо, гетто в Мендзыжеце периодически освобождалось от жителей. Первая и крупнейшая такая чистка состоялась 25-26 августа объединёнными силами первой роты, третьего взвода второй роты и первого взвода третьей роты Полицейского Резервного Батальона 101, отряда Хиви и Полиции Безопасности Радзиня.</w:t>
      </w:r>
      <w:hyperlink w:anchor="__265">
        <w:r>
          <w:rPr>
            <w:rStyle w:val="Text2"/>
          </w:rPr>
          <w:bookmarkStart w:id="316" w:name="265"/>
          <w:t>265</w:t>
          <w:bookmarkEnd w:id="316"/>
        </w:r>
      </w:hyperlink>
      <w:r>
        <w:rPr>
          <w:rStyle w:val="Text3"/>
        </w:rPr>
        <w:t xml:space="preserve"> </w:t>
      </w:r>
      <w:r>
        <w:t xml:space="preserve"> </w:t>
      </w:r>
    </w:p>
    <w:p>
      <w:pPr>
        <w:pStyle w:val="Para 02"/>
      </w:pPr>
      <w:r>
        <w:t>Когда в конце июля штаб батальона переместился из Билгорая в Радзинь, людей первой роты расположили там же, а так же в Коцке [Kock], Лукуве и Комар</w:t>
        <w:t>у</w:t>
        <w:t xml:space="preserve">вке [Komarówka]. Первый взвод третьей роты расположился в </w:t>
        <w:t>районе</w:t>
        <w:t xml:space="preserve"> Радзиня в городе Чемерники [Czemierniki], </w:t>
        <w:t>а</w:t>
        <w:t xml:space="preserve"> третий взвод второй роты в Парчеве. Все эти пять взводов мобилизовали для акции в Мендзыжеце. Часть полицейских прибыла туда ночью 24 августа, один отряд с конвоем фургонов привёз дополнительных евреев.</w:t>
      </w:r>
      <w:hyperlink w:anchor="__266">
        <w:r>
          <w:rPr>
            <w:rStyle w:val="Text2"/>
          </w:rPr>
          <w:bookmarkStart w:id="317" w:name="266"/>
          <w:t>266</w:t>
          <w:bookmarkEnd w:id="317"/>
        </w:r>
      </w:hyperlink>
      <w:r>
        <w:rPr>
          <w:rStyle w:val="Text3"/>
        </w:rPr>
        <w:t xml:space="preserve"> </w:t>
      </w:r>
      <w:r>
        <w:t xml:space="preserve"> Большинство людей, однако, собралось под командованием </w:t>
        <w:t>старшего</w:t>
        <w:t xml:space="preserve"> сержанта Каммера в Радзине ранним утром 25 августа. Отсутствие Волауфа объяснилось, когда конвой грузовиков остановился перед его частной резиденцией на выезде из города. Волауф и его молодая невеста на четвёртом месяце беременности, с военным пальто на плечах и фуражкой на голове, вышли из дома и залезли в грузовик. «Когда капитан Волауф сел рядом с водителем», — вспоминал один полицейский, — «мне пришлось уступить своё место его жене».</w:t>
      </w:r>
      <w:hyperlink w:anchor="__267">
        <w:r>
          <w:rPr>
            <w:rStyle w:val="Text2"/>
          </w:rPr>
          <w:bookmarkStart w:id="318" w:name="267"/>
          <w:t>267</w:t>
          <w:bookmarkEnd w:id="318"/>
        </w:r>
      </w:hyperlink>
      <w:r>
        <w:rPr>
          <w:rStyle w:val="Text3"/>
        </w:rPr>
        <w:t xml:space="preserve"> </w:t>
      </w:r>
      <w:r>
        <w:t xml:space="preserve"> </w:t>
      </w:r>
    </w:p>
    <w:p>
      <w:pPr>
        <w:pStyle w:val="Para 02"/>
      </w:pPr>
      <w:r>
        <w:t>До вступления в Полицейский Резервный Батальон 101 Волауф испытал несколько серьёзных проблем в своей карьере. В апреле 1940-</w:t>
        <w:t>го</w:t>
        <w:t xml:space="preserve"> его посылали в Норвегию вместе с Полицейским Батальоном 105, но его командующий потребовал его отзыва. </w:t>
        <w:t xml:space="preserve">Тот отмечал, что </w:t>
        <w:t>Волауф был энергичным и умным, но недисциплинированным и с большѝм самомнением.</w:t>
      </w:r>
      <w:hyperlink w:anchor="__268">
        <w:r>
          <w:rPr>
            <w:rStyle w:val="Text2"/>
          </w:rPr>
          <w:bookmarkStart w:id="319" w:name="268"/>
          <w:t>268</w:t>
          <w:bookmarkEnd w:id="319"/>
        </w:r>
      </w:hyperlink>
      <w:r>
        <w:rPr>
          <w:rStyle w:val="Text3"/>
        </w:rPr>
        <w:t xml:space="preserve"> </w:t>
      </w:r>
      <w:r>
        <w:t xml:space="preserve"> Дома в Гамбурге следующий командир Волауфа оценил его как человека без интереса к службе на домашнем фронте и требовавшим постоянного наблюдения.</w:t>
      </w:r>
      <w:hyperlink w:anchor="__269">
        <w:r>
          <w:rPr>
            <w:rStyle w:val="Text2"/>
          </w:rPr>
          <w:bookmarkStart w:id="320" w:name="269"/>
          <w:t>269</w:t>
          <w:bookmarkEnd w:id="320"/>
        </w:r>
      </w:hyperlink>
      <w:r>
        <w:rPr>
          <w:rStyle w:val="Text3"/>
        </w:rPr>
        <w:t xml:space="preserve"> </w:t>
      </w:r>
      <w:r>
        <w:t xml:space="preserve"> В этот момент весной 1941-</w:t>
        <w:t>го</w:t>
        <w:t xml:space="preserve">, когда тот только вернулся из Лодзе, Волауфа назначили в Полицейский Резервный Батальон 101, </w:t>
        <w:t>и</w:t>
        <w:t xml:space="preserve"> е</w:t>
        <w:t>го профессиональная удача резко переменилась. Всего через несколько месяце новый командир батальона Трапп рекомендовал Волауфа к повышению и к командованию ротой. Трапп писал: Волауф — человек с военной выправкой, энергичный, полный жизни и обладает качествами лидера. К тому же он старался действовать согласно принципам национал-социализма и инструктировал своих людей соответственно. Он был «готов в любое время и не сдерживаясь выступить за национал-социалистическое государство».</w:t>
      </w:r>
      <w:hyperlink w:anchor="__270">
        <w:r>
          <w:rPr>
            <w:rStyle w:val="Text2"/>
          </w:rPr>
          <w:bookmarkStart w:id="321" w:name="270"/>
          <w:t>270</w:t>
          <w:bookmarkEnd w:id="321"/>
        </w:r>
      </w:hyperlink>
      <w:r>
        <w:rPr>
          <w:rStyle w:val="Text3"/>
        </w:rPr>
        <w:t xml:space="preserve"> </w:t>
      </w:r>
      <w:r>
        <w:t xml:space="preserve"> Волауфа повысили до капитана, он принял командование первой ротой и стал заместителем командующего Траппа.</w:t>
      </w:r>
    </w:p>
    <w:p>
      <w:pPr>
        <w:pStyle w:val="Para 02"/>
      </w:pPr>
      <w:r>
        <w:t>Людям Волауф казался претенциозным. Один полицейский помнил, как тот ездил в машине стоя будто генерал. Другой, что его пренебрежительно называли «маленький Роммель».</w:t>
      </w:r>
      <w:hyperlink w:anchor="__271">
        <w:r>
          <w:rPr>
            <w:rStyle w:val="Text2"/>
          </w:rPr>
          <w:bookmarkStart w:id="322" w:name="271"/>
          <w:t>271</w:t>
          <w:bookmarkEnd w:id="322"/>
        </w:r>
      </w:hyperlink>
      <w:r>
        <w:rPr>
          <w:rStyle w:val="Text3"/>
        </w:rPr>
        <w:t xml:space="preserve"> </w:t>
      </w:r>
      <w:r>
        <w:t xml:space="preserve"> </w:t>
        <w:t xml:space="preserve"> Старший секретарь</w:t>
      </w:r>
      <w:hyperlink w:anchor="__272">
        <w:r>
          <w:rPr>
            <w:rStyle w:val="Text2"/>
          </w:rPr>
          <w:bookmarkStart w:id="323" w:name="272"/>
          <w:t>272</w:t>
          <w:bookmarkEnd w:id="323"/>
        </w:r>
      </w:hyperlink>
      <w:r>
        <w:rPr>
          <w:rStyle w:val="Text3"/>
        </w:rPr>
        <w:t xml:space="preserve"> </w:t>
      </w:r>
      <w:r>
        <w:t xml:space="preserve"> </w:t>
        <w:t xml:space="preserve"> </w:t>
        <w:t>первой роты упоминал его энергичность, решительность в командовании и способность выполнять поставленные задачи.</w:t>
      </w:r>
      <w:hyperlink w:anchor="__273">
        <w:r>
          <w:rPr>
            <w:rStyle w:val="Text2"/>
          </w:rPr>
          <w:bookmarkStart w:id="324" w:name="273"/>
          <w:t>273</w:t>
          <w:bookmarkEnd w:id="324"/>
        </w:r>
      </w:hyperlink>
      <w:r>
        <w:rPr>
          <w:rStyle w:val="Text3"/>
        </w:rPr>
        <w:t xml:space="preserve"> </w:t>
      </w:r>
      <w:r>
        <w:t xml:space="preserve"> Его более сдержанный командир взвода лейтенант Бухман описывал его как не очень ярого антисемита и более «прямого и искреннего» человека, чем лейтенант Гн</w:t>
        <w:t>а</w:t>
        <w:t>д</w:t>
        <w:t>е</w:t>
        <w:t xml:space="preserve"> (стоит признать, не очень высокий стандарт для сравнения). Он был офицером, серьёзно относившимся к своим обязанностям, но прежде всего он был молодым человеком, и женихом, поглощённым романом.</w:t>
      </w:r>
      <w:hyperlink w:anchor="__274">
        <w:r>
          <w:rPr>
            <w:rStyle w:val="Text2"/>
          </w:rPr>
          <w:bookmarkStart w:id="325" w:name="274"/>
          <w:t>274</w:t>
          <w:bookmarkEnd w:id="325"/>
        </w:r>
      </w:hyperlink>
      <w:r>
        <w:rPr>
          <w:rStyle w:val="Text3"/>
        </w:rPr>
        <w:t xml:space="preserve"> </w:t>
      </w:r>
      <w:r>
        <w:t xml:space="preserve"> </w:t>
      </w:r>
    </w:p>
    <w:p>
      <w:pPr>
        <w:pStyle w:val="Para 02"/>
      </w:pPr>
      <w:r>
        <w:t xml:space="preserve">Внезапная отправка Полицейского Батальона 101 в Польшу застала Волауфа врасплох, расстроив планы на свадьбу 22 июня. Только прибыв в Билгорай, он сразу же начал умолять Траппа позволить ему на время вернуться в Гамбург на свадьбу к его беременной девушке. Трапп </w:t>
        <w:t xml:space="preserve">поначалу </w:t>
        <w:t xml:space="preserve">отказывался, но затем всё же дал ему специальный отпуск. Волауф женился 29 июня, </w:t>
        <w:t xml:space="preserve">а </w:t>
        <w:t>в Польшу вернулся как раз к Юзефуву. Когда его рота расположилась в Радзине, Волауф устроил себе визит своей невесты и медовый месяц.</w:t>
      </w:r>
      <w:hyperlink w:anchor="__275">
        <w:r>
          <w:rPr>
            <w:rStyle w:val="Text2"/>
          </w:rPr>
          <w:bookmarkStart w:id="326" w:name="275"/>
          <w:t>275</w:t>
          <w:bookmarkEnd w:id="326"/>
        </w:r>
      </w:hyperlink>
      <w:r>
        <w:rPr>
          <w:rStyle w:val="Text3"/>
        </w:rPr>
        <w:t xml:space="preserve"> </w:t>
      </w:r>
      <w:r>
        <w:t xml:space="preserve"> </w:t>
      </w:r>
    </w:p>
    <w:p>
      <w:pPr>
        <w:pStyle w:val="Para 02"/>
      </w:pPr>
      <w:r>
        <w:t xml:space="preserve">Как предположил Бухман, Волауф привёл с собой невесту на депортацию в Мендзыжец, потому что не мог расстаться с ней в расцвете их медового месяца. С другой стороны, претенциозный и самодовольный капитан мог пытаться впечатлить невесту, показав ей как он управляет жизнью и смертью польских евреев. Люди явно думали второе — </w:t>
        <w:t>и</w:t>
        <w:t>х реакцией было единогласное возмущение и негодование тем, что женщина становилась свидетелем их ужасной деятельности.</w:t>
      </w:r>
      <w:hyperlink w:anchor="__276">
        <w:r>
          <w:rPr>
            <w:rStyle w:val="Text2"/>
          </w:rPr>
          <w:bookmarkStart w:id="327" w:name="276"/>
          <w:t>276</w:t>
          <w:bookmarkEnd w:id="327"/>
        </w:r>
      </w:hyperlink>
      <w:r>
        <w:rPr>
          <w:rStyle w:val="Text3"/>
        </w:rPr>
        <w:t xml:space="preserve"> </w:t>
      </w:r>
      <w:r>
        <w:t xml:space="preserve"> Члены первой роты, если не их капитан, вс</w:t>
        <w:t>ё</w:t>
        <w:t xml:space="preserve"> ещё могли испытывать стыд.</w:t>
      </w:r>
    </w:p>
    <w:p>
      <w:pPr>
        <w:pStyle w:val="Para 02"/>
      </w:pPr>
      <w:r>
        <w:t xml:space="preserve">Операция уже шла полным ходом, когда конвой с большей частью первой роты, Волауфом и его невестой прибыл в Мендзыжец, менее чем в тридцати километрах к северу от Радзиня. Хиви и Полиция Безопасности производила сбор евреев, раздавались крики и выстрелы. Его люди остались ждать, пока Волауф пошёл получать инструкции. Он вернулся спустя двадцать или тридцать минут и раздал приказы роте — </w:t>
        <w:t>ч</w:t>
        <w:t xml:space="preserve">асть людей отправилась на внешний кордон, но большинству было приказано присоединиться к Хиви в зачистке. </w:t>
        <w:t>По обыкновению</w:t>
        <w:t xml:space="preserve"> был отдан приказ расстрела любого пытавшегося сбежать, а также больного, старого или немощного, неспособного к маршу до железнодорожной станции </w:t>
        <w:t>за чертой</w:t>
        <w:t xml:space="preserve"> города.</w:t>
      </w:r>
      <w:hyperlink w:anchor="__277">
        <w:r>
          <w:rPr>
            <w:rStyle w:val="Text2"/>
          </w:rPr>
          <w:bookmarkStart w:id="328" w:name="277"/>
          <w:t>277</w:t>
          <w:bookmarkEnd w:id="328"/>
        </w:r>
      </w:hyperlink>
      <w:r>
        <w:rPr>
          <w:rStyle w:val="Text3"/>
        </w:rPr>
        <w:t xml:space="preserve"> </w:t>
      </w:r>
      <w:r>
        <w:t xml:space="preserve"> </w:t>
      </w:r>
    </w:p>
    <w:p>
      <w:pPr>
        <w:pStyle w:val="Para 02"/>
      </w:pPr>
      <w:r>
        <w:t xml:space="preserve">Пока люди ждали возвращения Волауфа, </w:t>
        <w:t>им</w:t>
        <w:t xml:space="preserve"> встретил</w:t>
        <w:t xml:space="preserve">ся </w:t>
        <w:t xml:space="preserve">офицер </w:t>
        <w:t>П</w:t>
        <w:t xml:space="preserve">олиции </w:t>
        <w:t>Б</w:t>
        <w:t xml:space="preserve">езопасности. </w:t>
        <w:t>Уже пьяный, н</w:t>
        <w:t>есмотря на раннее время.</w:t>
      </w:r>
      <w:hyperlink w:anchor="__278">
        <w:r>
          <w:rPr>
            <w:rStyle w:val="Text2"/>
          </w:rPr>
          <w:bookmarkStart w:id="329" w:name="278"/>
          <w:t>278</w:t>
          <w:bookmarkEnd w:id="329"/>
        </w:r>
      </w:hyperlink>
      <w:r>
        <w:rPr>
          <w:rStyle w:val="Text3"/>
        </w:rPr>
        <w:t xml:space="preserve"> </w:t>
      </w:r>
      <w:r>
        <w:t xml:space="preserve"> Скоро стало ясно, что пьяны и Хиви.</w:t>
      </w:r>
      <w:hyperlink w:anchor="__279">
        <w:r>
          <w:rPr>
            <w:rStyle w:val="Text2"/>
          </w:rPr>
          <w:bookmarkStart w:id="330" w:name="279"/>
          <w:t>279</w:t>
          <w:bookmarkEnd w:id="330"/>
        </w:r>
      </w:hyperlink>
      <w:r>
        <w:rPr>
          <w:rStyle w:val="Text3"/>
        </w:rPr>
        <w:t xml:space="preserve"> </w:t>
      </w:r>
      <w:r>
        <w:t xml:space="preserve"> Они стреляли так часто и так бездумно, что полицейским </w:t>
        <w:t>периодически</w:t>
        <w:t xml:space="preserve"> приходилось искать укрытие, чтобы не попасть под пули.</w:t>
      </w:r>
      <w:hyperlink w:anchor="__280">
        <w:r>
          <w:rPr>
            <w:rStyle w:val="Text2"/>
          </w:rPr>
          <w:bookmarkStart w:id="331" w:name="280"/>
          <w:t>280</w:t>
          <w:bookmarkEnd w:id="331"/>
        </w:r>
      </w:hyperlink>
      <w:r>
        <w:rPr>
          <w:rStyle w:val="Text3"/>
        </w:rPr>
        <w:t xml:space="preserve"> </w:t>
      </w:r>
      <w:r>
        <w:t xml:space="preserve"> Полицейский «видел трупы застреленных евреев везде — на улицах и в домах».</w:t>
      </w:r>
      <w:hyperlink w:anchor="__281">
        <w:r>
          <w:rPr>
            <w:rStyle w:val="Text2"/>
          </w:rPr>
          <w:bookmarkStart w:id="332" w:name="281"/>
          <w:t>281</w:t>
          <w:bookmarkEnd w:id="332"/>
        </w:r>
      </w:hyperlink>
      <w:r>
        <w:rPr>
          <w:rStyle w:val="Text3"/>
        </w:rPr>
        <w:t xml:space="preserve"> </w:t>
      </w:r>
      <w:r>
        <w:t xml:space="preserve"> </w:t>
      </w:r>
    </w:p>
    <w:p>
      <w:pPr>
        <w:pStyle w:val="Para 02"/>
      </w:pPr>
      <w:r>
        <w:t xml:space="preserve">Подгоняемые Хиви и полицейскими, евреи тысячами загонялись на рынок, </w:t>
        <w:t xml:space="preserve">где их принудили </w:t>
        <w:t xml:space="preserve">сидеть не двигаясь и запретили вставать на ноги. </w:t>
        <w:t xml:space="preserve">Проведя так </w:t>
        <w:t xml:space="preserve">часы под жарким августовским солнцем многие </w:t>
        <w:t>люди</w:t>
        <w:t xml:space="preserve"> теряли сознание и падали. Более того, избивания и стрельба продолжались и на рынке.</w:t>
      </w:r>
      <w:hyperlink w:anchor="__282">
        <w:r>
          <w:rPr>
            <w:rStyle w:val="Text2"/>
          </w:rPr>
          <w:bookmarkStart w:id="333" w:name="282"/>
          <w:t>282</w:t>
          <w:bookmarkEnd w:id="333"/>
        </w:r>
      </w:hyperlink>
      <w:r>
        <w:rPr>
          <w:rStyle w:val="Text3"/>
        </w:rPr>
        <w:t xml:space="preserve"> </w:t>
      </w:r>
      <w:r>
        <w:t xml:space="preserve"> Фрау Волауф, сняв военное пальто как стало теплее, в своём наряде была хорошо заметна — она наблюдала за происходящим с близкого расстояния.</w:t>
      </w:r>
      <w:hyperlink w:anchor="__283">
        <w:r>
          <w:rPr>
            <w:rStyle w:val="Text2"/>
          </w:rPr>
          <w:bookmarkStart w:id="334" w:name="283"/>
          <w:t>283</w:t>
          <w:bookmarkEnd w:id="334"/>
        </w:r>
      </w:hyperlink>
      <w:r>
        <w:rPr>
          <w:rStyle w:val="Text3"/>
        </w:rPr>
        <w:t xml:space="preserve"> </w:t>
      </w:r>
      <w:r>
        <w:t xml:space="preserve"> </w:t>
      </w:r>
    </w:p>
    <w:p>
      <w:pPr>
        <w:pStyle w:val="Para 02"/>
      </w:pPr>
      <w:r>
        <w:t xml:space="preserve">Около двух часов дня внешний кордон вызвали на рынок, и спустя час или два начался марш к железнодорожной станции. Все силы Хиви и полиции были заняты конвоированием евреев. И </w:t>
        <w:t>вновь</w:t>
        <w:t xml:space="preserve"> стрельба была обычным делом. </w:t>
        <w:t xml:space="preserve">Кто </w:t>
        <w:t xml:space="preserve">не мог больше идти, </w:t>
        <w:t>тех расстреливали</w:t>
        <w:t xml:space="preserve"> и оставляли лежать на обочине. </w:t>
        <w:t>Она</w:t>
        <w:t xml:space="preserve"> была устелена телами.</w:t>
      </w:r>
      <w:hyperlink w:anchor="__284">
        <w:r>
          <w:rPr>
            <w:rStyle w:val="Text2"/>
          </w:rPr>
          <w:bookmarkStart w:id="335" w:name="284"/>
          <w:t>284</w:t>
          <w:bookmarkEnd w:id="335"/>
        </w:r>
      </w:hyperlink>
      <w:r>
        <w:rPr>
          <w:rStyle w:val="Text3"/>
        </w:rPr>
        <w:t xml:space="preserve"> </w:t>
      </w:r>
      <w:r>
        <w:t xml:space="preserve"> </w:t>
      </w:r>
    </w:p>
    <w:p>
      <w:pPr>
        <w:pStyle w:val="Para 02"/>
      </w:pPr>
      <w:r>
        <w:t>Один финальный ужас ожидал в конце, когда предстояла погрузка в поезда. Пока Хиви и Полиция Безопасности запихивали от 120 до 140 евреев в каждый вагон, полицейские занимались охраной и наблюдали. Как вспоминал один:</w:t>
      </w:r>
    </w:p>
    <w:p>
      <w:pPr>
        <w:pStyle w:val="Para 33"/>
      </w:pPr>
      <w:r>
        <w:t/>
      </w:r>
    </w:p>
    <w:p>
      <w:pPr>
        <w:pStyle w:val="Para 04"/>
      </w:pPr>
      <w:r>
        <w:t>«Когда что-то не получалось, они использовали оружие и стеки</w:t>
      </w:r>
      <w:hyperlink w:anchor="__285">
        <w:r>
          <w:rPr>
            <w:rStyle w:val="Text2"/>
          </w:rPr>
          <w:bookmarkStart w:id="336" w:name="285"/>
          <w:t>285</w:t>
          <w:bookmarkEnd w:id="336"/>
        </w:r>
      </w:hyperlink>
      <w:r>
        <w:rPr>
          <w:rStyle w:val="Text3"/>
        </w:rPr>
        <w:t xml:space="preserve"> </w:t>
      </w:r>
      <w:r>
        <w:t xml:space="preserve"> . Погрузка была просто пугающей. От этих людей раздавались неземные крики, десять или двадцать вагонов грузили одновременно. Весь грузовой поезд был страшно длинным — </w:t>
        <w:t>н</w:t>
        <w:t>ельзя было обозреть его целиком. Может пятьдесят или шестьдесят вагонов, может больше. После погрузки двери заколотили и забили гвоздями».</w:t>
      </w:r>
      <w:hyperlink w:anchor="__286">
        <w:r>
          <w:rPr>
            <w:rStyle w:val="Text2"/>
          </w:rPr>
          <w:bookmarkStart w:id="337" w:name="286"/>
          <w:t>286</w:t>
          <w:bookmarkEnd w:id="337"/>
        </w:r>
      </w:hyperlink>
      <w:r>
        <w:rPr>
          <w:rStyle w:val="Text3"/>
        </w:rPr>
        <w:t xml:space="preserve"> </w:t>
      </w:r>
      <w:r>
        <w:t xml:space="preserve"> </w:t>
      </w:r>
    </w:p>
    <w:p>
      <w:pPr>
        <w:pStyle w:val="Para 02"/>
      </w:pPr>
      <w:r>
        <w:t/>
      </w:r>
    </w:p>
    <w:p>
      <w:pPr>
        <w:pStyle w:val="Para 02"/>
      </w:pPr>
      <w:r>
        <w:t xml:space="preserve">После запечатывания вагонов и не </w:t>
        <w:t>дожидаясь</w:t>
        <w:t xml:space="preserve"> отправки поезда, члены Полицейского Резервного Батальона 101 быстро ушли.</w:t>
      </w:r>
    </w:p>
    <w:p>
      <w:pPr>
        <w:pStyle w:val="Para 02"/>
      </w:pPr>
      <w:r>
        <w:t xml:space="preserve">Чистка гетто Мендзыжеца была крупнейшей операцией по депортации, в которой принимал участие батальон во время </w:t>
        <w:t>Окончате</w:t>
        <w:t>льного Решения. Только тысяче евреев Мендзыжец</w:t>
        <w:t>а</w:t>
        <w:t xml:space="preserve"> позволили временно остаться в гетто для работы, но </w:t>
        <w:t xml:space="preserve">только </w:t>
        <w:t>до того момента, как их заменили бы поляки.</w:t>
      </w:r>
      <w:hyperlink w:anchor="__287">
        <w:r>
          <w:rPr>
            <w:rStyle w:val="Text2"/>
          </w:rPr>
          <w:bookmarkStart w:id="338" w:name="287"/>
          <w:t>287</w:t>
          <w:bookmarkEnd w:id="338"/>
        </w:r>
      </w:hyperlink>
      <w:r>
        <w:rPr>
          <w:rStyle w:val="Text3"/>
        </w:rPr>
        <w:t xml:space="preserve"> </w:t>
      </w:r>
      <w:r>
        <w:t xml:space="preserve"> Таким образом, </w:t>
        <w:t>жертвами</w:t>
        <w:t xml:space="preserve"> депортации стали 11 000 человек. Полицейские знали, что «многие сотни» были застрелены во время операции, но не знали сколько точно.</w:t>
      </w:r>
      <w:hyperlink w:anchor="__288">
        <w:r>
          <w:rPr>
            <w:rStyle w:val="Text2"/>
          </w:rPr>
          <w:bookmarkStart w:id="339" w:name="288"/>
          <w:t>288</w:t>
          <w:bookmarkEnd w:id="339"/>
        </w:r>
      </w:hyperlink>
      <w:r>
        <w:rPr>
          <w:rStyle w:val="Text3"/>
        </w:rPr>
        <w:t xml:space="preserve"> </w:t>
      </w:r>
      <w:r>
        <w:t xml:space="preserve"> Выжившие евреи, однако, знали — они похоронили 960 человек.</w:t>
      </w:r>
      <w:hyperlink w:anchor="__289">
        <w:r>
          <w:rPr>
            <w:rStyle w:val="Text2"/>
          </w:rPr>
          <w:bookmarkStart w:id="340" w:name="289"/>
          <w:t>289</w:t>
          <w:bookmarkEnd w:id="340"/>
        </w:r>
      </w:hyperlink>
      <w:r>
        <w:rPr>
          <w:rStyle w:val="Text3"/>
        </w:rPr>
        <w:t xml:space="preserve"> </w:t>
      </w:r>
      <w:r>
        <w:t xml:space="preserve"> </w:t>
      </w:r>
    </w:p>
    <w:p>
      <w:pPr>
        <w:pStyle w:val="Para 02"/>
      </w:pPr>
      <w:r>
        <w:t>Требуется иметь некоторую перспективу, чтобы показать, что депортация в Мендзыжеце была зверской даже по стандартам нацистов в 1942-</w:t>
        <w:t>м</w:t>
        <w:t>. Между 22 июня и 21 сентября из Варшавы депортировали около 300 000 евреев. За эти два месяца всего было казнено в процессе 6 687 евре</w:t>
        <w:t>ев</w:t>
        <w:t>.</w:t>
      </w:r>
      <w:hyperlink w:anchor="__290">
        <w:r>
          <w:rPr>
            <w:rStyle w:val="Text2"/>
          </w:rPr>
          <w:bookmarkStart w:id="341" w:name="290"/>
          <w:t>290</w:t>
          <w:bookmarkEnd w:id="341"/>
        </w:r>
      </w:hyperlink>
      <w:r>
        <w:rPr>
          <w:rStyle w:val="Text3"/>
        </w:rPr>
        <w:t xml:space="preserve"> </w:t>
      </w:r>
      <w:r>
        <w:t xml:space="preserve"> Следовательно, процент тех, кого казнили на месте, а не депортировали, был около 2. В Мендзыжеце же он был 9. Евреи Мендзыжеца не маршировали «как овцы на бойню», </w:t>
        <w:t>и</w:t>
        <w:t xml:space="preserve">х подгоняли с практически невиданным зверством и жестокостью, оставив сильный отпечаток даже </w:t>
        <w:t xml:space="preserve">на </w:t>
        <w:t>вс</w:t>
        <w:t>ё</w:t>
        <w:t xml:space="preserve"> более бесчувственны</w:t>
        <w:t>х</w:t>
        <w:t xml:space="preserve"> и жестоки</w:t>
        <w:t>х</w:t>
        <w:t xml:space="preserve"> членах</w:t>
        <w:t xml:space="preserve"> Полицейского Резервного Батальона 101. Это не было случаем «</w:t>
        <w:t>с</w:t>
        <w:t xml:space="preserve"> глаз долой, из сердца вон».</w:t>
      </w:r>
    </w:p>
    <w:p>
      <w:pPr>
        <w:pStyle w:val="Para 02"/>
      </w:pPr>
      <w:r>
        <w:t>Почему же такая разница между относительно спокойной и не запоминающейся депортацией из Парчева и ужасом Мендзыжеца, ведь прошла всего неделя? С немецкой стороны ключевым фактором стало соотношение преступников к жертвам. Для более чем 5 000 евреев Парчева немцы привели две роты Полиции Порядка и отряд Хиви в 300 или 350 человек. В Мендзыжеце для вдвое большего количества евреев выделили пять взводов Полиции Порядка</w:t>
      </w:r>
      <w:hyperlink w:anchor="__291">
        <w:r>
          <w:rPr>
            <w:rStyle w:val="Text2"/>
          </w:rPr>
          <w:bookmarkStart w:id="342" w:name="291"/>
          <w:t>291</w:t>
          <w:bookmarkEnd w:id="342"/>
        </w:r>
      </w:hyperlink>
      <w:r>
        <w:rPr>
          <w:rStyle w:val="Text3"/>
        </w:rPr>
        <w:t xml:space="preserve"> </w:t>
      </w:r>
      <w:r>
        <w:t xml:space="preserve"> , местную Полицию Безопасности и отряд Хиви в 350 или 400 человек. </w:t>
        <w:t>Чем б</w:t>
        <w:t xml:space="preserve">ольшее давление на участников чистки гетто создавал </w:t>
        <w:t>недостаток людей, тем</w:t>
        <w:t xml:space="preserve"> больше зверств и жестокости для выполнения задачи </w:t>
        <w:t>они совершали</w:t>
        <w:t>.</w:t>
      </w:r>
    </w:p>
    <w:p>
      <w:pPr>
        <w:pStyle w:val="Para 05"/>
      </w:pPr>
      <w:r>
        <w:t xml:space="preserve"> Нетерпеливая попытка Глобочника начать депортации в Треблинку из северной части </w:t>
        <w:t>округа</w:t>
        <w:t xml:space="preserve"> Люблина, одновременно с теми, кого отправили из </w:t>
        <w:t>округов</w:t>
        <w:t xml:space="preserve"> Варшавы и Радома, оказал</w:t>
        <w:t>о</w:t>
        <w:t xml:space="preserve">сь слишком многим для пропускной способности лагеря смерти. К концу августа стремительно росло число ожидающих смерти евреев и число трупов, от которых нельзя было быстро избавиться. Перегруженная машина смерти сломалась. Депортации по всем </w:t>
        <w:t>округам</w:t>
        <w:t xml:space="preserve"> Варшав</w:t>
        <w:t>ы</w:t>
        <w:t>, Радом</w:t>
        <w:t>а</w:t>
        <w:t xml:space="preserve"> и Люблин</w:t>
        <w:t>а</w:t>
        <w:t xml:space="preserve"> временно приостановились — </w:t>
        <w:t>э</w:t>
        <w:t>то включало в себя два запланированных после 28 августа поезда из Лукува в Треблинку.</w:t>
      </w:r>
      <w:hyperlink w:anchor="__292">
        <w:r>
          <w:rPr>
            <w:rStyle w:val="Text2"/>
          </w:rPr>
          <w:bookmarkStart w:id="343" w:name="292"/>
          <w:t>292</w:t>
          <w:bookmarkEnd w:id="343"/>
        </w:r>
      </w:hyperlink>
      <w:r>
        <w:rPr>
          <w:rStyle w:val="Text3"/>
        </w:rPr>
        <w:t xml:space="preserve"> </w:t>
      </w:r>
      <w:r>
        <w:t xml:space="preserve"> </w:t>
        <w:t xml:space="preserve"> Глобочник и его руководитель лагеря Кристиан Вирт поспешили в Треблинку для реорганизации лагеря. Из Собибора вызвали Франца Штангля и назначили комендантом — </w:t>
        <w:t>С</w:t>
        <w:t xml:space="preserve">обибор тогда из-за ремонта железнодорожных путей был относительно неактивен и был доступен только для окрестностей. </w:t>
        <w:t>3 сентября, п</w:t>
        <w:t xml:space="preserve">осле недели реорганизации, </w:t>
        <w:t>в</w:t>
        <w:t xml:space="preserve">озобновились депортации в Треблинку из Варшавы, а в середине сентября и из Радома. </w:t>
        <w:t xml:space="preserve">Тем временем члены Полицейского Резервного Батальона 101 наслаждались короткой передышкой. </w:t>
        <w:t>В</w:t>
        <w:t xml:space="preserve"> северном Люблине </w:t>
        <w:t>у</w:t>
        <w:t xml:space="preserve">бийства возобновились лишь в </w:t>
        <w:t xml:space="preserve">конце </w:t>
        <w:t>сентябр</w:t>
        <w:t>я</w:t>
        <w:t>.</w:t>
      </w:r>
      <w:r>
        <w:rPr>
          <w:rStyle w:val="Text7"/>
        </w:rPr>
        <w:t xml:space="preserve"> </w:t>
      </w:r>
    </w:p>
    <w:p>
      <w:pPr>
        <w:pStyle w:val="Heading 2"/>
      </w:pPr>
      <w:r>
        <w:bookmarkStart w:id="344" w:name="anchor26"/>
        <w:t/>
        <w:bookmarkEnd w:id="344"/>
        <w:t>Глава 11</w:t>
        <w:bookmarkStart w:id="345" w:name="anchor72"/>
        <w:t/>
        <w:bookmarkEnd w:id="345"/>
        <w:bookmarkStart w:id="346" w:name="anchor73"/>
        <w:t/>
        <w:bookmarkEnd w:id="346"/>
      </w:r>
    </w:p>
    <w:p>
      <w:pPr>
        <w:pStyle w:val="Para 11"/>
      </w:pPr>
      <w:r>
        <w:bookmarkStart w:id="347" w:name="anchor27"/>
        <w:t/>
        <w:bookmarkEnd w:id="347"/>
        <w:t>Расстрелы поздним сентя</w:t>
        <w:t>б</w:t>
        <w:t>р</w:t>
        <w:t>е</w:t>
        <w:t>м</w:t>
      </w:r>
    </w:p>
    <w:p>
      <w:pPr>
        <w:pStyle w:val="Para 09"/>
      </w:pPr>
      <w:r>
        <w:t xml:space="preserve"> </w:t>
        <w:br w:clear="none"/>
      </w:r>
    </w:p>
    <w:p>
      <w:pPr>
        <w:pStyle w:val="Para 05"/>
      </w:pPr>
      <w:r>
        <w:rPr>
          <w:rStyle w:val="Text6"/>
        </w:rPr>
        <w:t/>
      </w:r>
      <w:r>
        <w:t xml:space="preserve">Незадолго до возобновления депортаций в северной зоне безопасности </w:t>
        <w:t>округа</w:t>
        <w:t xml:space="preserve"> Люблина Полицейский Резервный Батальон 101 поучаствовал в нескольких массовых расстрелах. Первый произошёл в деревне Серокомл</w:t>
        <w:t>я</w:t>
        <w:t xml:space="preserve"> [Serokomla], где-то в девяти километрах к северо-западу от Коцка. Серокомл</w:t>
        <w:t>я</w:t>
        <w:t xml:space="preserve"> уже переживала одну бойню в мае 1940-</w:t>
        <w:t>го</w:t>
        <w:t xml:space="preserve"> от рук этнических немцев, организованных в отряды «линчевателей», известных как Самооборона</w:t>
      </w:r>
      <w:hyperlink w:anchor="__293">
        <w:r>
          <w:rPr>
            <w:rStyle w:val="Text2"/>
          </w:rPr>
          <w:bookmarkStart w:id="348" w:name="293"/>
          <w:t>293</w:t>
          <w:bookmarkEnd w:id="348"/>
        </w:r>
      </w:hyperlink>
      <w:r>
        <w:rPr>
          <w:rStyle w:val="Text3"/>
        </w:rPr>
        <w:t xml:space="preserve"> </w:t>
      </w:r>
      <w:r>
        <w:t xml:space="preserve"> </w:t>
        <w:t>. Эти подразделения сформировались</w:t>
      </w:r>
      <w:hyperlink w:anchor="__294">
        <w:r>
          <w:rPr>
            <w:rStyle w:val="Text2"/>
          </w:rPr>
          <w:bookmarkStart w:id="349" w:name="294"/>
          <w:t>294</w:t>
          <w:bookmarkEnd w:id="349"/>
        </w:r>
      </w:hyperlink>
      <w:r>
        <w:rPr>
          <w:rStyle w:val="Text3"/>
        </w:rPr>
        <w:t xml:space="preserve"> </w:t>
      </w:r>
      <w:r>
        <w:t xml:space="preserve"> </w:t>
        <w:t xml:space="preserve"> на территории оккупированной Польши осенью 1939 и весной 1940 </w:t>
        <w:t xml:space="preserve">гг. </w:t>
        <w:t xml:space="preserve">под командованием близкого друга Генриха Гиммлера — Людольф-Германа фон Альвенслебена. Проведя серию массовых убийств, включая ту в Серокомле, «Самооборона» была реорганизована в «спецслужбу» </w:t>
        <w:t>[</w:t>
        <w:t>Sonderdienst</w:t>
        <w:t>]</w:t>
        <w:t xml:space="preserve"> и была передана под юрисдикцию глав </w:t>
        <w:t>районных</w:t>
        <w:t xml:space="preserve"> гражданских администраций.</w:t>
      </w:r>
      <w:hyperlink w:anchor="__295">
        <w:r>
          <w:rPr>
            <w:rStyle w:val="Text2"/>
          </w:rPr>
          <w:bookmarkStart w:id="350" w:name="295"/>
          <w:t>295</w:t>
          <w:bookmarkEnd w:id="350"/>
        </w:r>
      </w:hyperlink>
      <w:r>
        <w:rPr>
          <w:rStyle w:val="Text3"/>
        </w:rPr>
        <w:t xml:space="preserve"> </w:t>
      </w:r>
      <w:r>
        <w:t xml:space="preserve"> </w:t>
      </w:r>
      <w:r>
        <w:rPr>
          <w:rStyle w:val="Text6"/>
        </w:rPr>
        <w:t xml:space="preserve"> </w:t>
      </w:r>
    </w:p>
    <w:p>
      <w:pPr>
        <w:pStyle w:val="Para 02"/>
      </w:pPr>
      <w:r>
        <w:t xml:space="preserve">В сентябре 1942 </w:t>
        <w:t>г.</w:t>
        <w:t xml:space="preserve"> немцы вновь посетили Серокомл</w:t>
        <w:t>ю</w:t>
        <w:t xml:space="preserve">. В близлежащем Коцке располагался взвод первой роты лейтенанта Бранда. </w:t>
        <w:t xml:space="preserve">От него поступил </w:t>
        <w:t>приказал сержанту Гансу Келлеру и десяти людям взвода собрать евреев в округе Серокомл</w:t>
        <w:t>и</w:t>
        <w:t xml:space="preserve"> и привести их в деревню.</w:t>
      </w:r>
      <w:hyperlink w:anchor="__296">
        <w:r>
          <w:rPr>
            <w:rStyle w:val="Text2"/>
          </w:rPr>
          <w:bookmarkStart w:id="351" w:name="296"/>
          <w:t>296</w:t>
          <w:bookmarkEnd w:id="351"/>
        </w:r>
      </w:hyperlink>
      <w:r>
        <w:rPr>
          <w:rStyle w:val="Text3"/>
        </w:rPr>
        <w:t xml:space="preserve"> </w:t>
      </w:r>
      <w:r>
        <w:t xml:space="preserve"> Тогда, ранним утром 22 сентября, взвод Бранда выехал из Коцка и на перекрёстке стал ждать </w:t>
        <w:t>остальных</w:t>
        <w:t xml:space="preserve">. К ним постепенно присоединились отряды первой роты под командованием Волауфа, прибывшие из Радзиня в двадцати километрах к северо-востоку, а так же первый взвод третьей роты под командованием лейтенанта Питерса, расположенного ранее в Чемерниках в пятнадцати километрах к востоку. Под командованием капитана Волауфа полицейские </w:t>
        <w:t>запаса</w:t>
        <w:t xml:space="preserve"> выдвинулись в Серокомл</w:t>
        <w:t>ю</w:t>
        <w:t>.</w:t>
      </w:r>
    </w:p>
    <w:p>
      <w:pPr>
        <w:pStyle w:val="Para 02"/>
      </w:pPr>
      <w:r>
        <w:t xml:space="preserve">Незадолго до прибытия в деревню Волауф остановил конвой и раздал приказы. </w:t>
        <w:t>Н</w:t>
        <w:t xml:space="preserve">а двух холмах </w:t>
        <w:t>за чертой города</w:t>
        <w:t>, как на удобных точках обзора, следовало расположить пулемёты. Часть людей взвода Бранда получила распоряжение сформировать кордон вокруг еврейского квартала деревни, а остальная часть первой роты отправилась собирать еврейское население.</w:t>
      </w:r>
      <w:hyperlink w:anchor="__297">
        <w:r>
          <w:rPr>
            <w:rStyle w:val="Text2"/>
          </w:rPr>
          <w:bookmarkStart w:id="352" w:name="297"/>
          <w:t>297</w:t>
          <w:bookmarkEnd w:id="352"/>
        </w:r>
      </w:hyperlink>
      <w:r>
        <w:rPr>
          <w:rStyle w:val="Text3"/>
        </w:rPr>
        <w:t xml:space="preserve"> </w:t>
      </w:r>
      <w:r>
        <w:t xml:space="preserve"> </w:t>
      </w:r>
    </w:p>
    <w:p>
      <w:pPr>
        <w:pStyle w:val="Para 02"/>
      </w:pPr>
      <w:r>
        <w:t>Пока ещё Волауф ничего про стрельбу не говорил кроме стандартного — непрямые отсылки на то, что любые попытавшиеся сбежать или спрятаться подлежали казни на месте, как и все неспособные к перемещению. Однако оставшийся в резерве взвод лейтенанта Питерса послали меньше чем за километр от деревни в сторону гравийного карьера и гор отходов. Сержанту Келлеру, наблюдавшему с пулемётной точки на холме дислокацию отрядов, было очевидно, что евреев Серокомл</w:t>
        <w:t>и</w:t>
        <w:t xml:space="preserve"> расстреляют, хотя Волауф упоминал перед людьми лишь «переселение».</w:t>
      </w:r>
    </w:p>
    <w:p>
      <w:pPr>
        <w:pStyle w:val="Para 02"/>
      </w:pPr>
      <w:r>
        <w:t xml:space="preserve"> Этим тёплым солнечным днём около </w:t>
        <w:t>11</w:t>
        <w:t xml:space="preserve"> утра завершился сбор евреев — около 200 или 300 человек — </w:t>
        <w:t xml:space="preserve">после чего </w:t>
        <w:t>Волауф «внезапно» объявил о казни всех этих евреев.</w:t>
      </w:r>
      <w:hyperlink w:anchor="__298">
        <w:r>
          <w:rPr>
            <w:rStyle w:val="Text2"/>
          </w:rPr>
          <w:bookmarkStart w:id="353" w:name="298"/>
          <w:t>298</w:t>
          <w:bookmarkEnd w:id="353"/>
        </w:r>
      </w:hyperlink>
      <w:r>
        <w:rPr>
          <w:rStyle w:val="Text3"/>
        </w:rPr>
        <w:t xml:space="preserve"> </w:t>
      </w:r>
      <w:r>
        <w:t xml:space="preserve"> </w:t>
        <w:t xml:space="preserve"> К гравийному карьеру на помощь взводу лейтенанта Питерса послали людей из первой роты под командованием сержанта Юриха*. Около полудня оставшиеся члены первой роты группами от двадцати до тридцати евреев погнали «переселенцев» из деревни.</w:t>
      </w:r>
      <w:r>
        <w:rPr>
          <w:rStyle w:val="Text11"/>
        </w:rPr>
        <w:t xml:space="preserve"> </w:t>
      </w:r>
    </w:p>
    <w:p>
      <w:pPr>
        <w:pStyle w:val="Para 02"/>
      </w:pPr>
      <w:r>
        <w:t>В Юзефуве люди взвода лейтенанта Питерса стояли в кордоне и не участвовали в расстрелах, в Ломазы они отсутствовали, но в Серокомле, наконец, настала их очередь.</w:t>
      </w:r>
    </w:p>
    <w:p>
      <w:pPr>
        <w:pStyle w:val="Para 02"/>
      </w:pPr>
      <w:r>
        <w:t>Без помощи опытных Хиви, как было в Ломазы, Волауф организовал казни в стиле Юзефува. Группы по двадцать или тридцать евреев гнали к ямам и передавали равному количеству полицейских из групп Питерса и Юриха. Таким образом, каждый полицейский вновь столкнулся лицом к лицу с евреем, которого ему предстояло застрелить. Евреев не заставляли раздеваться, ценности не собирали. Никто «рабочи</w:t>
        <w:t>х-</w:t>
        <w:t xml:space="preserve">евреев» не отбирал. Всех </w:t>
        <w:t>людей,</w:t>
        <w:t xml:space="preserve"> независимо от возраста и пола, предстояло убить.</w:t>
      </w:r>
    </w:p>
    <w:p>
      <w:pPr>
        <w:pStyle w:val="Para 02"/>
      </w:pPr>
      <w:r>
        <w:t>Полицейские расстрельных команд отводили евреев к кучам мусора и двухметровых ям с гравием, где жертв ставили на самый край лицом в пропасть. По команде полицейские с близкого расстояния стреляли им в шеи. Тела падали вниз. Следующую группу евреев ставили на место предыдущих, так что им приходилось смотреть сверху вниз на растущую гору трупов их близких и друзей, а потом и присоединяться к ним. Точки расстрелов сменялись только после множества казней.</w:t>
      </w:r>
    </w:p>
    <w:p>
      <w:pPr>
        <w:pStyle w:val="Para 02"/>
      </w:pPr>
      <w:r>
        <w:t xml:space="preserve">Во время расстрелов сержант Келлер спустился с пулемётной точки поговорить с сержантом Юрихом. Пока они вблизи наблюдали за казнями, Юрих жаловался на Волауфа — </w:t>
        <w:t>п</w:t>
        <w:t>осле того как капитан приказал это «дерьмо», он «улизнул» в Серокомл</w:t>
        <w:t>ю</w:t>
        <w:t xml:space="preserve"> и отсиживался в станции польской полиции.</w:t>
      </w:r>
      <w:hyperlink w:anchor="__299">
        <w:r>
          <w:rPr>
            <w:rStyle w:val="Text2"/>
          </w:rPr>
          <w:bookmarkStart w:id="354" w:name="299"/>
          <w:t>299</w:t>
          <w:bookmarkEnd w:id="354"/>
        </w:r>
      </w:hyperlink>
      <w:r>
        <w:rPr>
          <w:rStyle w:val="Text3"/>
        </w:rPr>
        <w:t xml:space="preserve"> </w:t>
      </w:r>
      <w:r>
        <w:t xml:space="preserve"> Не имея возможности повыпендриваться перед невестой, которая в этот раз с ним не поехала, Волауф, судя по всему, не имел желания присутствовать при убийствах. Впоследствии Волауф утверждал, что о Серокомле ничего не помнит. Возможно его ум был тогда уже был занят предстоящей поездкой в Германию с невестой.</w:t>
      </w:r>
    </w:p>
    <w:p>
      <w:pPr>
        <w:pStyle w:val="Para 02"/>
      </w:pPr>
      <w:r>
        <w:t xml:space="preserve">Расстрелы продолжались до трёх часов дня. Захоронения не было, тела просто оставили лежать в гравийных ямах. В Коцке полицейские остановились пообедать, </w:t>
        <w:t>а в</w:t>
        <w:t>ечером в бараках их уже ждал дополнительный рацион алкоголя.</w:t>
      </w:r>
      <w:hyperlink w:anchor="__300">
        <w:r>
          <w:rPr>
            <w:rStyle w:val="Text2"/>
          </w:rPr>
          <w:bookmarkStart w:id="355" w:name="300"/>
          <w:t>300</w:t>
          <w:bookmarkEnd w:id="355"/>
        </w:r>
      </w:hyperlink>
      <w:r>
        <w:rPr>
          <w:rStyle w:val="Text3"/>
        </w:rPr>
        <w:t xml:space="preserve"> </w:t>
      </w:r>
      <w:r>
        <w:t xml:space="preserve"> </w:t>
      </w:r>
    </w:p>
    <w:p>
      <w:pPr>
        <w:pStyle w:val="Para 02"/>
      </w:pPr>
      <w:r>
        <w:t>Тремя днями после массового убийства в Серокомле, сержант первой роты Джобст*, одетый в гражданское и сопровождаемый польским переводчиком, отправился из Коцка на рандеву — ловушку. Её целью был член польского сопротивления, скрывавшийся где-то между деревнями Серокомл</w:t>
        <w:t>я</w:t>
        <w:t xml:space="preserve"> и Тальчин [Talczyn]. Ловушка сработала, и партизана захватили, </w:t>
        <w:t xml:space="preserve">но </w:t>
        <w:t>на пути назад в Коцк через Тальчин Джобст сам попал в засаду и был убит. Польск</w:t>
        <w:t>ому</w:t>
        <w:t xml:space="preserve"> переводчик</w:t>
        <w:t>у удалось</w:t>
        <w:t xml:space="preserve"> сбежа</w:t>
        <w:t>ть</w:t>
        <w:t xml:space="preserve"> и поздней ночью </w:t>
        <w:t>он</w:t>
        <w:t xml:space="preserve"> добрался до Коцка, </w:t>
        <w:t xml:space="preserve">где </w:t>
        <w:t>переда</w:t>
        <w:t>л</w:t>
        <w:t xml:space="preserve"> новость о гибели сержанта.</w:t>
      </w:r>
      <w:hyperlink w:anchor="__301">
        <w:r>
          <w:rPr>
            <w:rStyle w:val="Text2"/>
          </w:rPr>
          <w:bookmarkStart w:id="356" w:name="301"/>
          <w:t>301</w:t>
          <w:bookmarkEnd w:id="356"/>
        </w:r>
      </w:hyperlink>
      <w:r>
        <w:rPr>
          <w:rStyle w:val="Text3"/>
        </w:rPr>
        <w:t xml:space="preserve"> </w:t>
      </w:r>
      <w:r>
        <w:t xml:space="preserve"> </w:t>
      </w:r>
    </w:p>
    <w:p>
      <w:pPr>
        <w:pStyle w:val="Para 02"/>
      </w:pPr>
      <w:r>
        <w:t>Около полуночи сержант Юрих связался со штабом батальона в Радзине и доложил об убийстве Джобста.</w:t>
      </w:r>
      <w:hyperlink w:anchor="__302">
        <w:r>
          <w:rPr>
            <w:rStyle w:val="Text2"/>
          </w:rPr>
          <w:bookmarkStart w:id="357" w:name="302"/>
          <w:t>302</w:t>
          <w:bookmarkEnd w:id="357"/>
        </w:r>
      </w:hyperlink>
      <w:r>
        <w:rPr>
          <w:rStyle w:val="Text3"/>
        </w:rPr>
        <w:t xml:space="preserve"> </w:t>
      </w:r>
      <w:r>
        <w:t xml:space="preserve"> Во время разговора по телефону с Келлером у него сложилось впечатление, что в штабе не собираются никак наказывать деревню. Однако вскоре поступил звонок от майора Траппа из Радзиня. Тот передал приказ из Люблина в качестве возмездия расстрелять </w:t>
        <w:t>200</w:t>
        <w:t xml:space="preserve"> человек.</w:t>
      </w:r>
      <w:hyperlink w:anchor="__303">
        <w:r>
          <w:rPr>
            <w:rStyle w:val="Text2"/>
          </w:rPr>
          <w:bookmarkStart w:id="358" w:name="303"/>
          <w:t>303</w:t>
          <w:bookmarkEnd w:id="358"/>
        </w:r>
      </w:hyperlink>
      <w:r>
        <w:rPr>
          <w:rStyle w:val="Text3"/>
        </w:rPr>
        <w:t xml:space="preserve"> </w:t>
      </w:r>
      <w:r>
        <w:t xml:space="preserve"> </w:t>
      </w:r>
    </w:p>
    <w:p>
      <w:pPr>
        <w:pStyle w:val="Para 02"/>
      </w:pPr>
      <w:r>
        <w:t>Тот же состав, что участвовал в Серокомле четырьмя днями ранее 26 сентября, вновь встретился на том же перекрёстке недалеко от Коцка. Волауф в этот раз не командовал, так как уже отбыл в Германию. Вместо него лично принял командование майор Трапп, сопровождаемый своим адъютантом лейтенантом Хагеном и персоналом штаба батальона.</w:t>
      </w:r>
    </w:p>
    <w:p>
      <w:pPr>
        <w:pStyle w:val="Para 02"/>
      </w:pPr>
      <w:r>
        <w:t>По прибытию в Тальчин всей первой роте продемонстрировали тело сержанта Джобста, котор</w:t>
        <w:t>ый</w:t>
        <w:t xml:space="preserve"> так и лежал на улице на окраине посёлка.</w:t>
      </w:r>
      <w:hyperlink w:anchor="__304">
        <w:r>
          <w:rPr>
            <w:rStyle w:val="Text2"/>
          </w:rPr>
          <w:bookmarkStart w:id="359" w:name="304"/>
          <w:t>304</w:t>
          <w:bookmarkEnd w:id="359"/>
        </w:r>
      </w:hyperlink>
      <w:r>
        <w:rPr>
          <w:rStyle w:val="Text3"/>
        </w:rPr>
        <w:t xml:space="preserve"> </w:t>
      </w:r>
      <w:r>
        <w:t xml:space="preserve"> Посёлок опечатали, польских жителей вытащили из своих домов и собрали в школе. В деревне мужчин было мало — многие уже сбежали</w:t>
      </w:r>
      <w:hyperlink w:anchor="__305">
        <w:r>
          <w:rPr>
            <w:rStyle w:val="Text2"/>
          </w:rPr>
          <w:bookmarkStart w:id="360" w:name="305"/>
          <w:t>305</w:t>
          <w:bookmarkEnd w:id="360"/>
        </w:r>
      </w:hyperlink>
      <w:r>
        <w:rPr>
          <w:rStyle w:val="Text3"/>
        </w:rPr>
        <w:t xml:space="preserve"> </w:t>
      </w:r>
      <w:r>
        <w:t xml:space="preserve"> — но оставшихся собрали в школьном спортзале, где Трапп собирался провести отбор.</w:t>
      </w:r>
    </w:p>
    <w:p>
      <w:pPr>
        <w:pStyle w:val="Para 02"/>
      </w:pPr>
      <w:r>
        <w:t>Очевидно стараясь как можно меньше сердить местное население, Трапп и Хаген в вопросе отбора консультировались с польским мэром. Только две категории поляков оказались под ударом — незнакомцы и временные жители Тальчина с одной стороны, и «без необходимых средств к существованию» с другой.</w:t>
      </w:r>
      <w:hyperlink w:anchor="__306">
        <w:r>
          <w:rPr>
            <w:rStyle w:val="Text2"/>
          </w:rPr>
          <w:bookmarkStart w:id="361" w:name="306"/>
          <w:t>306</w:t>
          <w:bookmarkEnd w:id="361"/>
        </w:r>
      </w:hyperlink>
      <w:r>
        <w:rPr>
          <w:rStyle w:val="Text3"/>
        </w:rPr>
        <w:t xml:space="preserve"> </w:t>
      </w:r>
      <w:r>
        <w:t xml:space="preserve"> В одной из классных комнат школы отчаянно плакала и орала задержанная женщина, и Трапп послал как минимум одного полицейского успокоить её.</w:t>
      </w:r>
      <w:hyperlink w:anchor="__307">
        <w:r>
          <w:rPr>
            <w:rStyle w:val="Text2"/>
          </w:rPr>
          <w:bookmarkStart w:id="362" w:name="307"/>
          <w:t>307</w:t>
          <w:bookmarkEnd w:id="362"/>
        </w:r>
      </w:hyperlink>
      <w:r>
        <w:rPr>
          <w:rStyle w:val="Text3"/>
        </w:rPr>
        <w:t xml:space="preserve"> </w:t>
      </w:r>
      <w:r>
        <w:t xml:space="preserve"> Отобрали </w:t>
        <w:t>78</w:t>
        <w:t xml:space="preserve"> польских мужчин — </w:t>
        <w:t>и</w:t>
        <w:t>х вывели из города и расстреляли. Как вспоминал немецкий полицейский, они стреляли только «беднейших из бедных».</w:t>
      </w:r>
      <w:hyperlink w:anchor="__308">
        <w:r>
          <w:rPr>
            <w:rStyle w:val="Text2"/>
          </w:rPr>
          <w:bookmarkStart w:id="363" w:name="308"/>
          <w:t>308</w:t>
          <w:bookmarkEnd w:id="363"/>
        </w:r>
      </w:hyperlink>
      <w:r>
        <w:rPr>
          <w:rStyle w:val="Text3"/>
        </w:rPr>
        <w:t xml:space="preserve"> </w:t>
      </w:r>
      <w:r>
        <w:t xml:space="preserve"> </w:t>
      </w:r>
    </w:p>
    <w:p>
      <w:pPr>
        <w:pStyle w:val="Para 02"/>
      </w:pPr>
      <w:r>
        <w:rPr>
          <w:rStyle w:val="Text11"/>
        </w:rPr>
        <w:t/>
      </w:r>
      <w:r>
        <w:t xml:space="preserve">Лейтенант Бухман повёл часть людей сразу в Радзинь, но другая часть осталась на ланч в Коцке. Во время еды они узнали, что убийства </w:t>
        <w:t xml:space="preserve">на </w:t>
        <w:t xml:space="preserve">сегодня ещё не закончились. Все ещё не выполнив квоту по убийству </w:t>
        <w:t>200</w:t>
        <w:t xml:space="preserve"> человек, Траппу, судя по всему, пришла в голову изобретательная идея как выполнить задачу и не разозлить местное население — вместо расстрела поляков в Тальчине его полицейские расстреляют евреев из гетто Коцка.</w:t>
      </w:r>
      <w:hyperlink w:anchor="__309">
        <w:r>
          <w:rPr>
            <w:rStyle w:val="Text2"/>
          </w:rPr>
          <w:bookmarkStart w:id="364" w:name="309"/>
          <w:t>309</w:t>
          <w:bookmarkEnd w:id="364"/>
        </w:r>
      </w:hyperlink>
      <w:r>
        <w:rPr>
          <w:rStyle w:val="Text3"/>
        </w:rPr>
        <w:t xml:space="preserve"> </w:t>
      </w:r>
      <w:r>
        <w:t xml:space="preserve"> </w:t>
      </w:r>
      <w:r>
        <w:rPr>
          <w:rStyle w:val="Text11"/>
        </w:rPr>
        <w:t xml:space="preserve"> </w:t>
      </w:r>
    </w:p>
    <w:p>
      <w:pPr>
        <w:pStyle w:val="Para 02"/>
      </w:pPr>
      <w:r>
        <w:t>Один немецкий полицейский — водитель на пути в Радзинь — утверждал, что остановился в гетто предупредить о неминуемом.</w:t>
      </w:r>
      <w:hyperlink w:anchor="__310">
        <w:r>
          <w:rPr>
            <w:rStyle w:val="Text2"/>
          </w:rPr>
          <w:bookmarkStart w:id="365" w:name="310"/>
          <w:t>310</w:t>
          <w:bookmarkEnd w:id="365"/>
        </w:r>
      </w:hyperlink>
      <w:r>
        <w:rPr>
          <w:rStyle w:val="Text3"/>
        </w:rPr>
        <w:t xml:space="preserve"> </w:t>
      </w:r>
      <w:r>
        <w:t xml:space="preserve"> Однако такое предупреждение было бесполезно для уже </w:t>
        <w:t>находившихся</w:t>
        <w:t xml:space="preserve"> в ловушк</w:t>
        <w:t>е людей</w:t>
        <w:t xml:space="preserve">. Поисковые отряды немецкой полиции вошли в гетто и хватали всех кого могли, независимо от пола и возраста. Старых евреев, неспособных ходить, стреляли на месте. Один полицейский позже дал показания: «Хоть я и был назначен на поиски, мне </w:t>
        <w:t xml:space="preserve">и </w:t>
        <w:t>тут удалось покрутиться по улицам изображая деятельность. Я не одобрял действия против евреев в любой форме и таким образом, не застрелил ни одного».</w:t>
      </w:r>
      <w:hyperlink w:anchor="__311">
        <w:r>
          <w:rPr>
            <w:rStyle w:val="Text2"/>
          </w:rPr>
          <w:bookmarkStart w:id="366" w:name="311"/>
          <w:t>311</w:t>
          <w:bookmarkEnd w:id="366"/>
        </w:r>
      </w:hyperlink>
      <w:r>
        <w:rPr>
          <w:rStyle w:val="Text3"/>
        </w:rPr>
        <w:t xml:space="preserve"> </w:t>
      </w:r>
      <w:r>
        <w:t xml:space="preserve"> </w:t>
      </w:r>
    </w:p>
    <w:p>
      <w:pPr>
        <w:pStyle w:val="Para 02"/>
      </w:pPr>
      <w:r>
        <w:t xml:space="preserve">Однако как обычно, малая часть </w:t>
        <w:t xml:space="preserve">уклонистов или отказников </w:t>
        <w:t xml:space="preserve">выполнению самой задачи никак не помешала. Пойманных в «невод» евреев тащили из гетто в большой дом с огороженным стеной двором. Группами по тридцать их </w:t>
        <w:t>отводили</w:t>
        <w:t xml:space="preserve"> туда и заставляли лечь рядом со стеной, </w:t>
        <w:t>где</w:t>
        <w:t xml:space="preserve"> у</w:t>
        <w:t>нтер-офицеры с пистолетами-пулемётами казнили их по приказу лейтенанта Бранда. Тела оставили лежать до следующего дня, пока «рабочих-евреев» из гетто не отправили закопать их в братскую могилу.</w:t>
      </w:r>
      <w:hyperlink w:anchor="__312">
        <w:r>
          <w:rPr>
            <w:rStyle w:val="Text2"/>
          </w:rPr>
          <w:bookmarkStart w:id="367" w:name="312"/>
          <w:t>312</w:t>
          <w:bookmarkEnd w:id="367"/>
        </w:r>
      </w:hyperlink>
      <w:r>
        <w:rPr>
          <w:rStyle w:val="Text3"/>
        </w:rPr>
        <w:t xml:space="preserve"> </w:t>
      </w:r>
      <w:r>
        <w:t xml:space="preserve"> </w:t>
        <w:t xml:space="preserve"> Незамедлительно в Люблин пришел рапорт от м</w:t>
        <w:t>айор</w:t>
        <w:t>а</w:t>
        <w:t xml:space="preserve"> Трапп</w:t>
        <w:t>а</w:t>
        <w:t>, что в качестве возмездия за засаду на Джобста в Тальчине казнили 3 «бандитов», 78 польских «пособников» и 180 евреев.</w:t>
      </w:r>
      <w:hyperlink w:anchor="__313">
        <w:r>
          <w:rPr>
            <w:rStyle w:val="Text2"/>
          </w:rPr>
          <w:bookmarkStart w:id="368" w:name="313"/>
          <w:t>313</w:t>
          <w:bookmarkEnd w:id="368"/>
        </w:r>
      </w:hyperlink>
      <w:r>
        <w:rPr>
          <w:rStyle w:val="Text3"/>
        </w:rPr>
        <w:t xml:space="preserve"> </w:t>
      </w:r>
      <w:r>
        <w:t xml:space="preserve"> Судя по всему, человек, проплакавший всю массовую казнь в Юзефуве, который раньше ещё отказывался без дискриминации вырезать евреев больше не имел никаких внутренних запретов на расстрел необходимого для выполнения квоты количества </w:t>
        <w:t>людей</w:t>
        <w:t>.</w:t>
      </w:r>
    </w:p>
    <w:p>
      <w:pPr>
        <w:pStyle w:val="Para 02"/>
      </w:pPr>
      <w:r>
        <w:t xml:space="preserve">Если майору Траппу удалось примириться со своей ролью убийцы польских евреев, то лейтенанту Бухману нет. После Юзефува он проинформировал Траппа, что будет участвовать только получив прямой приказ на убийство от самого Траппа, </w:t>
        <w:t>а</w:t>
        <w:t xml:space="preserve"> так же попросил о переводе. Делая такой запрос, Бухман имел важное преимущество в сравнении с остальными — ещё до офицерской подготовки он служил водителем Траппа во время первого визита батальона в Польшу в 1939-</w:t>
        <w:t>м</w:t>
        <w:t xml:space="preserve">, </w:t>
        <w:t>т</w:t>
        <w:t>ак что он знал Траппа лично. Он чувствовал, что Трапп «понимал» его и не был «возмущён» занятой Бухманом позицией.</w:t>
      </w:r>
      <w:hyperlink w:anchor="__314">
        <w:r>
          <w:rPr>
            <w:rStyle w:val="Text2"/>
          </w:rPr>
          <w:bookmarkStart w:id="369" w:name="314"/>
          <w:t>314</w:t>
          <w:bookmarkEnd w:id="369"/>
        </w:r>
      </w:hyperlink>
      <w:r>
        <w:rPr>
          <w:rStyle w:val="Text3"/>
        </w:rPr>
        <w:t xml:space="preserve"> </w:t>
      </w:r>
      <w:r>
        <w:t xml:space="preserve"> </w:t>
      </w:r>
    </w:p>
    <w:p>
      <w:pPr>
        <w:pStyle w:val="Para 02"/>
      </w:pPr>
      <w:r>
        <w:t/>
        <w:t>Транс</w:t>
        <w:t xml:space="preserve">фер в Германию для Бухмана </w:t>
        <w:t>Трапп</w:t>
        <w:t>у</w:t>
        <w:t xml:space="preserve"> удалось заполучить </w:t>
        <w:t xml:space="preserve">не сразу, но он защищал его и удовлетворял его просьбу по неучастию в еврейских делах. Бухман </w:t>
        <w:t>был расквартирован</w:t>
        <w:t xml:space="preserve"> в Радзине в том же здании, что и штаб батальона, так что несложно было выработать процедуру обхода «отказа от выполнения приказов». Когда планировал</w:t>
        <w:t>а</w:t>
        <w:t xml:space="preserve">сь акция против евреев, </w:t>
        <w:t xml:space="preserve">то </w:t>
        <w:t xml:space="preserve">приказ </w:t>
        <w:t xml:space="preserve">об этом </w:t>
        <w:t xml:space="preserve">передавали напрямую из штаба заместителю Бухмана — сержанту Грунду*. Грунд спрашивал Бухмана — хотел бы тот сопровождать взвод к предстоящей акции. </w:t>
        <w:t xml:space="preserve">По вопросу </w:t>
        <w:t>Бухман понимал, что предстоит акция против евреев, и отказывался. Таким образом, он не присутствовал вместе с первой ротой ни при Мендзыжеце, ни при Серокомле. В Тальчине же вс</w:t>
        <w:t>ё</w:t>
        <w:t xml:space="preserve"> начиналось не так, поэтому Бухман присутствовал в школе, когда Трапп отбирал поляков. </w:t>
        <w:t>Хотя</w:t>
        <w:t xml:space="preserve"> не было случайностью </w:t>
        <w:t>то</w:t>
        <w:t>, что перед тем как начать массово казнить евреев гетто Коцка, тот сначала отправил Бухмана обратно в Радзинь.</w:t>
      </w:r>
    </w:p>
    <w:p>
      <w:pPr>
        <w:pStyle w:val="Para 02"/>
      </w:pPr>
      <w:r>
        <w:t>В Радзине Бухман не старался скрыть сво</w:t>
        <w:t>ё</w:t>
        <w:t xml:space="preserve"> мнение</w:t>
        <w:t>. Наоборот, он «возмущался отношением к евреям и открыто выражал свою позицию при любой возможности».</w:t>
      </w:r>
      <w:hyperlink w:anchor="__315">
        <w:r>
          <w:rPr>
            <w:rStyle w:val="Text2"/>
          </w:rPr>
          <w:bookmarkStart w:id="370" w:name="315"/>
          <w:t>315</w:t>
          <w:bookmarkEnd w:id="370"/>
        </w:r>
      </w:hyperlink>
      <w:r>
        <w:rPr>
          <w:rStyle w:val="Text3"/>
        </w:rPr>
        <w:t xml:space="preserve"> </w:t>
      </w:r>
      <w:r>
        <w:t xml:space="preserve"> Для всех вокруг было очевидно, что Бухман «сдержанный», «утончённый» человек, «типичный гражданский» без какого-либо желания быть солдатом.</w:t>
      </w:r>
      <w:hyperlink w:anchor="__316">
        <w:r>
          <w:rPr>
            <w:rStyle w:val="Text2"/>
          </w:rPr>
          <w:bookmarkStart w:id="371" w:name="316"/>
          <w:t>316</w:t>
          <w:bookmarkEnd w:id="371"/>
        </w:r>
      </w:hyperlink>
      <w:r>
        <w:rPr>
          <w:rStyle w:val="Text3"/>
        </w:rPr>
        <w:t xml:space="preserve"> </w:t>
      </w:r>
      <w:r>
        <w:t xml:space="preserve"> </w:t>
      </w:r>
    </w:p>
    <w:p>
      <w:pPr>
        <w:pStyle w:val="Para 02"/>
      </w:pPr>
      <w:r>
        <w:t/>
        <w:t>Тальчин стал для Бухмана последний каплей.</w:t>
        <w:t xml:space="preserve"> По </w:t>
        <w:t>его</w:t>
        <w:t xml:space="preserve"> возращению вечером в барак, офисный служащий </w:t>
        <w:t>по</w:t>
        <w:t xml:space="preserve">пытался </w:t>
        <w:t xml:space="preserve">было </w:t>
        <w:t xml:space="preserve">передать ему доклад, но </w:t>
        <w:t>Бухман</w:t>
        <w:t xml:space="preserve"> «сразу </w:t>
        <w:t>же</w:t>
        <w:t xml:space="preserve"> ушёл в свою комнату и заперся </w:t>
        <w:t>в ней</w:t>
        <w:t xml:space="preserve">. Четыре дня со мной не разговаривал, хотя мы вроде </w:t>
        <w:t>бы</w:t>
        <w:t xml:space="preserve"> хорошо друг друга знали. Он был очень зол и горько жаловался, говоря что-то в духе: „Всё, </w:t>
        <w:t>отныне я этим дерьмом не занимаюсь</w:t>
        <w:t>. С меня довольно“».</w:t>
      </w:r>
      <w:hyperlink w:anchor="__317">
        <w:r>
          <w:rPr>
            <w:rStyle w:val="Text2"/>
          </w:rPr>
          <w:bookmarkStart w:id="372" w:name="317"/>
          <w:t>317</w:t>
          <w:bookmarkEnd w:id="372"/>
        </w:r>
      </w:hyperlink>
      <w:r>
        <w:rPr>
          <w:rStyle w:val="Text3"/>
        </w:rPr>
        <w:t xml:space="preserve"> </w:t>
      </w:r>
      <w:r>
        <w:t xml:space="preserve"> Бухман не только жаловался. В конце сентября написал </w:t>
        <w:t>на</w:t>
        <w:t>прямую в Гамбург, прося срочного перевода. Задачи его отряда в Польше — «чуждые полиции» — он больше выполнять не мог.</w:t>
      </w:r>
      <w:hyperlink w:anchor="__318">
        <w:r>
          <w:rPr>
            <w:rStyle w:val="Text2"/>
          </w:rPr>
          <w:bookmarkStart w:id="373" w:name="318"/>
          <w:t>318</w:t>
          <w:bookmarkEnd w:id="373"/>
        </w:r>
      </w:hyperlink>
      <w:r>
        <w:rPr>
          <w:rStyle w:val="Text3"/>
        </w:rPr>
        <w:t xml:space="preserve"> </w:t>
      </w:r>
      <w:r>
        <w:t xml:space="preserve"> </w:t>
      </w:r>
    </w:p>
    <w:p>
      <w:pPr>
        <w:pStyle w:val="Para 02"/>
      </w:pPr>
      <w:r>
        <w:t>Если поведение Бухмана Трапп терпел и защищал, то его люди реагировали смешано. «Среди моих подчинённых многие понимали мою позицию, но другие делали пренебрежительные комментарии обо мне и смотрели на меня свысока».</w:t>
      </w:r>
      <w:hyperlink w:anchor="__319">
        <w:r>
          <w:rPr>
            <w:rStyle w:val="Text2"/>
          </w:rPr>
          <w:bookmarkStart w:id="374" w:name="319"/>
          <w:t>319</w:t>
          <w:bookmarkEnd w:id="374"/>
        </w:r>
      </w:hyperlink>
      <w:r>
        <w:rPr>
          <w:rStyle w:val="Text3"/>
        </w:rPr>
        <w:t xml:space="preserve"> </w:t>
      </w:r>
      <w:r>
        <w:t xml:space="preserve"> Некоторые его люди следовали его примеру и говорили </w:t>
        <w:t>старшему</w:t>
        <w:t xml:space="preserve"> сержанту Каммеру, «что они и не могут, и не хотят больше принимать участия в подобных событиях». Рапорт на них Каммер не составлял, </w:t>
        <w:t>в</w:t>
        <w:t>место этого он кричал на них, называл «ни на что не годными» и «говнюками». Но по большей части он всё же освобождал их от участия в еврейских акциях.</w:t>
      </w:r>
      <w:hyperlink w:anchor="__320">
        <w:r>
          <w:rPr>
            <w:rStyle w:val="Text2"/>
          </w:rPr>
          <w:bookmarkStart w:id="375" w:name="320"/>
          <w:t>320</w:t>
          <w:bookmarkEnd w:id="375"/>
        </w:r>
      </w:hyperlink>
      <w:r>
        <w:rPr>
          <w:rStyle w:val="Text3"/>
        </w:rPr>
        <w:t xml:space="preserve"> </w:t>
      </w:r>
      <w:r>
        <w:t xml:space="preserve"> Поступая так, Каммер следовал заданному с самого начала Траппом примеру — пока нет нехватки готовых </w:t>
        <w:t xml:space="preserve">убивать </w:t>
        <w:t>по приказу, было проще терпеть Бухмана и его подражателей, чем разбираться с ними.</w:t>
      </w:r>
    </w:p>
    <w:p>
      <w:pPr>
        <w:pStyle w:val="Para 09"/>
      </w:pPr>
      <w:r>
        <w:t xml:space="preserve"> </w:t>
        <w:br w:clear="none"/>
      </w:r>
    </w:p>
    <w:p>
      <w:pPr>
        <w:pStyle w:val="Heading 2"/>
      </w:pPr>
      <w:r>
        <w:bookmarkStart w:id="376" w:name="anchor28"/>
        <w:t/>
        <w:bookmarkEnd w:id="376"/>
        <w:t>Глава 12</w:t>
        <w:bookmarkStart w:id="377" w:name="anchor74"/>
        <w:t/>
        <w:bookmarkEnd w:id="377"/>
        <w:bookmarkStart w:id="378" w:name="anchor75"/>
        <w:t/>
        <w:bookmarkEnd w:id="378"/>
      </w:r>
    </w:p>
    <w:p>
      <w:pPr>
        <w:pStyle w:val="Para 11"/>
      </w:pPr>
      <w:r>
        <w:bookmarkStart w:id="379" w:name="anchor29"/>
        <w:t/>
        <w:bookmarkEnd w:id="379"/>
        <w:t>Возобновление Депортаций</w:t>
      </w:r>
    </w:p>
    <w:p>
      <w:pPr>
        <w:pStyle w:val="Para 09"/>
      </w:pPr>
      <w:r>
        <w:t xml:space="preserve"> </w:t>
        <w:br w:clear="none"/>
      </w:r>
    </w:p>
    <w:p>
      <w:pPr>
        <w:pStyle w:val="Para 05"/>
      </w:pPr>
      <w:r>
        <w:rPr>
          <w:rStyle w:val="Text10"/>
        </w:rPr>
        <w:t/>
      </w:r>
      <w:r>
        <w:t xml:space="preserve">К концу сентября 1942 </w:t>
        <w:t>года</w:t>
        <w:t xml:space="preserve"> Полицейский Резервный Батальон 101 поучаствовал в расстреле примерно 4 600 евреев и 78 поляков, </w:t>
        <w:t>п</w:t>
        <w:t xml:space="preserve">омог депортировать около 15 000 евреев в лагерь смерти в Треблинке. Эта кровавая деятельность включала </w:t>
        <w:t xml:space="preserve">в </w:t>
        <w:t xml:space="preserve">себя восемь независимых акций, раскинутых на три месяца. Три из них — первая депортация из Парчева, расстрелы в Ломазы и депортация из Мендзыжеца проходили при помощи отрядов Хиви </w:t>
        <w:t xml:space="preserve">из </w:t>
        <w:t>Травников. Другие пять — Юзефув, вторая депортация из Парчева, Серокомл</w:t>
        <w:t>я</w:t>
        <w:t xml:space="preserve">, Тальчин и Коцк проводились полицейскими </w:t>
        <w:t>самостоятельно</w:t>
        <w:t>.</w:t>
      </w:r>
      <w:r>
        <w:rPr>
          <w:rStyle w:val="Text10"/>
        </w:rPr>
        <w:t xml:space="preserve"> </w:t>
      </w:r>
    </w:p>
    <w:p>
      <w:pPr>
        <w:pStyle w:val="Para 02"/>
      </w:pPr>
      <w:r>
        <w:t xml:space="preserve">Полицейским удалось раздельно сохранить эти события у себя в памяти, </w:t>
        <w:t xml:space="preserve">так что </w:t>
        <w:t>о</w:t>
        <w:t xml:space="preserve">ни могли часто детально описать их и довольно точно назвать даты. Однако интенсивность событий между началом октября и </w:t>
        <w:t>началом</w:t>
        <w:t xml:space="preserve"> ноября </w:t>
        <w:t xml:space="preserve">сильно увеличилась. Одна операция сразу следовала за другой в непрекращающемся потоке убийств, пока десятки тысяч евреев депортировались из </w:t>
        <w:t>райо</w:t>
        <w:t>на</w:t>
        <w:t xml:space="preserve"> Радзиня повторяющимися чистками гетто. Следовательно, очень сложно точно реконструировать события тех беспощадных шести недель. В памяти полицейских вс</w:t>
        <w:t>ё</w:t>
        <w:t xml:space="preserve"> перемешалось, одна акция смешивалась с другой. Они могли припомнить отдельные инциденты, но уже не могли разложить их в хронологическом порядке и на отдельные операции. Моя реконструкция этой </w:t>
        <w:t>стремительной</w:t>
        <w:t xml:space="preserve"> серии событий, с которой следовало соотносить запутанные воспоминания полицейских, основана в первую очередь на исследовании, проведённом сразу после окончания войны польско-еврейским историком Татьяной Брустин-Беренштейн и Еврейским Историческим Институтом в Варшаве.</w:t>
      </w:r>
      <w:hyperlink w:anchor="__321">
        <w:r>
          <w:rPr>
            <w:rStyle w:val="Text2"/>
          </w:rPr>
          <w:bookmarkStart w:id="380" w:name="321"/>
          <w:t>321</w:t>
          <w:bookmarkEnd w:id="380"/>
        </w:r>
      </w:hyperlink>
      <w:r>
        <w:rPr>
          <w:rStyle w:val="Text3"/>
        </w:rPr>
        <w:t xml:space="preserve"> </w:t>
      </w:r>
      <w:r>
        <w:t xml:space="preserve"> </w:t>
      </w:r>
    </w:p>
    <w:p>
      <w:pPr>
        <w:pStyle w:val="Para 02"/>
      </w:pPr>
      <w:r>
        <w:t/>
        <w:t>В начале</w:t>
        <w:t xml:space="preserve"> сентября изменилось </w:t>
        <w:t xml:space="preserve">распределение Полиции Порядка по </w:t>
        <w:t>округу</w:t>
        <w:t xml:space="preserve"> Люблина — </w:t>
        <w:t>с</w:t>
        <w:t xml:space="preserve">оздали четвертую зону безопасности, включавшую в себя Бяла-Подляска, Хрубешув [Hrubieszów] и Хелм на восточной границе </w:t>
        <w:t>округа</w:t>
        <w:t>. Это позволило перевести первый и второй взводы второй роты Гн</w:t>
        <w:t>а</w:t>
        <w:t>д</w:t>
        <w:t>е</w:t>
        <w:t xml:space="preserve"> из </w:t>
        <w:t>района</w:t>
        <w:t xml:space="preserve"> Бяла-Подляска в города Мендзыжец и Комар</w:t>
        <w:t>у</w:t>
        <w:t xml:space="preserve">вка на севере </w:t>
        <w:t>района</w:t>
        <w:t xml:space="preserve"> Радзин</w:t>
        <w:t>я</w:t>
        <w:t>.</w:t>
      </w:r>
      <w:hyperlink w:anchor="__322">
        <w:r>
          <w:rPr>
            <w:rStyle w:val="Text2"/>
          </w:rPr>
          <w:bookmarkStart w:id="381" w:name="322"/>
          <w:t>322</w:t>
          <w:bookmarkEnd w:id="381"/>
        </w:r>
      </w:hyperlink>
      <w:r>
        <w:rPr>
          <w:rStyle w:val="Text3"/>
        </w:rPr>
        <w:t xml:space="preserve"> </w:t>
      </w:r>
      <w:r>
        <w:t xml:space="preserve"> </w:t>
      </w:r>
    </w:p>
    <w:p>
      <w:pPr>
        <w:pStyle w:val="Para 02"/>
      </w:pPr>
      <w:r>
        <w:t>Последнюю неделю сентября оставшихся евреев в Бяла-Подляске захватывала именно вторая рота. Их собирали и отправляли в теперь уже почти пустое гетто Мендзыжеца.</w:t>
      </w:r>
      <w:hyperlink w:anchor="__323">
        <w:r>
          <w:rPr>
            <w:rStyle w:val="Text2"/>
          </w:rPr>
          <w:bookmarkStart w:id="382" w:name="323"/>
          <w:t>323</w:t>
          <w:bookmarkEnd w:id="382"/>
        </w:r>
      </w:hyperlink>
      <w:r>
        <w:rPr>
          <w:rStyle w:val="Text3"/>
        </w:rPr>
        <w:t xml:space="preserve"> </w:t>
      </w:r>
      <w:r>
        <w:t xml:space="preserve"> </w:t>
        <w:t xml:space="preserve"> Так же </w:t>
        <w:t>«</w:t>
        <w:t>т</w:t>
        <w:t xml:space="preserve">ранзитное» гетто Мендзыжеца «пополнялось» в сентябре и октябре из городов </w:t>
        <w:t>района</w:t>
        <w:t xml:space="preserve"> Радзинь напрямую из Комар</w:t>
        <w:t>у</w:t>
        <w:t>вки, а также из Вохиня [Wohyń] и Чемерник</w:t>
        <w:t>ов</w:t>
        <w:t xml:space="preserve"> через Парчев.</w:t>
      </w:r>
      <w:hyperlink w:anchor="__324">
        <w:r>
          <w:rPr>
            <w:rStyle w:val="Text2"/>
          </w:rPr>
          <w:bookmarkStart w:id="383" w:name="324"/>
          <w:t>324</w:t>
          <w:bookmarkEnd w:id="383"/>
        </w:r>
      </w:hyperlink>
      <w:r>
        <w:rPr>
          <w:rStyle w:val="Text3"/>
        </w:rPr>
        <w:t xml:space="preserve"> </w:t>
      </w:r>
      <w:r>
        <w:t xml:space="preserve"> Из всех этих </w:t>
        <w:t>депортаций</w:t>
        <w:t xml:space="preserve"> полицейским запомнился лишь трансфер из Комар</w:t>
        <w:t>у</w:t>
        <w:t>вки, где второй взвод второй роты регулярно располагался.</w:t>
      </w:r>
      <w:hyperlink w:anchor="__325">
        <w:r>
          <w:rPr>
            <w:rStyle w:val="Text2"/>
          </w:rPr>
          <w:bookmarkStart w:id="384" w:name="325"/>
          <w:t>325</w:t>
          <w:bookmarkEnd w:id="384"/>
        </w:r>
      </w:hyperlink>
      <w:r>
        <w:rPr>
          <w:rStyle w:val="Text3"/>
        </w:rPr>
        <w:t xml:space="preserve"> </w:t>
      </w:r>
      <w:r>
        <w:t xml:space="preserve"> Среди евреев Комар</w:t>
        <w:t>у</w:t>
        <w:t>вки была женщина из Гамбурга, ранее владевшая кинотеатром — Миллертор-</w:t>
        <w:t>К</w:t>
        <w:t xml:space="preserve">ино </w:t>
        <w:t>[Millertor-Kino] —</w:t>
        <w:t xml:space="preserve"> который полицейские часто посещали.</w:t>
      </w:r>
      <w:hyperlink w:anchor="__326">
        <w:r>
          <w:rPr>
            <w:rStyle w:val="Text2"/>
          </w:rPr>
          <w:bookmarkStart w:id="385" w:name="326"/>
          <w:t>326</w:t>
          <w:bookmarkEnd w:id="385"/>
        </w:r>
      </w:hyperlink>
      <w:r>
        <w:rPr>
          <w:rStyle w:val="Text3"/>
        </w:rPr>
        <w:t xml:space="preserve"> </w:t>
      </w:r>
      <w:r>
        <w:t xml:space="preserve"> Гетто в Лукуве служило вторым «транзитным гетто», получая евреев из малых посёлков округа Радзинь.</w:t>
      </w:r>
      <w:hyperlink w:anchor="__327">
        <w:r>
          <w:rPr>
            <w:rStyle w:val="Text2"/>
          </w:rPr>
          <w:bookmarkStart w:id="386" w:name="327"/>
          <w:t>327</w:t>
          <w:bookmarkEnd w:id="386"/>
        </w:r>
      </w:hyperlink>
      <w:r>
        <w:rPr>
          <w:rStyle w:val="Text3"/>
        </w:rPr>
        <w:t xml:space="preserve"> </w:t>
      </w:r>
      <w:r>
        <w:t xml:space="preserve"> Этот процесс концентрации, конечно же, служил зловещей прелюдией к возобновлению транспортов смерти в Треблинку и систематической кампании по очищению северного </w:t>
        <w:t>округа</w:t>
        <w:t xml:space="preserve"> Люблина, </w:t>
        <w:t>превращения</w:t>
        <w:t xml:space="preserve"> его </w:t>
        <w:t xml:space="preserve">в </w:t>
      </w:r>
      <w:r>
        <w:rPr>
          <w:rStyle w:val="Text0"/>
        </w:rPr>
        <w:t>judenfrei</w:t>
      </w:r>
      <w:r>
        <w:t>, «свободн</w:t>
        <w:t>ого</w:t>
        <w:t xml:space="preserve"> от евреев».</w:t>
      </w:r>
    </w:p>
    <w:p>
      <w:pPr>
        <w:pStyle w:val="Para 02"/>
      </w:pPr>
      <w:r>
        <w:t xml:space="preserve">Координационным центром октябрьского «наступления» против гетто </w:t>
        <w:t xml:space="preserve">района </w:t>
        <w:t>Радзинь служил</w:t>
        <w:t>о</w:t>
        <w:t xml:space="preserve"> местн</w:t>
        <w:t>ое</w:t>
        <w:t xml:space="preserve"> отделение </w:t>
        <w:t xml:space="preserve">Полиции Безопасности под командованием унтерштурмфюрера Фрица Фишера </w:t>
        <w:t>[Fritz Fischer]</w:t>
        <w:t xml:space="preserve">. Администрации гетто Радзиня, Лукува и Мендзыжеца в июне 1942 </w:t>
        <w:t xml:space="preserve">г. </w:t>
        <w:t>перевели под управление офицеров Полиции Безопасности</w:t>
      </w:r>
      <w:hyperlink w:anchor="__328">
        <w:r>
          <w:rPr>
            <w:rStyle w:val="Text2"/>
          </w:rPr>
          <w:bookmarkStart w:id="387" w:name="328"/>
          <w:t>328</w:t>
          <w:bookmarkEnd w:id="387"/>
        </w:r>
      </w:hyperlink>
      <w:r>
        <w:rPr>
          <w:rStyle w:val="Text3"/>
        </w:rPr>
        <w:t xml:space="preserve"> </w:t>
      </w:r>
      <w:r>
        <w:t xml:space="preserve"> , однако количество кадров на местах было сильно ограничено. </w:t>
        <w:t>Отделение</w:t>
        <w:t xml:space="preserve"> в Радзине и его аванпост в Лукуве насчитывали в сумме возможно всего </w:t>
        <w:t>40</w:t>
        <w:t xml:space="preserve"> членов немецкой Полиции Безопасности и этнических </w:t>
        <w:t>немецких</w:t>
        <w:t xml:space="preserve"> «помощников». Фишеру так же был доступен на постоянной основе отряд из </w:t>
        <w:t>20</w:t>
        <w:t xml:space="preserve"> Хиви. Мендзыжец, Лукув и Радзинь насчитывали на своей территории не больше </w:t>
        <w:t>40</w:t>
        <w:t xml:space="preserve"> или </w:t>
        <w:t xml:space="preserve">45 </w:t>
        <w:t>членов Жандармерии.</w:t>
      </w:r>
      <w:hyperlink w:anchor="__329">
        <w:r>
          <w:rPr>
            <w:rStyle w:val="Text2"/>
          </w:rPr>
          <w:bookmarkStart w:id="388" w:name="329"/>
          <w:t>329</w:t>
          <w:bookmarkEnd w:id="388"/>
        </w:r>
      </w:hyperlink>
      <w:r>
        <w:rPr>
          <w:rStyle w:val="Text3"/>
        </w:rPr>
        <w:t xml:space="preserve"> </w:t>
      </w:r>
      <w:r>
        <w:t xml:space="preserve"> Очевидно, что такие ограниченные силы Полиции Безопасности и Жандармерии, даже с учётом Хиви Фишера, в чистках и депортациях евреев гетто полностью зависели от помощи извне. И вновь Полицейский Резервный Батальон 101 предоставил большую часть рабочей силы, без которой чистки гетто невозможно было бы осуществить.</w:t>
      </w:r>
    </w:p>
    <w:p>
      <w:pPr>
        <w:pStyle w:val="Para 02"/>
      </w:pPr>
      <w:r>
        <w:t xml:space="preserve">Депортации в Треблинку возобновились </w:t>
        <w:t>1</w:t>
        <w:t xml:space="preserve"> октября, когда отправили 2 000 евреев из гетто Радзиня. </w:t>
        <w:t xml:space="preserve">Из Лукува депортировали </w:t>
        <w:t>5</w:t>
        <w:t xml:space="preserve"> октября 5 000 евреев и </w:t>
        <w:t xml:space="preserve">8 </w:t>
        <w:t xml:space="preserve">октября </w:t>
        <w:t xml:space="preserve">ещё 2 000. Параллельно с этим депортировали тысячи евреев из Мендзыжеца </w:t>
        <w:t>6</w:t>
        <w:t xml:space="preserve"> и </w:t>
        <w:t xml:space="preserve">9 </w:t>
        <w:t xml:space="preserve">октября. Поезда из Лукува и Мендзыжеца, предположительно, соединялись после погрузки, хоть этому и нет показаний свидетелей. Между 14 и 16 октября чистка гетто Радзиня завершилась отправкой от 2 000 до 3 000 евреев в Мендзыжец. </w:t>
        <w:t>Остановка</w:t>
        <w:t xml:space="preserve"> </w:t>
        <w:t xml:space="preserve">там продлилась недолго — их повезли дальше 27 октября и 7 ноября. </w:t>
        <w:t>6</w:t>
        <w:t xml:space="preserve"> ноября </w:t>
        <w:t>последние</w:t>
        <w:t xml:space="preserve"> 700 евреев Коцка отправили в Лукув. На следующий день зачистили гетто в Мендзыжеце, отправив 3 000 евреев в Треблинку.</w:t>
      </w:r>
      <w:hyperlink w:anchor="__330">
        <w:r>
          <w:rPr>
            <w:rStyle w:val="Text2"/>
          </w:rPr>
          <w:bookmarkStart w:id="389" w:name="330"/>
          <w:t>330</w:t>
          <w:bookmarkEnd w:id="389"/>
        </w:r>
      </w:hyperlink>
      <w:r>
        <w:rPr>
          <w:rStyle w:val="Text3"/>
        </w:rPr>
        <w:t xml:space="preserve"> </w:t>
      </w:r>
      <w:r>
        <w:t xml:space="preserve"> В депортации вносили разнообразие периодическая казнь и ликвидация тех евреев, кому удалось избежать чисток спрятавшись, или кого оставили сознательно из-за нехватки места в поездах или для работ в гетто. </w:t>
        <w:t>По</w:t>
        <w:t xml:space="preserve"> завершению шестинедельно</w:t>
        <w:t>го</w:t>
        <w:t xml:space="preserve"> «</w:t>
        <w:t>нападения</w:t>
        <w:t xml:space="preserve">» члены Полицейского Резервного Батальона 101 в восьми отдельных операциях помогли депортировать более чем 27 000 евреев в Треблинку </w:t>
        <w:t xml:space="preserve">и </w:t>
        <w:t>убили возможно около 1 000 во время захватов и в как минимум четырёх «завершающих» расстрелах.</w:t>
      </w:r>
    </w:p>
    <w:p>
      <w:pPr>
        <w:pStyle w:val="Para 02"/>
      </w:pPr>
      <w:r>
        <w:t xml:space="preserve">Что полицейские помнили обо всем этом варьируется </w:t>
        <w:t>неимоверно</w:t>
        <w:t xml:space="preserve">. Начальная операция — депортация 2 000 евреев из Радзиня </w:t>
        <w:t>1</w:t>
        <w:t xml:space="preserve"> октября — совершалась совместными силами людей первой роты и </w:t>
        <w:t>двадцати</w:t>
        <w:t xml:space="preserve"> Хиви унтерштурмфюрера Фишера. Судя по всему, расстрелов там было мало, хоть Хиви для подгона евреев часто использовали предупредительные выстрелы на пути к железнодорожной станции.</w:t>
      </w:r>
      <w:hyperlink w:anchor="__331">
        <w:r>
          <w:rPr>
            <w:rStyle w:val="Text2"/>
          </w:rPr>
          <w:bookmarkStart w:id="390" w:name="331"/>
          <w:t>331</w:t>
          <w:bookmarkEnd w:id="390"/>
        </w:r>
      </w:hyperlink>
      <w:r>
        <w:rPr>
          <w:rStyle w:val="Text3"/>
        </w:rPr>
        <w:t xml:space="preserve"> </w:t>
      </w:r>
      <w:r>
        <w:t xml:space="preserve"> На следующий день </w:t>
        <w:t>2</w:t>
        <w:t xml:space="preserve"> октября третий взвод второй роты сержанта Штайнмеца по приказу Гн</w:t>
        <w:t>а</w:t>
        <w:t>д</w:t>
        <w:t>е</w:t>
        <w:t xml:space="preserve"> завершил расстрелами ликвидацию гетто Парчева — по всей видимости, более сотни евреев привели туда слишком поздно для </w:t>
        <w:t xml:space="preserve">их </w:t>
        <w:t>транспортировки в Мендзыжец.</w:t>
      </w:r>
      <w:hyperlink w:anchor="__332">
        <w:r>
          <w:rPr>
            <w:rStyle w:val="Text2"/>
          </w:rPr>
          <w:bookmarkStart w:id="391" w:name="332"/>
          <w:t>332</w:t>
          <w:bookmarkEnd w:id="391"/>
        </w:r>
      </w:hyperlink>
      <w:r>
        <w:rPr>
          <w:rStyle w:val="Text3"/>
        </w:rPr>
        <w:t xml:space="preserve"> </w:t>
      </w:r>
      <w:r>
        <w:t xml:space="preserve"> </w:t>
      </w:r>
    </w:p>
    <w:p>
      <w:pPr>
        <w:pStyle w:val="Para 02"/>
      </w:pPr>
      <w:r>
        <w:t xml:space="preserve">После этого одновременные депортации из двух транзитных гетто Лукува и Мендзыжеца выполнялись первой и второй ротой соответственно. С </w:t>
        <w:t>начала</w:t>
        <w:t xml:space="preserve"> сентября в Мендзыжеце </w:t>
        <w:t>располагался</w:t>
        <w:t xml:space="preserve"> новый штаб роты лейтенанта Гн</w:t>
        <w:t>а</w:t>
        <w:t>д</w:t>
        <w:t>е.</w:t>
        <w:t xml:space="preserve"> Д</w:t>
        <w:t xml:space="preserve">абы избежать проблем с польским произношением, члены второй роты называли это место подходящим немецким прозвищем «меншеншрек» </w:t>
        <w:t>[</w:t>
        <w:t>Menschenschreck</w:t>
        <w:t>]</w:t>
        <w:t>, или «</w:t>
        <w:t>ужас человеческий</w:t>
        <w:t>»</w:t>
      </w:r>
      <w:hyperlink w:anchor="__333">
        <w:r>
          <w:rPr>
            <w:rStyle w:val="Text2"/>
          </w:rPr>
          <w:bookmarkStart w:id="392" w:name="333"/>
          <w:t>333</w:t>
          <w:bookmarkEnd w:id="392"/>
        </w:r>
      </w:hyperlink>
      <w:r>
        <w:rPr>
          <w:rStyle w:val="Text3"/>
        </w:rPr>
        <w:t xml:space="preserve"> </w:t>
      </w:r>
      <w:r>
        <w:t xml:space="preserve"> . Водитель Гн</w:t>
        <w:t>а</w:t>
        <w:t>д</w:t>
        <w:t>е</w:t>
        <w:t xml:space="preserve"> Альфред Хайльманн* вспоминал, как отвозил лейтенанта вечером на пятичасовое заседания в здании на главной площади Мендзыжеца, служившем Полиции Безопасности штабом и тюрьмой. Во время заседания из подвала раздался кошмарный крик. Два или три офицера СС вышли из здания и разрядили свои пистолеты-пулемёты в окно подвала. «Теперь будет тихо». — сказал один, заходя обратно в здание. Хайльманн попытался осторожно подойти к окну, но запах был настолько отвратительным, что он повернул обратно. Шум с верхних этажей всё усиливался, пока около полуночи пьяный Гн</w:t>
        <w:t>а</w:t>
        <w:t>д</w:t>
        <w:t>е</w:t>
        <w:t xml:space="preserve"> не вышел и не сказал Хайльманну, что следующем утром будет чистка гетто.</w:t>
      </w:r>
      <w:hyperlink w:anchor="__334">
        <w:r>
          <w:rPr>
            <w:rStyle w:val="Text2"/>
          </w:rPr>
          <w:bookmarkStart w:id="393" w:name="334"/>
          <w:t>334</w:t>
          <w:bookmarkEnd w:id="393"/>
        </w:r>
      </w:hyperlink>
      <w:r>
        <w:rPr>
          <w:rStyle w:val="Text3"/>
        </w:rPr>
        <w:t xml:space="preserve"> </w:t>
      </w:r>
      <w:r>
        <w:t xml:space="preserve"> </w:t>
      </w:r>
    </w:p>
    <w:p>
      <w:pPr>
        <w:pStyle w:val="Para 02"/>
      </w:pPr>
      <w:r>
        <w:t xml:space="preserve">Людей в Мендзыжеце подняли в </w:t>
        <w:t>5</w:t>
        <w:t xml:space="preserve"> утра. К ним присоединились второй взвод Дракера из Комар</w:t>
        <w:t>у</w:t>
        <w:t xml:space="preserve">вки и </w:t>
        <w:t>значительн</w:t>
        <w:t>ы</w:t>
        <w:t>й</w:t>
        <w:t xml:space="preserve"> контингент Хиви. Судя по всему, люди Дракера организов</w:t>
        <w:t>ыв</w:t>
        <w:t>али кордон гетто, пока Хиви и остальные из Полиции Порядка выгоняли евреев на главную площадь. Гн</w:t>
        <w:t>а</w:t>
        <w:t>д</w:t>
        <w:t>е</w:t>
        <w:t xml:space="preserve"> и другие плетями принуждали евреев к тишине, </w:t>
        <w:t>и</w:t>
        <w:t>з-за побоев н</w:t>
        <w:t>екоторые умерли ещё до марша к железнодорожной станции.</w:t>
      </w:r>
      <w:hyperlink w:anchor="__335">
        <w:r>
          <w:rPr>
            <w:rStyle w:val="Text2"/>
          </w:rPr>
          <w:bookmarkStart w:id="394" w:name="335"/>
          <w:t>335</w:t>
          <w:bookmarkEnd w:id="394"/>
        </w:r>
      </w:hyperlink>
      <w:r>
        <w:rPr>
          <w:rStyle w:val="Text3"/>
        </w:rPr>
        <w:t xml:space="preserve"> </w:t>
      </w:r>
      <w:r>
        <w:t xml:space="preserve"> Хайльманн смотрел, как вытаскивали и уводили евреев, запертых в тюрьме подвала штаба Полиции Безопасности — </w:t>
        <w:t>о</w:t>
        <w:t xml:space="preserve">ни были покрыты экскрементами и </w:t>
        <w:t>явно</w:t>
        <w:t xml:space="preserve"> много дней ничего не ели</w:t>
        <w:t>. После сбора необходимого количества евреев, начался марш к станции. Не способных к передвижению казнили на месте, охрана безжалостно стреляла в колонну евреев каждый раз, как та замедлялась.</w:t>
      </w:r>
      <w:hyperlink w:anchor="__336">
        <w:r>
          <w:rPr>
            <w:rStyle w:val="Text2"/>
          </w:rPr>
          <w:bookmarkStart w:id="395" w:name="336"/>
          <w:t>336</w:t>
          <w:bookmarkEnd w:id="395"/>
        </w:r>
      </w:hyperlink>
      <w:r>
        <w:rPr>
          <w:rStyle w:val="Text3"/>
        </w:rPr>
        <w:t xml:space="preserve"> </w:t>
      </w:r>
      <w:r>
        <w:t xml:space="preserve"> </w:t>
      </w:r>
    </w:p>
    <w:p>
      <w:pPr>
        <w:pStyle w:val="Para 02"/>
      </w:pPr>
      <w:r>
        <w:t>Небольшой контингент полицейских уже располагался на станции, держа польских зевак подальше. Погрузкой евреев в поезд руководил Гн</w:t>
        <w:t>а</w:t>
        <w:t>д</w:t>
        <w:t>е</w:t>
        <w:t xml:space="preserve">. Людей набивали в вагоны как скот, стрельба и избиения применялись без каких-либо ограничений. Двадцать два года спустя </w:t>
        <w:t>старший</w:t>
        <w:t xml:space="preserve"> сержант </w:t>
        <w:t xml:space="preserve">под командованием </w:t>
        <w:t>Гн</w:t>
        <w:t>а</w:t>
        <w:t>д</w:t>
        <w:t>е</w:t>
        <w:t xml:space="preserve"> сделал необычное признание, учитывая выраженное ранее нежелание свидетелей критиковать бывших товарищей: «К моему сожалению, я должен сказать, что </w:t>
        <w:t>старший лейтенант Гн</w:t>
        <w:t>а</w:t>
        <w:t>д</w:t>
        <w:t>е</w:t>
        <w:t xml:space="preserve"> создал у меня ощущение</w:t>
        <w:t xml:space="preserve">, будто всё происходящее </w:t>
        <w:t>приносило</w:t>
        <w:t xml:space="preserve"> ему много удовольствия</w:t>
        <w:t>».</w:t>
      </w:r>
      <w:hyperlink w:anchor="__337">
        <w:r>
          <w:rPr>
            <w:rStyle w:val="Text2"/>
          </w:rPr>
          <w:bookmarkStart w:id="396" w:name="337"/>
          <w:t>337</w:t>
          <w:bookmarkEnd w:id="396"/>
        </w:r>
      </w:hyperlink>
      <w:r>
        <w:rPr>
          <w:rStyle w:val="Text3"/>
        </w:rPr>
        <w:t xml:space="preserve"> </w:t>
      </w:r>
      <w:r>
        <w:t xml:space="preserve"> </w:t>
      </w:r>
    </w:p>
    <w:p>
      <w:pPr>
        <w:pStyle w:val="Para 02"/>
      </w:pPr>
      <w:r>
        <w:t>Но даже самое необузданное насилие не могло превозмочь недостаток вагонов в поезде, так что когда двери наконец намертво закрылись, около 150 евреев — по большей части женщины и дети — остались снаружи. Гн</w:t>
        <w:t>а</w:t>
        <w:t>д</w:t>
        <w:t>е</w:t>
        <w:t xml:space="preserve"> вызвал Дракера и сказал ему вести тех на кладбище. У входа на кладбище один полицейский </w:t>
        <w:t>разгонял</w:t>
        <w:t xml:space="preserve"> «любопытных наблюдателей»</w:t>
      </w:r>
      <w:hyperlink w:anchor="__338">
        <w:r>
          <w:rPr>
            <w:rStyle w:val="Text2"/>
          </w:rPr>
          <w:bookmarkStart w:id="397" w:name="338"/>
          <w:t>338</w:t>
          <w:bookmarkEnd w:id="397"/>
        </w:r>
      </w:hyperlink>
      <w:r>
        <w:rPr>
          <w:rStyle w:val="Text3"/>
        </w:rPr>
        <w:t xml:space="preserve"> </w:t>
      </w:r>
      <w:r>
        <w:t xml:space="preserve"> и ждал, пока не прибудет </w:t>
        <w:t>старший</w:t>
        <w:t xml:space="preserve"> сержант Остман* с грузовиком водки для стрелков. Остман упрекал одного из своих людей, кто до этого избегал участия в расстрелах: «Давай пей, Пфайффер*, настала твоя очередь, потому что еврейки </w:t>
        <w:t>должны быть расстреляны</w:t>
        <w:t>. Пока что тебе удавалось улизнуть, но теперь ты должен сделать это». Сформировали расстрельн</w:t>
        <w:t>ую</w:t>
        <w:t xml:space="preserve"> команд</w:t>
        <w:t>у</w:t>
        <w:t xml:space="preserve"> — где-то </w:t>
        <w:t>20</w:t>
        <w:t xml:space="preserve"> человек, </w:t>
        <w:t>евреев приводили группами такого же размера</w:t>
        <w:t>. Сначала мужчины, затем женщины и дети. Их заставляли лечь лицом вниз около ограждения кладбища, и затем убивали выстрелами в шею. Каждый полицейский произвёл семь или восемь выстрелов.</w:t>
      </w:r>
      <w:hyperlink w:anchor="__339">
        <w:r>
          <w:rPr>
            <w:rStyle w:val="Text2"/>
          </w:rPr>
          <w:bookmarkStart w:id="398" w:name="339"/>
          <w:t>339</w:t>
          <w:bookmarkEnd w:id="398"/>
        </w:r>
      </w:hyperlink>
      <w:r>
        <w:rPr>
          <w:rStyle w:val="Text3"/>
        </w:rPr>
        <w:t xml:space="preserve"> </w:t>
      </w:r>
      <w:r>
        <w:t xml:space="preserve"> У ворот кладбища один еврей набросился на Дракера со шприцем, но был быстро повязан. Даже </w:t>
        <w:t>когда евреев группами уводили на расстрел и раздавались выстрелы</w:t>
        <w:t>, остальные евреи тихо сидели и ожидали своей участи. «Они были весьма истощены и выглядели голодными до смерти», — вспоминал один охранник.</w:t>
      </w:r>
      <w:hyperlink w:anchor="__340">
        <w:r>
          <w:rPr>
            <w:rStyle w:val="Text2"/>
          </w:rPr>
          <w:bookmarkStart w:id="399" w:name="340"/>
          <w:t>340</w:t>
          <w:bookmarkEnd w:id="399"/>
        </w:r>
      </w:hyperlink>
      <w:r>
        <w:rPr>
          <w:rStyle w:val="Text3"/>
        </w:rPr>
        <w:t xml:space="preserve"> </w:t>
      </w:r>
      <w:r>
        <w:t xml:space="preserve"> </w:t>
      </w:r>
    </w:p>
    <w:p>
      <w:pPr>
        <w:pStyle w:val="Para 02"/>
      </w:pPr>
      <w:r>
        <w:t xml:space="preserve">Не может быть точно установлено количество жертв депортаций </w:t>
        <w:t>6</w:t>
        <w:t xml:space="preserve"> и </w:t>
        <w:t>9</w:t>
        <w:t xml:space="preserve"> октября в Мендзыжеце, </w:t>
        <w:t xml:space="preserve">а </w:t>
        <w:t>показания свидетелей сильно различаются.</w:t>
      </w:r>
      <w:hyperlink w:anchor="__341">
        <w:r>
          <w:rPr>
            <w:rStyle w:val="Text2"/>
          </w:rPr>
          <w:bookmarkStart w:id="400" w:name="341"/>
          <w:t>341</w:t>
          <w:bookmarkEnd w:id="400"/>
        </w:r>
      </w:hyperlink>
      <w:r>
        <w:rPr>
          <w:rStyle w:val="Text3"/>
        </w:rPr>
        <w:t xml:space="preserve"> </w:t>
      </w:r>
      <w:r>
        <w:t xml:space="preserve"> В любом случае, </w:t>
        <w:t xml:space="preserve">в середине октября </w:t>
        <w:t xml:space="preserve">гетто снова пополнилось, когда туда </w:t>
        <w:t>перевезли</w:t>
        <w:t xml:space="preserve"> от 2 000 до 3 000 евреев из Радзиня. Этих </w:t>
        <w:t xml:space="preserve">людей </w:t>
        <w:t xml:space="preserve">ранним утром 14 октября собрали и погрузили в караван из более чем сотни фургонов с лошадьми. Охраняемый польской полицией, этническими немцами «самообороны» и несколькими полицейскими первой роты караван медленно пустился в путь в Мендзыжец, в двадцати девяти километрах к северу, </w:t>
        <w:t xml:space="preserve">куда </w:t>
        <w:t xml:space="preserve">прибыл уже поздно ночью. Пустые фургоны </w:t>
        <w:t xml:space="preserve">потом </w:t>
        <w:t>вернули в Радзинь.</w:t>
      </w:r>
      <w:hyperlink w:anchor="__342">
        <w:r>
          <w:rPr>
            <w:rStyle w:val="Text2"/>
          </w:rPr>
          <w:bookmarkStart w:id="401" w:name="342"/>
          <w:t>342</w:t>
          <w:bookmarkEnd w:id="401"/>
        </w:r>
      </w:hyperlink>
      <w:r>
        <w:rPr>
          <w:rStyle w:val="Text3"/>
        </w:rPr>
        <w:t xml:space="preserve"> </w:t>
      </w:r>
      <w:r>
        <w:t xml:space="preserve"> </w:t>
      </w:r>
    </w:p>
    <w:p>
      <w:pPr>
        <w:pStyle w:val="Para 02"/>
      </w:pPr>
      <w:r>
        <w:t xml:space="preserve">В последующих акциях 27 октября и 7 ноября гетто Мендзыжеца отчистили от около 1 000 рабочих-евреев. Эти акции </w:t>
        <w:t xml:space="preserve">должно быть были </w:t>
        <w:t>меньше в размахе, чем предыдущие, потому как ни Хиви, ни отряды Полиции Безопасности Радзиня не оказывали помощь полицейским. Теперь всем заправлял Гн</w:t>
        <w:t>а</w:t>
        <w:t>д</w:t>
        <w:t>е</w:t>
        <w:t xml:space="preserve">. По-видимому, он ввёл дополнительную процедуру в депортации — «быстрый обыск». После сбора на рынке, депортированных загоняли в барак, раздевали и обыскивали ради ценностей. Несмотря на холодную осеннюю погоду, им позволяли надеть обратно </w:t>
        <w:t>только</w:t>
        <w:t xml:space="preserve"> исподнее. В этой скудной одежде их гнали маршем на железнодорожную станцию и загоняли в вагоны для скота в предназначенн</w:t>
        <w:t>о</w:t>
        <w:t>м Треблинке поезде.</w:t>
      </w:r>
      <w:hyperlink w:anchor="__343">
        <w:r>
          <w:rPr>
            <w:rStyle w:val="Text2"/>
          </w:rPr>
          <w:bookmarkStart w:id="402" w:name="343"/>
          <w:t>343</w:t>
          <w:bookmarkEnd w:id="402"/>
        </w:r>
      </w:hyperlink>
      <w:r>
        <w:rPr>
          <w:rStyle w:val="Text3"/>
        </w:rPr>
        <w:t xml:space="preserve"> </w:t>
      </w:r>
      <w:r>
        <w:t xml:space="preserve"> В период с конца августа и с завершением акции 7 ноября из города «человеческого ужаса» в лагерь смерти Треблинка отряды Полицейского Резервного Батальона 101 депортировали как минимум 25 000 евреев.</w:t>
      </w:r>
    </w:p>
    <w:p>
      <w:pPr>
        <w:pStyle w:val="Para 02"/>
      </w:pPr>
      <w:r>
        <w:t>Пока Гн</w:t>
        <w:t>а</w:t>
        <w:t>д</w:t>
        <w:t>е</w:t>
        <w:t xml:space="preserve"> занимался депортациями </w:t>
        <w:t>в</w:t>
        <w:t xml:space="preserve"> Мендзыжец</w:t>
        <w:t>е</w:t>
        <w:t xml:space="preserve">, такую же работу выполняла первая рота в Лукуве, </w:t>
        <w:t>о</w:t>
        <w:t xml:space="preserve">днако капитан Волауф </w:t>
        <w:t xml:space="preserve">ею </w:t>
        <w:t>больше не командовал. Его отношения с Траппом неуклонно ухудшались, пока майор открыто не высказал свою тревогу по поводу эпизода в Мендзыжеце, в котором Волауф привёл свою невесту посмотреть на чистку гетто.</w:t>
      </w:r>
      <w:hyperlink w:anchor="__344">
        <w:r>
          <w:rPr>
            <w:rStyle w:val="Text2"/>
          </w:rPr>
          <w:bookmarkStart w:id="403" w:name="344"/>
          <w:t>344</w:t>
          <w:bookmarkEnd w:id="403"/>
        </w:r>
      </w:hyperlink>
      <w:r>
        <w:rPr>
          <w:rStyle w:val="Text3"/>
        </w:rPr>
        <w:t xml:space="preserve"> </w:t>
      </w:r>
      <w:r>
        <w:t xml:space="preserve"> После резни в Серокомле Волауф сопровождал свою невесту в Гамбург, где оставался несколько дней. Вернувшись в Радзинь в середине октября, Волауф заболел желтухой. В начале ноября был убит его единственный брат — пилот Люфтваффе, </w:t>
        <w:t>а</w:t>
        <w:t xml:space="preserve"> н</w:t>
        <w:t xml:space="preserve">есколькими днями позже в Дрездене погиб отец. Волауф отправился на похороны в Дрезден, рапортовал о болезни и снова поехал в Гамбург, теперь уже на амбулаторное лечение. Выздоравливая, он узнал, что одобрили его запрос о трансфере с «фронта» как единственного выжившего сына. В январе 1943 </w:t>
        <w:t>г.</w:t>
        <w:t xml:space="preserve"> ненадолго вернулся в Радзинь забрать свои вещи.</w:t>
      </w:r>
      <w:hyperlink w:anchor="__345">
        <w:r>
          <w:rPr>
            <w:rStyle w:val="Text2"/>
          </w:rPr>
          <w:bookmarkStart w:id="404" w:name="345"/>
          <w:t>345</w:t>
          <w:bookmarkEnd w:id="404"/>
        </w:r>
      </w:hyperlink>
      <w:r>
        <w:rPr>
          <w:rStyle w:val="Text3"/>
        </w:rPr>
        <w:t xml:space="preserve"> </w:t>
      </w:r>
      <w:r>
        <w:t xml:space="preserve"> </w:t>
      </w:r>
    </w:p>
    <w:p>
      <w:pPr>
        <w:pStyle w:val="Para 02"/>
      </w:pPr>
      <w:r>
        <w:t xml:space="preserve">Если Волауфу удалось вырваться из Полицейского Резервного Батальона 101, </w:t>
        <w:t xml:space="preserve">то </w:t>
        <w:t>его людям так не повезло. Совместно с людьми Штайнмеца из Ломазы и Парчева (</w:t>
        <w:t>т</w:t>
        <w:t xml:space="preserve">ретий взвод, вторая рота) и отрядом Хиви они провели две депортации из Лукува. 5 000 человек </w:t>
        <w:t>5</w:t>
        <w:t xml:space="preserve"> октября и </w:t>
        <w:t xml:space="preserve">8 ещё </w:t>
        <w:t xml:space="preserve">2 000. Воспоминания об этом резко расходятся. Часть заявляла, что стрельбы </w:t>
        <w:t>было минимум и никого не убивали</w:t>
        <w:t>.</w:t>
      </w:r>
      <w:hyperlink w:anchor="__346">
        <w:r>
          <w:rPr>
            <w:rStyle w:val="Text2"/>
          </w:rPr>
          <w:bookmarkStart w:id="405" w:name="346"/>
          <w:t>346</w:t>
          <w:bookmarkEnd w:id="405"/>
        </w:r>
      </w:hyperlink>
      <w:r>
        <w:rPr>
          <w:rStyle w:val="Text3"/>
        </w:rPr>
        <w:t xml:space="preserve"> </w:t>
      </w:r>
      <w:r>
        <w:t xml:space="preserve"> Другие вспоминали множество расстрелов.</w:t>
      </w:r>
      <w:hyperlink w:anchor="__347">
        <w:r>
          <w:rPr>
            <w:rStyle w:val="Text2"/>
          </w:rPr>
          <w:bookmarkStart w:id="406" w:name="347"/>
          <w:t>347</w:t>
          <w:bookmarkEnd w:id="406"/>
        </w:r>
      </w:hyperlink>
      <w:r>
        <w:rPr>
          <w:rStyle w:val="Text3"/>
        </w:rPr>
        <w:t xml:space="preserve"> </w:t>
      </w:r>
      <w:r>
        <w:t xml:space="preserve"> Одного едва не подстрелили свои же.</w:t>
      </w:r>
      <w:hyperlink w:anchor="__348">
        <w:r>
          <w:rPr>
            <w:rStyle w:val="Text2"/>
          </w:rPr>
          <w:bookmarkStart w:id="407" w:name="348"/>
          <w:t>348</w:t>
          <w:bookmarkEnd w:id="407"/>
        </w:r>
      </w:hyperlink>
      <w:r>
        <w:rPr>
          <w:rStyle w:val="Text3"/>
        </w:rPr>
        <w:t xml:space="preserve"> </w:t>
      </w:r>
      <w:r>
        <w:t xml:space="preserve"> Мало что говорит заключение одного полицейского о том, что депортации из Лукува были «несомненно более организованными и человечными», чем депортации в августе из Мендзыжеца, учитывая несравнимую жестокость последней.</w:t>
      </w:r>
      <w:hyperlink w:anchor="__349">
        <w:r>
          <w:rPr>
            <w:rStyle w:val="Text2"/>
          </w:rPr>
          <w:bookmarkStart w:id="408" w:name="349"/>
          <w:t>349</w:t>
          <w:bookmarkEnd w:id="408"/>
        </w:r>
      </w:hyperlink>
      <w:r>
        <w:rPr>
          <w:rStyle w:val="Text3"/>
        </w:rPr>
        <w:t xml:space="preserve"> </w:t>
      </w:r>
      <w:r>
        <w:t xml:space="preserve"> На месте сбора во время первой депортации — Швайнемаркте </w:t>
        <w:t>[Schweinemarkt]</w:t>
        <w:t xml:space="preserve"> или «рынке свиней» — главу еврейского совета вместе с другими важными евреями убили на месте. Избежавших первой операции евреев нашли и депортировали тремя днями позже.</w:t>
      </w:r>
      <w:hyperlink w:anchor="__350">
        <w:r>
          <w:rPr>
            <w:rStyle w:val="Text2"/>
          </w:rPr>
          <w:bookmarkStart w:id="409" w:name="350"/>
          <w:t>350</w:t>
          <w:bookmarkEnd w:id="409"/>
        </w:r>
      </w:hyperlink>
      <w:r>
        <w:rPr>
          <w:rStyle w:val="Text3"/>
        </w:rPr>
        <w:t xml:space="preserve"> </w:t>
      </w:r>
      <w:r>
        <w:t xml:space="preserve"> </w:t>
      </w:r>
    </w:p>
    <w:p>
      <w:pPr>
        <w:pStyle w:val="Para 02"/>
      </w:pPr>
      <w:r>
        <w:t xml:space="preserve">После первых операций взвод Штайнмеца вернулся в Парчев, а штаб батальона переместился из Радзиня в Лукув. </w:t>
        <w:t>6</w:t>
        <w:t xml:space="preserve"> ноября лейтенант Бранд и сержант Юрих руководили трансфером последних 700 евреев Коцка в Лукув. Когда Юрих обнаружил отсутствие большого числа евреев, он застрелил главу еврейского совета в голову. Как и </w:t>
        <w:t>при</w:t>
        <w:t xml:space="preserve"> транспортировке из Радзиня в Мендзыжец, использовались запряжённые лошадьми фургонами и достигнуть Лукува удалось лишь поздней ночью.</w:t>
      </w:r>
      <w:hyperlink w:anchor="__351">
        <w:r>
          <w:rPr>
            <w:rStyle w:val="Text2"/>
          </w:rPr>
          <w:bookmarkStart w:id="410" w:name="351"/>
          <w:t>351</w:t>
          <w:bookmarkEnd w:id="410"/>
        </w:r>
      </w:hyperlink>
      <w:r>
        <w:rPr>
          <w:rStyle w:val="Text3"/>
        </w:rPr>
        <w:t xml:space="preserve"> </w:t>
      </w:r>
      <w:r>
        <w:t xml:space="preserve"> </w:t>
      </w:r>
    </w:p>
    <w:p>
      <w:pPr>
        <w:pStyle w:val="Para 02"/>
      </w:pPr>
      <w:r>
        <w:t xml:space="preserve">Заключительная депортация от 3 000 до 4 000 евреев из Лукува началась следующим утром </w:t>
        <w:t>7</w:t>
        <w:t xml:space="preserve"> ноября и растянулась на несколько дней.</w:t>
      </w:r>
      <w:hyperlink w:anchor="__352">
        <w:r>
          <w:rPr>
            <w:rStyle w:val="Text2"/>
          </w:rPr>
          <w:bookmarkStart w:id="411" w:name="352"/>
          <w:t>352</w:t>
          <w:bookmarkEnd w:id="411"/>
        </w:r>
      </w:hyperlink>
      <w:r>
        <w:rPr>
          <w:rStyle w:val="Text3"/>
        </w:rPr>
        <w:t xml:space="preserve"> </w:t>
      </w:r>
      <w:r>
        <w:t xml:space="preserve"> Уже не имея сомнений о своей судьбе, евреи на марше пели «Мы путешествуем в Треблинку». Полиция Порядка расстреляла от </w:t>
        <w:t>40</w:t>
        <w:t xml:space="preserve"> до </w:t>
        <w:t xml:space="preserve">45 </w:t>
        <w:t xml:space="preserve">человек </w:t>
        <w:t>в</w:t>
        <w:t xml:space="preserve"> отместку </w:t>
        <w:t xml:space="preserve">за </w:t>
        <w:t>неспособност</w:t>
        <w:t>ь</w:t>
        <w:t xml:space="preserve"> еврейской полиции гетто доложить о спрятанных евреях.</w:t>
      </w:r>
      <w:hyperlink w:anchor="__353">
        <w:r>
          <w:rPr>
            <w:rStyle w:val="Text2"/>
          </w:rPr>
          <w:bookmarkStart w:id="412" w:name="353"/>
          <w:t>353</w:t>
          <w:bookmarkEnd w:id="412"/>
        </w:r>
      </w:hyperlink>
      <w:r>
        <w:rPr>
          <w:rStyle w:val="Text3"/>
        </w:rPr>
        <w:t xml:space="preserve"> </w:t>
      </w:r>
      <w:r>
        <w:t xml:space="preserve"> </w:t>
      </w:r>
    </w:p>
    <w:p>
      <w:pPr>
        <w:pStyle w:val="Para 02"/>
      </w:pPr>
      <w:r>
        <w:t xml:space="preserve">Судя по всему, евреи упорно </w:t>
        <w:t>скрывались</w:t>
        <w:t xml:space="preserve"> во время последней депортации. Чтобы выманить их из укрытий, Полиция Безопасности придумала уловку — </w:t>
        <w:t>п</w:t>
        <w:t xml:space="preserve">о всему гетто объявили, что будут выпущены новые удостоверения личности. </w:t>
        <w:t>П</w:t>
        <w:t>ришедшие</w:t>
        <w:t xml:space="preserve"> за </w:t>
        <w:t>новыми документами</w:t>
        <w:t xml:space="preserve"> будут помилованы, </w:t>
        <w:t>а</w:t>
        <w:t xml:space="preserve"> в</w:t>
        <w:t xml:space="preserve">сех, кого найдут без </w:t>
        <w:t>них</w:t>
        <w:t xml:space="preserve">, убьют. Надеясь хоть на небольшую передышку между депортациями, отчаявшиеся евреи вышли из укрытий и пошли за </w:t>
        <w:t>новыми удостоверениями</w:t>
        <w:t>. После сбора как минимум 200 евреев, 11 ноября их вывели из Лукува и расстреляли. Вторую группу собрали и казнили 14 ноября.</w:t>
      </w:r>
      <w:hyperlink w:anchor="__354">
        <w:r>
          <w:rPr>
            <w:rStyle w:val="Text2"/>
          </w:rPr>
          <w:bookmarkStart w:id="413" w:name="354"/>
          <w:t>354</w:t>
          <w:bookmarkEnd w:id="413"/>
        </w:r>
      </w:hyperlink>
      <w:r>
        <w:rPr>
          <w:rStyle w:val="Text3"/>
        </w:rPr>
        <w:t xml:space="preserve"> </w:t>
      </w:r>
      <w:r>
        <w:t xml:space="preserve"> </w:t>
      </w:r>
    </w:p>
    <w:p>
      <w:pPr>
        <w:pStyle w:val="Para 02"/>
      </w:pPr>
      <w:r>
        <w:t>Члены Полицейского Резервного Батальона 101 участвовали в одной, а может и в обеих казнях. Потому как Трапп и большинство первой роты находились где-то в другом месте, Бухман временно остался без защитника. Он и буквально все доступные люди, включая штабных кадров — клерков, связистов и водителей — все, кто до этого избегал прямого участия в казнях — оказались под давлением к выполнению задания местной Полицией Безопасности. В сравнении с расплывчатыми воспоминаниями тех, кто к осени уже был утомлённым ветераном многих еврейских акций, воспоминания о расстреле евреев в Лукуве у новопосвящённых были очень яркими.</w:t>
      </w:r>
      <w:hyperlink w:anchor="__355">
        <w:r>
          <w:rPr>
            <w:rStyle w:val="Text2"/>
          </w:rPr>
          <w:bookmarkStart w:id="414" w:name="355"/>
          <w:t>355</w:t>
          <w:bookmarkEnd w:id="414"/>
        </w:r>
      </w:hyperlink>
      <w:r>
        <w:rPr>
          <w:rStyle w:val="Text3"/>
        </w:rPr>
        <w:t xml:space="preserve"> </w:t>
      </w:r>
      <w:r>
        <w:t xml:space="preserve"> Один полицейский вспомнил, что слух о неизбежном расстреле распространился ещё предшествующей ночью.</w:t>
      </w:r>
    </w:p>
    <w:p>
      <w:pPr>
        <w:pStyle w:val="Para 38"/>
      </w:pPr>
      <w:r>
        <w:t/>
      </w:r>
    </w:p>
    <w:p>
      <w:pPr>
        <w:pStyle w:val="Para 04"/>
      </w:pPr>
      <w:r>
        <w:t>«Тем вечером нашим гостем стал развлекательный отряд берлинской полиции — так называемая благотворительность для фронта. Развлечение состояло из музыкантов и артистов. Они слышали о предстоящем расстреле евреев и просили, даже решительно умоляли, позволить им участвовать в казни евреев. Запрос был одобрен батальоном».</w:t>
      </w:r>
      <w:hyperlink w:anchor="__356">
        <w:r>
          <w:rPr>
            <w:rStyle w:val="Text2"/>
          </w:rPr>
          <w:bookmarkStart w:id="415" w:name="356"/>
          <w:t>356</w:t>
          <w:bookmarkEnd w:id="415"/>
        </w:r>
      </w:hyperlink>
      <w:r>
        <w:rPr>
          <w:rStyle w:val="Text3"/>
        </w:rPr>
        <w:t xml:space="preserve"> </w:t>
      </w:r>
      <w:r>
        <w:t xml:space="preserve"> </w:t>
      </w:r>
    </w:p>
    <w:p>
      <w:pPr>
        <w:pStyle w:val="Para 39"/>
      </w:pPr>
      <w:r>
        <w:t/>
      </w:r>
    </w:p>
    <w:p>
      <w:pPr>
        <w:pStyle w:val="Para 02"/>
      </w:pPr>
      <w:r>
        <w:t>Утром Бухман вернулся с собрания и повёл своих людей к зданию Полиции Безопасности рядом со входом в гетто. Полицейские заняли посты охраны по сторонам улицы. Открылись железные ворота гетто, и полицейские погнали несколько сотен евреев наружу и из города.</w:t>
      </w:r>
      <w:hyperlink w:anchor="__357">
        <w:r>
          <w:rPr>
            <w:rStyle w:val="Text2"/>
          </w:rPr>
          <w:bookmarkStart w:id="416" w:name="357"/>
          <w:t>357</w:t>
          <w:bookmarkEnd w:id="416"/>
        </w:r>
      </w:hyperlink>
      <w:r>
        <w:rPr>
          <w:rStyle w:val="Text3"/>
        </w:rPr>
        <w:t xml:space="preserve"> </w:t>
      </w:r>
      <w:r>
        <w:t xml:space="preserve"> </w:t>
      </w:r>
    </w:p>
    <w:p>
      <w:pPr>
        <w:pStyle w:val="Para 02"/>
      </w:pPr>
      <w:r>
        <w:t xml:space="preserve">Для колонн евреев требовалось всё больше охранников, и члены штаба батальона получили приказ </w:t>
        <w:t>прибыть</w:t>
        <w:t xml:space="preserve"> в штаб Полиции Безопасности. Несколькими днями ранее из окон </w:t>
        <w:t>переделанной</w:t>
        <w:t xml:space="preserve"> в бараки школы они смотрели, как мимо </w:t>
        <w:t xml:space="preserve">них </w:t>
        <w:t xml:space="preserve">на железнодорожную станцию вели евреев Лукува. Теперь пришла их очередь заниматься подобным. Им выдали контингент от </w:t>
        <w:t xml:space="preserve">50 </w:t>
        <w:t xml:space="preserve">до </w:t>
        <w:t xml:space="preserve">100 </w:t>
        <w:t>евреев и знакомым путём отправили из города.</w:t>
      </w:r>
      <w:hyperlink w:anchor="__358">
        <w:r>
          <w:rPr>
            <w:rStyle w:val="Text2"/>
          </w:rPr>
          <w:bookmarkStart w:id="417" w:name="358"/>
          <w:t>358</w:t>
          <w:bookmarkEnd w:id="417"/>
        </w:r>
      </w:hyperlink>
      <w:r>
        <w:rPr>
          <w:rStyle w:val="Text3"/>
        </w:rPr>
        <w:t xml:space="preserve"> </w:t>
      </w:r>
      <w:r>
        <w:t xml:space="preserve"> </w:t>
      </w:r>
    </w:p>
    <w:p>
      <w:pPr>
        <w:pStyle w:val="Para 02"/>
      </w:pPr>
      <w:r>
        <w:t>Тем временем первая колонна свернул</w:t>
        <w:t>а</w:t>
        <w:t xml:space="preserve"> с дороги и последовала на открытый луг с песчаной почвой. Офицер СС приказал остановиться и сказал заместителю Бухмана Гансу Пруцману* приступить к расстрелу евреев. Пруцман сформировал расстрельную команду </w:t>
        <w:t xml:space="preserve">размером </w:t>
        <w:t xml:space="preserve">от </w:t>
        <w:t>15</w:t>
        <w:t xml:space="preserve"> до </w:t>
        <w:t>25</w:t>
        <w:t xml:space="preserve"> человек, в основном из волонтёров отряда развлечения, экипированных вооружением батальона. Евреям пришлось раздеться — мужчинам полностью, женщинам до исподнего. Они сложили обувь и одежду в кучу и их группами повели на место казни где-то в пятидесяти метрах на отдалении. Там их как обычно положили лицом вниз и застрелили </w:t>
        <w:t>со спины</w:t>
        <w:t>, используя штыки как прицелы. Рядом вместе с несколькими офицерами СС стоял Бухман.</w:t>
      </w:r>
      <w:hyperlink w:anchor="__359">
        <w:r>
          <w:rPr>
            <w:rStyle w:val="Text2"/>
          </w:rPr>
          <w:bookmarkStart w:id="418" w:name="359"/>
          <w:t>359</w:t>
          <w:bookmarkEnd w:id="418"/>
        </w:r>
      </w:hyperlink>
      <w:r>
        <w:rPr>
          <w:rStyle w:val="Text3"/>
        </w:rPr>
        <w:t xml:space="preserve"> </w:t>
      </w:r>
      <w:r>
        <w:t xml:space="preserve"> </w:t>
      </w:r>
    </w:p>
    <w:p>
      <w:pPr>
        <w:pStyle w:val="Para 02"/>
      </w:pPr>
      <w:r>
        <w:t>Когда члены штаба батальона прибыли на песчаный луг, расстрелы уже начались. Подошедший к ним Бухман сообщил, что от них требуется предоставить расстрельную команду для приведённых ими евреев. Один клерк, заведующий униформами, попросил исключить себя из этого. «Потому что среди приведённых нами евреев было много детей, а тогда я и сам был отцом в семье с тремя детьми. Я сказал лейтенанту что-то вроде того, что я не мог стрелять и попросил назначить меня на какие-нибудь другие работы». Несколько других незамедлительно сделали тот же запрос.</w:t>
      </w:r>
      <w:hyperlink w:anchor="__360">
        <w:r>
          <w:rPr>
            <w:rStyle w:val="Text2"/>
          </w:rPr>
          <w:bookmarkStart w:id="419" w:name="360"/>
          <w:t>360</w:t>
          <w:bookmarkEnd w:id="419"/>
        </w:r>
      </w:hyperlink>
      <w:r>
        <w:rPr>
          <w:rStyle w:val="Text3"/>
        </w:rPr>
        <w:t xml:space="preserve"> </w:t>
      </w:r>
      <w:r>
        <w:t xml:space="preserve"> </w:t>
      </w:r>
    </w:p>
    <w:p>
      <w:pPr>
        <w:pStyle w:val="Para 02"/>
      </w:pPr>
      <w:r>
        <w:t xml:space="preserve">Таким образом, Бухман обнаружил себя в той же позиции, что и Трапп в Юзефуве и в целом отреагировал тем же образом. Получив прямой приказ от вышестоящего офицера СС Полиции Безопасности произвести массовую казнь евреев силами своего подразделения Полиции Порядка, он </w:t>
        <w:t>подчинился</w:t>
        <w:t>. Столкнувшись с подчинёнными, которые открыто просили о другом назначении, как и он сам сделал в Юзефуве, Бухман согласился и отпустил четырёх. В процессе самой казни Бухман удалился. В компании старшего члена штаба, человека, которого он хорошо знал и чей запрос об отказе от участия только что одобрил, ушёл далеко от места казни.</w:t>
      </w:r>
    </w:p>
    <w:p>
      <w:pPr>
        <w:pStyle w:val="Para 05"/>
      </w:pPr>
      <w:r>
        <w:t xml:space="preserve"> Какое-то время спустя связисты и водители штаба батальона получили приказ принять участие в ещё одном расстреле евреев, собранных Полицией Безопасности в Лукуве. В этот раз Бухмана на месте не было</w:t>
      </w:r>
      <w:hyperlink w:anchor="__361">
        <w:r>
          <w:rPr>
            <w:rStyle w:val="Text2"/>
          </w:rPr>
          <w:bookmarkStart w:id="420" w:name="361"/>
          <w:t>361</w:t>
          <w:bookmarkEnd w:id="420"/>
        </w:r>
      </w:hyperlink>
      <w:r>
        <w:rPr>
          <w:rStyle w:val="Text3"/>
        </w:rPr>
        <w:t xml:space="preserve"> </w:t>
      </w:r>
      <w:r>
        <w:t xml:space="preserve"> </w:t>
        <w:t xml:space="preserve"> — его многочисленные запросы о переводе в Гамбург наконец-то одобрили. По возвращению он сначала занял позицию офицера воздушной защиты. Между январём и августом 1943 </w:t>
        <w:t xml:space="preserve">года </w:t>
        <w:t>служил адъютантом президента полиции в Гамбурге. После этого ему позволили вернуться в свою лесозаготовочную фирму, по делам которой во время последнего года войны он путешествовал во Францию, Австрию и Чехословакию. Незадолго до своего расставания с Полицией Порядка получил повышение до старшего лейтенанта запаса.</w:t>
      </w:r>
      <w:hyperlink w:anchor="__362">
        <w:r>
          <w:rPr>
            <w:rStyle w:val="Text2"/>
          </w:rPr>
          <w:bookmarkStart w:id="421" w:name="362"/>
          <w:t>362</w:t>
          <w:bookmarkEnd w:id="421"/>
        </w:r>
      </w:hyperlink>
      <w:r>
        <w:rPr>
          <w:rStyle w:val="Text3"/>
        </w:rPr>
        <w:t xml:space="preserve"> </w:t>
      </w:r>
      <w:r>
        <w:t xml:space="preserve"> </w:t>
        <w:t xml:space="preserve"> Совершенно ясно, что Трапп не только защищал его от участия в действиях против евреев в Польше (за исключением стрельбы в Лукуве), но и позаботился о том, чтобы его личное дело содержало положительную характеристику </w:t>
        <w:t xml:space="preserve">и </w:t>
        <w:t xml:space="preserve">не </w:t>
        <w:t xml:space="preserve">вредило </w:t>
        <w:t>его карьере.</w:t>
      </w:r>
      <w:r>
        <w:rPr>
          <w:rStyle w:val="Text7"/>
        </w:rPr>
        <w:t xml:space="preserve"> </w:t>
      </w:r>
    </w:p>
    <w:p>
      <w:pPr>
        <w:pStyle w:val="Heading 2"/>
      </w:pPr>
      <w:r>
        <w:bookmarkStart w:id="422" w:name="anchor30"/>
        <w:t/>
        <w:bookmarkEnd w:id="422"/>
        <w:t xml:space="preserve">Глава </w:t>
        <w:t>13</w:t>
        <w:bookmarkStart w:id="423" w:name="anchor76"/>
        <w:t/>
        <w:bookmarkEnd w:id="423"/>
        <w:bookmarkStart w:id="424" w:name="anchor77"/>
        <w:t/>
        <w:bookmarkEnd w:id="424"/>
      </w:r>
    </w:p>
    <w:p>
      <w:pPr>
        <w:pStyle w:val="Para 11"/>
      </w:pPr>
      <w:r>
        <w:bookmarkStart w:id="425" w:name="anchor31"/>
        <w:t/>
        <w:bookmarkEnd w:id="425"/>
        <w:t>Странности со здоровьем капитана Хоффмана</w:t>
      </w:r>
    </w:p>
    <w:p>
      <w:pPr>
        <w:pStyle w:val="Para 09"/>
      </w:pPr>
      <w:r>
        <w:t xml:space="preserve"> </w:t>
        <w:br w:clear="none"/>
      </w:r>
    </w:p>
    <w:p>
      <w:pPr>
        <w:pStyle w:val="Para 05"/>
      </w:pPr>
      <w:r>
        <w:rPr>
          <w:rStyle w:val="Text6"/>
        </w:rPr>
        <w:t/>
      </w:r>
      <w:r>
        <w:t>До осени 1942-</w:t>
        <w:t xml:space="preserve">го </w:t>
        <w:t xml:space="preserve">третья рота Полицейского Резервного Батальона 101 под командованием капитана и гауптштурмфюрера СС Вольфганга Хоффмана наслаждалась безоблачной жизнью, по большей части </w:t>
        <w:t xml:space="preserve">избавленной от ставшей основной кровавой деятельности других отрядов </w:t>
        <w:t>б</w:t>
        <w:t xml:space="preserve">атальона. В Юзефуве два взвода третьей роты назначили во внешний кордон, так что никто из их членов не </w:t>
        <w:t>вступал</w:t>
        <w:t xml:space="preserve"> в расстрельные команды в лесу. Когда батальон перевели в северную зону безопасности </w:t>
        <w:t>округа</w:t>
        <w:t xml:space="preserve"> Люблина, второй и третий взводы третьей роты расположились в </w:t>
        <w:t>районе</w:t>
        <w:t xml:space="preserve"> Пулавы. Третий взвод под прямым командованием Хоффмана размещался в самом городе Пулавы, а неподалёку и второй взвод лейтенанта Хоппнера, сначала в Куруве [Kurów], а затем в Вандолине [Wandolin]. Бóльшую часть евреев </w:t>
        <w:t>района</w:t>
        <w:t xml:space="preserve"> Пулавы депортировали в Собибор ещё в мае 1942 </w:t>
        <w:t>г.</w:t>
        <w:t xml:space="preserve"> — первые евреи убитые в том лагере — а остальная часть еврейского населения была сконцентрирована в «сборочных гетто» в небольшом городе Коньсковоля [Końskowola], где-то в шести километрах к востоку от Пулавы. Таким образом, только первый взвод лейтенанта Питерса, расположенный в соседнем </w:t>
        <w:t>районе</w:t>
        <w:t xml:space="preserve"> Радзинь, был вовлечён в августовские депортации и сентябрьские расстрелы. В Пулавы даже польское сопротивление не беспокоило третью роту — Хоффман в своём рапорте писал, что они нашли </w:t>
        <w:t>район</w:t>
        <w:t xml:space="preserve"> «достаточно тихим», и до октября не было ни одного столкновения с «вооружёнными бандитами».</w:t>
      </w:r>
      <w:hyperlink w:anchor="__363">
        <w:r>
          <w:rPr>
            <w:rStyle w:val="Text2"/>
          </w:rPr>
          <w:bookmarkStart w:id="426" w:name="363"/>
          <w:t>363</w:t>
          <w:bookmarkEnd w:id="426"/>
        </w:r>
      </w:hyperlink>
      <w:r>
        <w:rPr>
          <w:rStyle w:val="Text3"/>
        </w:rPr>
        <w:t xml:space="preserve"> </w:t>
      </w:r>
      <w:r>
        <w:t xml:space="preserve"> </w:t>
      </w:r>
      <w:r>
        <w:rPr>
          <w:rStyle w:val="Text6"/>
        </w:rPr>
        <w:t xml:space="preserve"> </w:t>
      </w:r>
    </w:p>
    <w:p>
      <w:pPr>
        <w:pStyle w:val="Para 02"/>
      </w:pPr>
      <w:r>
        <w:t>Однако в начале октября удача третьей роты закончилась. В «сборочном гетто» Коньсковоля, содержавшем от 1 500 до 2 000 евреев</w:t>
      </w:r>
      <w:hyperlink w:anchor="__364">
        <w:r>
          <w:rPr>
            <w:rStyle w:val="Text2"/>
          </w:rPr>
          <w:bookmarkStart w:id="427" w:name="364"/>
          <w:t>364</w:t>
          <w:bookmarkEnd w:id="427"/>
        </w:r>
      </w:hyperlink>
      <w:r>
        <w:rPr>
          <w:rStyle w:val="Text3"/>
        </w:rPr>
        <w:t xml:space="preserve"> </w:t>
      </w:r>
      <w:r>
        <w:t xml:space="preserve"> , планировалась чистка, подобная чисткам в соседнем Радзине. Северный Люблин должен был стать </w:t>
      </w:r>
      <w:r>
        <w:rPr>
          <w:rStyle w:val="Text0"/>
        </w:rPr>
        <w:t>judenfrei</w:t>
      </w:r>
      <w:r>
        <w:t xml:space="preserve">. Для </w:t>
        <w:t xml:space="preserve">выполнения </w:t>
        <w:t xml:space="preserve">задачи собрали значительные силы: все три взвода третьей роты, включая Питерса в Чемерниках, местный контингент Жандармерии из примерно двенадцати человек под командованием </w:t>
        <w:t>старшего</w:t>
        <w:t xml:space="preserve"> лейтенанта Джаммера (ч</w:t>
        <w:t>ь</w:t>
        <w:t>ей основной задачей был надсмотр за местной польской полицией), передвижн</w:t>
        <w:t>ую</w:t>
        <w:t xml:space="preserve"> моторизированн</w:t>
        <w:t>ую</w:t>
        <w:t xml:space="preserve"> рот</w:t>
        <w:t>у</w:t>
      </w:r>
      <w:hyperlink w:anchor="__365">
        <w:r>
          <w:rPr>
            <w:rStyle w:val="Text2"/>
          </w:rPr>
          <w:bookmarkStart w:id="428" w:name="365"/>
          <w:t>365</w:t>
          <w:bookmarkEnd w:id="428"/>
        </w:r>
      </w:hyperlink>
      <w:r>
        <w:rPr>
          <w:rStyle w:val="Text3"/>
        </w:rPr>
        <w:t xml:space="preserve"> </w:t>
      </w:r>
      <w:r>
        <w:t xml:space="preserve"> </w:t>
        <w:t xml:space="preserve"> Жандармерии под командованием старшего лейтенанта Мессмана*, около 300 Хиви и тр</w:t>
        <w:t>ёх</w:t>
        <w:t xml:space="preserve"> член</w:t>
        <w:t>ов</w:t>
        <w:t xml:space="preserve"> СС из Люблина.</w:t>
      </w:r>
      <w:hyperlink w:anchor="__366">
        <w:r>
          <w:rPr>
            <w:rStyle w:val="Text2"/>
          </w:rPr>
          <w:bookmarkStart w:id="429" w:name="366"/>
          <w:t>366</w:t>
          <w:bookmarkEnd w:id="429"/>
        </w:r>
      </w:hyperlink>
      <w:r>
        <w:rPr>
          <w:rStyle w:val="Text3"/>
        </w:rPr>
        <w:t xml:space="preserve"> </w:t>
      </w:r>
      <w:r>
        <w:t xml:space="preserve"> Третья рота собралась в Пулавы, где Хоффман зачитал инструкции с бумажки: </w:t>
        <w:t>г</w:t>
        <w:t>етто должно быть зачищено, евреи собраны на рынке; кто не может ходить — старые, немощные, больные и младенцы — застрелены на месте. Это было стандартной процедурой, он добавил, уже какое-то время.</w:t>
      </w:r>
      <w:hyperlink w:anchor="__367">
        <w:r>
          <w:rPr>
            <w:rStyle w:val="Text2"/>
          </w:rPr>
          <w:bookmarkStart w:id="430" w:name="367"/>
          <w:t>367</w:t>
          <w:bookmarkEnd w:id="430"/>
        </w:r>
      </w:hyperlink>
      <w:r>
        <w:rPr>
          <w:rStyle w:val="Text3"/>
        </w:rPr>
        <w:t xml:space="preserve"> </w:t>
      </w:r>
      <w:r>
        <w:t xml:space="preserve"> </w:t>
      </w:r>
    </w:p>
    <w:p>
      <w:pPr>
        <w:pStyle w:val="Para 02"/>
      </w:pPr>
      <w:r>
        <w:t>Полицейские выехали в Коньсковолю. Хоффман, старший по званию офицер полиции, проконсультировался с Джаммером и Мессманом и распределил назначения. Вопреки обычной практике, Хиви назначили в кордон вместе с частью полицейских. Первые поисковые команды в гетто состояли из людей третьей роты и моторизированной роты Жандармерии Мессмана. Каждой команде определили свою зону поисков.</w:t>
      </w:r>
      <w:hyperlink w:anchor="__368">
        <w:r>
          <w:rPr>
            <w:rStyle w:val="Text2"/>
          </w:rPr>
          <w:bookmarkStart w:id="431" w:name="368"/>
          <w:t>368</w:t>
          <w:bookmarkEnd w:id="431"/>
        </w:r>
      </w:hyperlink>
      <w:r>
        <w:rPr>
          <w:rStyle w:val="Text3"/>
        </w:rPr>
        <w:t xml:space="preserve"> </w:t>
      </w:r>
      <w:r>
        <w:t xml:space="preserve"> </w:t>
      </w:r>
    </w:p>
    <w:p>
      <w:pPr>
        <w:pStyle w:val="Para 02"/>
      </w:pPr>
      <w:r>
        <w:t>Гетто страдало от эпидемии дизентерии, множество евреев не могло не то что дойти до рынка, но и встать с кроватей, в следствии чего стрельба шла по всему гетто. Один полицейский вспоминал: «я сам застрелил шестерых стариков в их домах; они были прикованы к постелям и сами попросили меня об этом».</w:t>
      </w:r>
      <w:hyperlink w:anchor="__369">
        <w:r>
          <w:rPr>
            <w:rStyle w:val="Text2"/>
          </w:rPr>
          <w:bookmarkStart w:id="432" w:name="369"/>
          <w:t>369</w:t>
          <w:bookmarkEnd w:id="432"/>
        </w:r>
      </w:hyperlink>
      <w:r>
        <w:rPr>
          <w:rStyle w:val="Text3"/>
        </w:rPr>
        <w:t xml:space="preserve"> </w:t>
      </w:r>
      <w:r>
        <w:t xml:space="preserve"> После завершения первых поисков и сбора выживших евреев на рынке, на поиски отправили назначенны</w:t>
        <w:t>е</w:t>
        <w:t xml:space="preserve"> ранее в кордон отряды. Они уже услышали непрекращающуюся стрельбу, а проводя обыск, встретили разбросанные повсюду трупы.</w:t>
      </w:r>
      <w:hyperlink w:anchor="__370">
        <w:r>
          <w:rPr>
            <w:rStyle w:val="Text2"/>
          </w:rPr>
          <w:bookmarkStart w:id="433" w:name="370"/>
          <w:t>370</w:t>
          <w:bookmarkEnd w:id="433"/>
        </w:r>
      </w:hyperlink>
      <w:r>
        <w:rPr>
          <w:rStyle w:val="Text3"/>
        </w:rPr>
        <w:t xml:space="preserve"> </w:t>
      </w:r>
      <w:r>
        <w:t xml:space="preserve"> </w:t>
      </w:r>
    </w:p>
    <w:p>
      <w:pPr>
        <w:pStyle w:val="Para 02"/>
      </w:pPr>
      <w:r>
        <w:t>Многи</w:t>
        <w:t>м</w:t>
        <w:t xml:space="preserve"> особенно ярко </w:t>
        <w:t xml:space="preserve">запомнилось </w:t>
        <w:t xml:space="preserve">здание, служившее гетто госпиталем — что на самом деле было не более чем большой комнатой, заполненной тремя или четырьмя рядами двухъярусных кроватей и ужасной вонью. На зачистку и ликвидацию госпиталя выделили группу из четырёх или пяти человек. В госпитале находилось от </w:t>
        <w:t>40</w:t>
        <w:t xml:space="preserve"> до </w:t>
        <w:t xml:space="preserve">50 </w:t>
        <w:t xml:space="preserve">пациентов, большинство из которых страдало от дизентерии. «В любом случае, </w:t>
        <w:t>почти все</w:t>
        <w:t xml:space="preserve"> были </w:t>
        <w:t xml:space="preserve">до жути </w:t>
        <w:t xml:space="preserve">тощими и </w:t>
        <w:t>голодными до смерти</w:t>
        <w:t>. Можно сказать, что они состояли из кожи и костей».</w:t>
      </w:r>
      <w:hyperlink w:anchor="__371">
        <w:r>
          <w:rPr>
            <w:rStyle w:val="Text2"/>
          </w:rPr>
          <w:bookmarkStart w:id="434" w:name="371"/>
          <w:t>371</w:t>
          <w:bookmarkEnd w:id="434"/>
        </w:r>
      </w:hyperlink>
      <w:r>
        <w:rPr>
          <w:rStyle w:val="Text3"/>
        </w:rPr>
        <w:t xml:space="preserve"> </w:t>
      </w:r>
      <w:r>
        <w:t xml:space="preserve"> Пытаясь, без сомнения, как можно быстрее покинуть помещение с такой вонью, полицейские открыли беглый огонь как только вошли в комнату. Под оружейным огнём тела падали с верхних коек. «Такой способ действий </w:t>
        <w:t>был мне так против</w:t>
        <w:t>ен</w:t>
        <w:t>, я испыт</w:t>
        <w:t>а</w:t>
        <w:t>л такой стыд, что я сразу повернулся и покинул комнату». — сообщил один полицейский.</w:t>
      </w:r>
      <w:hyperlink w:anchor="__372">
        <w:r>
          <w:rPr>
            <w:rStyle w:val="Text2"/>
          </w:rPr>
          <w:bookmarkStart w:id="435" w:name="372"/>
          <w:t>372</w:t>
          <w:bookmarkEnd w:id="435"/>
        </w:r>
      </w:hyperlink>
      <w:r>
        <w:rPr>
          <w:rStyle w:val="Text3"/>
        </w:rPr>
        <w:t xml:space="preserve"> </w:t>
      </w:r>
      <w:r>
        <w:t xml:space="preserve"> Другой вспоминал: «</w:t>
        <w:t>Увидев</w:t>
        <w:t xml:space="preserve"> больных </w:t>
        <w:t>евреев</w:t>
        <w:t xml:space="preserve">, </w:t>
        <w:t>для меня стало невозможно выстрелить в кого-нибудь из них</w:t>
        <w:t xml:space="preserve">, так что </w:t>
        <w:t xml:space="preserve">все выстрелы я </w:t>
        <w:t xml:space="preserve">намеренно </w:t>
        <w:t>произвёл</w:t>
        <w:t xml:space="preserve"> мимо</w:t>
        <w:t>».</w:t>
      </w:r>
      <w:hyperlink w:anchor="__373">
        <w:r>
          <w:rPr>
            <w:rStyle w:val="Text2"/>
          </w:rPr>
          <w:bookmarkStart w:id="436" w:name="373"/>
          <w:t>373</w:t>
          <w:bookmarkEnd w:id="436"/>
        </w:r>
      </w:hyperlink>
      <w:r>
        <w:rPr>
          <w:rStyle w:val="Text3"/>
        </w:rPr>
        <w:t xml:space="preserve"> </w:t>
      </w:r>
      <w:r>
        <w:t xml:space="preserve"> Присоединившийся к расстрелам сержант обратил внимание на такую стрельбу: «По завершению он отвёл меня в сторону и поносил как «предателя» и «труса», угрожал доложить об инциденте капитану Хоффману. Однако так этого и не сделал».</w:t>
      </w:r>
      <w:hyperlink w:anchor="__374">
        <w:r>
          <w:rPr>
            <w:rStyle w:val="Text2"/>
          </w:rPr>
          <w:bookmarkStart w:id="437" w:name="374"/>
          <w:t>374</w:t>
          <w:bookmarkEnd w:id="437"/>
        </w:r>
      </w:hyperlink>
      <w:r>
        <w:rPr>
          <w:rStyle w:val="Text3"/>
        </w:rPr>
        <w:t xml:space="preserve"> </w:t>
      </w:r>
      <w:r>
        <w:t xml:space="preserve"> </w:t>
      </w:r>
    </w:p>
    <w:p>
      <w:pPr>
        <w:pStyle w:val="Para 02"/>
      </w:pPr>
      <w:r>
        <w:t xml:space="preserve">На рынке евреев разделили — мужчины в одну сторону, женщины и дети в другую. </w:t>
        <w:t>Провели</w:t>
        <w:t xml:space="preserve"> отбор мужчин возрастом от </w:t>
        <w:t>18</w:t>
        <w:t xml:space="preserve"> до </w:t>
        <w:t>45</w:t>
        <w:t xml:space="preserve">, </w:t>
        <w:t>в особенности искали</w:t>
        <w:t xml:space="preserve"> квалифицированных рабочих, </w:t>
        <w:t>в</w:t>
        <w:t xml:space="preserve">озможно отобрали и некоторых женщин. Отобранных погнали из гетто на железнодорожную станцию </w:t>
        <w:t xml:space="preserve">Пулавы </w:t>
        <w:t>для отправки в рабочие лагеря Люблина. Они были так ослаблены, что многие не смогли справиться с пятикилометровым маршем до станции. Свидетели оценивали, что для работ отобрали от 500 до 1 000 евреев, но около сотни упавших от истощения расстреляли по пути.</w:t>
      </w:r>
      <w:hyperlink w:anchor="__375">
        <w:r>
          <w:rPr>
            <w:rStyle w:val="Text2"/>
          </w:rPr>
          <w:bookmarkStart w:id="438" w:name="375"/>
          <w:t>375</w:t>
          <w:bookmarkEnd w:id="438"/>
        </w:r>
      </w:hyperlink>
      <w:r>
        <w:rPr>
          <w:rStyle w:val="Text3"/>
        </w:rPr>
        <w:t xml:space="preserve"> </w:t>
      </w:r>
      <w:r>
        <w:t xml:space="preserve"> </w:t>
      </w:r>
    </w:p>
    <w:p>
      <w:pPr>
        <w:pStyle w:val="Para 02"/>
      </w:pPr>
      <w:r>
        <w:t xml:space="preserve">Пока пригодных для работ евреев выводили из города, оставшихся — от 800 до 1 000 женщин и детей, а так же большое количество стариков — повели к месту </w:t>
        <w:t>казни</w:t>
        <w:t xml:space="preserve"> в лесу за </w:t>
        <w:t>чертой</w:t>
        <w:t xml:space="preserve"> города. Для расстрельных команд людей предоставляли первый взвод Питерса и часть жандармерии Мессмана. Сначала в лес отвели мужчин, положили лицом вниз и застрелили. За ними последовали женщины и дети.</w:t>
      </w:r>
      <w:hyperlink w:anchor="__376">
        <w:r>
          <w:rPr>
            <w:rStyle w:val="Text2"/>
          </w:rPr>
          <w:bookmarkStart w:id="439" w:name="376"/>
          <w:t>376</w:t>
          <w:bookmarkEnd w:id="439"/>
        </w:r>
      </w:hyperlink>
      <w:r>
        <w:rPr>
          <w:rStyle w:val="Text3"/>
        </w:rPr>
        <w:t xml:space="preserve"> </w:t>
      </w:r>
      <w:r>
        <w:t xml:space="preserve"> Один полицейский беседовал с главой еврейского совета — немецким евреем из Мюнхена — пока того тоже не увели.</w:t>
      </w:r>
      <w:hyperlink w:anchor="__377">
        <w:r>
          <w:rPr>
            <w:rStyle w:val="Text2"/>
          </w:rPr>
          <w:bookmarkStart w:id="440" w:name="377"/>
          <w:t>377</w:t>
          <w:bookmarkEnd w:id="440"/>
        </w:r>
      </w:hyperlink>
      <w:r>
        <w:rPr>
          <w:rStyle w:val="Text3"/>
        </w:rPr>
        <w:t xml:space="preserve"> </w:t>
      </w:r>
      <w:r>
        <w:t xml:space="preserve"> Когда полицейские </w:t>
        <w:t>из эскорта</w:t>
        <w:t xml:space="preserve"> рабочих евреев вернулись на рынок, то обнаружили его пустым, однако могли слышать доносившиеся из леса выстрелы. Их отправили ещё один раз обыскать гетто, после чего позволили разойтись и отдохнуть. К тому времени уже наступил вечер, некоторые нашли приятный фермерский домик и играли в н</w:t>
        <w:t>ё</w:t>
        <w:t>м в карты.</w:t>
      </w:r>
      <w:hyperlink w:anchor="__378">
        <w:r>
          <w:rPr>
            <w:rStyle w:val="Text2"/>
          </w:rPr>
          <w:bookmarkStart w:id="441" w:name="378"/>
          <w:t>378</w:t>
          <w:bookmarkEnd w:id="441"/>
        </w:r>
      </w:hyperlink>
      <w:r>
        <w:rPr>
          <w:rStyle w:val="Text3"/>
        </w:rPr>
        <w:t xml:space="preserve"> </w:t>
      </w:r>
      <w:r>
        <w:t xml:space="preserve"> </w:t>
      </w:r>
    </w:p>
    <w:p>
      <w:pPr>
        <w:pStyle w:val="Para 02"/>
      </w:pPr>
      <w:r>
        <w:t xml:space="preserve">Двадцать пять лет спустя Вольфганг Хоффман утверждал, что не помнит ровным счётом ничего об акции в Конськоволе, в которой полицейские под его командованием убили за один день от 1 100 до 1 600 евреев. Его амнезия может иметь в своей основе не только юридические причины, но и проблемы со здоровьем, испытываемые им во время назначения в Пулавы. В то время Хоффман винил </w:t>
        <w:t xml:space="preserve">в </w:t>
        <w:t>сво</w:t>
        <w:t>ей</w:t>
        <w:t xml:space="preserve"> болезн</w:t>
        <w:t>и</w:t>
        <w:t xml:space="preserve"> вакцину от дизентерии, сделанную в конце августа. В 1960-х он подумал, что более удобным будет отслеживать своё заболевание до психологического стресса, полученного во время резни в Юзефуве.</w:t>
      </w:r>
      <w:hyperlink w:anchor="__379">
        <w:r>
          <w:rPr>
            <w:rStyle w:val="Text2"/>
          </w:rPr>
          <w:bookmarkStart w:id="442" w:name="379"/>
          <w:t>379</w:t>
          <w:bookmarkEnd w:id="442"/>
        </w:r>
      </w:hyperlink>
      <w:r>
        <w:rPr>
          <w:rStyle w:val="Text3"/>
        </w:rPr>
        <w:t xml:space="preserve"> </w:t>
      </w:r>
      <w:r>
        <w:t xml:space="preserve"> Какой бы ни была причина, Хоффман начал страдать от диареи и болях в животе в сентябре и октябре 1942 </w:t>
        <w:t>г</w:t>
        <w:t xml:space="preserve">. По своим собственным показаниям его состояния — вегетативный колит </w:t>
        <w:t>[</w:t>
        <w:t>vegetative colitis</w:t>
        <w:t>]</w:t>
        <w:t xml:space="preserve"> — сильно усугубл</w:t>
        <w:t>ялось</w:t>
        <w:t xml:space="preserve"> тряской при поездках, особенно на велосипеде или машине, так что он в то время редко лично руководил деятельностью своей роты. Тем не менее. из-за «солдатского энтузиазма» и желания поправиться, он </w:t>
        <w:t xml:space="preserve">до конца октября отказывался </w:t>
        <w:t xml:space="preserve">сообщать о своей болезни. В военный госпиталь он пришёл </w:t>
        <w:t xml:space="preserve">только 2 </w:t>
        <w:t>ноября по приказу доктора.</w:t>
      </w:r>
    </w:p>
    <w:p>
      <w:pPr>
        <w:pStyle w:val="Para 02"/>
      </w:pPr>
      <w:r>
        <w:t xml:space="preserve">Люди Хоффмана единогласно озвучивают другую версию. По их наблюдениям, его «предполагаемые» приступы боли в животе, приковывающие его к безопасности постели, слишком удачно совпадали с не привлекательными или опасными операциями роты. Было обычным дело для </w:t>
        <w:t>них</w:t>
        <w:t xml:space="preserve"> предсказать, услышав ночью о предстоящем, что </w:t>
        <w:t>командир</w:t>
        <w:t xml:space="preserve"> роты к утру решит остаться в постели.</w:t>
      </w:r>
    </w:p>
    <w:p>
      <w:pPr>
        <w:pStyle w:val="Para 02"/>
      </w:pPr>
      <w:r>
        <w:t xml:space="preserve">Из-за двух усугубляющих факторов поведение Хоффмана терзало его людей особенно сильно. Во-первых, тот был всегда строгим и недоступным — типичным «штабным офицером», любившим свои белый воротник и перчатки, носившим </w:t>
        <w:t>инсигнии</w:t>
        <w:t xml:space="preserve"> СС на униформе и требовавшим значительного почтения. Его явная робость перед лицом действия выглядела вершиной лицемерия, и его окрестили «Пимпф» — названием для членов гитлерюгенда, возрастом от десяти до четырнадцати лет, по смыслу — «бойскауты Гитлера».</w:t>
      </w:r>
    </w:p>
    <w:p>
      <w:pPr>
        <w:pStyle w:val="Para 02"/>
      </w:pPr>
      <w:r>
        <w:t xml:space="preserve">Во-вторых, Хоффман стремился компенсировать отсутствие своей мобильности усиленным надсмотром за своими подчинёнными. Он пытался действовать не только как командир роты, но и как командир взвода, а приказы настойчиво раздавал из постели. Перед каждыми патрулём или операцией, унтер-офицеры рапортовали в спальню Хоффмана лично ему. Третий взвод, расположенный в Пулавы, был без лейтенанта и руководился старшим сержантом Джастменом*. Он в особенности не имел права распоряжаться людьми без личного </w:t>
        <w:t xml:space="preserve">на то </w:t>
        <w:t xml:space="preserve">одобрения </w:t>
        <w:t xml:space="preserve">от </w:t>
        <w:t>Хоффмана. Джастмен и другие сержанты чувствовали, будто их понизили до звания капралов.</w:t>
      </w:r>
      <w:hyperlink w:anchor="__380">
        <w:r>
          <w:rPr>
            <w:rStyle w:val="Text2"/>
          </w:rPr>
          <w:bookmarkStart w:id="443" w:name="380"/>
          <w:t>380</w:t>
          <w:bookmarkEnd w:id="443"/>
        </w:r>
      </w:hyperlink>
      <w:r>
        <w:rPr>
          <w:rStyle w:val="Text3"/>
        </w:rPr>
        <w:t xml:space="preserve"> </w:t>
      </w:r>
      <w:r>
        <w:t xml:space="preserve"> </w:t>
      </w:r>
    </w:p>
    <w:p>
      <w:pPr>
        <w:pStyle w:val="Para 02"/>
      </w:pPr>
      <w:r>
        <w:t xml:space="preserve">С 2 </w:t>
        <w:t xml:space="preserve">по 25 </w:t>
        <w:t xml:space="preserve">ноября Хоффман был госпитализирован в Пулавы, </w:t>
        <w:t xml:space="preserve">а </w:t>
        <w:t xml:space="preserve">затем </w:t>
        <w:t>в отпуске по состоянию здоровья</w:t>
      </w:r>
      <w:hyperlink w:anchor="__381">
        <w:r>
          <w:rPr>
            <w:rStyle w:val="Text2"/>
          </w:rPr>
          <w:bookmarkStart w:id="444" w:name="381"/>
          <w:t>381</w:t>
          <w:bookmarkEnd w:id="444"/>
        </w:r>
      </w:hyperlink>
      <w:r>
        <w:rPr>
          <w:rStyle w:val="Text3"/>
        </w:rPr>
        <w:t xml:space="preserve"> </w:t>
      </w:r>
      <w:r>
        <w:t xml:space="preserve"> </w:t>
        <w:t xml:space="preserve"> находился в Германии. После нового года всего на месяц вернулся руководить ротой, перед тем как снова вернуться на лечение в Германию, во время которого и узнал, что Трапп освободил его от должности командира роты.</w:t>
      </w:r>
    </w:p>
    <w:p>
      <w:pPr>
        <w:pStyle w:val="Para 02"/>
      </w:pPr>
      <w:r>
        <w:t xml:space="preserve">Отношения между Траппом и Хоффманом стали портиться ещё в январе, когда командующий батальоном приказал всем офицерам, унтер-офицерам и рядовым подписать специальную декларацию, по которой солдат обязывался не воровать, грабить или отбирать вещи без </w:t>
        <w:t>о</w:t>
        <w:t>платы. Хоффман написал Траппу разъярённое письмо, в котором открыто отказывался выполнять подобный указ, потому как тот глубоко нарушал «его честь».</w:t>
      </w:r>
      <w:hyperlink w:anchor="__382">
        <w:r>
          <w:rPr>
            <w:rStyle w:val="Text2"/>
          </w:rPr>
          <w:bookmarkStart w:id="445" w:name="382"/>
          <w:t>382</w:t>
          <w:bookmarkEnd w:id="445"/>
        </w:r>
      </w:hyperlink>
      <w:r>
        <w:rPr>
          <w:rStyle w:val="Text3"/>
        </w:rPr>
        <w:t xml:space="preserve"> </w:t>
      </w:r>
      <w:r>
        <w:t xml:space="preserve"> Трапп так же прослышал о нелестных отзывах о деятельности Хоффмана в Пулавы от его временной замены — </w:t>
        <w:t>старшего</w:t>
        <w:t xml:space="preserve"> лейтенанта Мессмена, командира моторизированной роты Жандармерии, участвовавшей в резне в Коньсковоле. 23 февраля 1943 </w:t>
        <w:t xml:space="preserve">года </w:t>
        <w:t>проконсультировавшись со старшим сержантом третьей роты Карлсеном*, подтвердившим паттерн заболевания Хоффмана, Трапп отправил запрос об освобождении Хоффмана с поста командующего ротой. Основанием служили его рапорты о болезни перед каждой важной операцией, и этот «недостаток чувства долга» плохо сказывался на морали людей.</w:t>
      </w:r>
      <w:hyperlink w:anchor="__383">
        <w:r>
          <w:rPr>
            <w:rStyle w:val="Text2"/>
          </w:rPr>
          <w:bookmarkStart w:id="446" w:name="383"/>
          <w:t>383</w:t>
          <w:bookmarkEnd w:id="446"/>
        </w:r>
      </w:hyperlink>
      <w:r>
        <w:rPr>
          <w:rStyle w:val="Text3"/>
        </w:rPr>
        <w:t xml:space="preserve"> </w:t>
      </w:r>
      <w:r>
        <w:t xml:space="preserve"> </w:t>
      </w:r>
    </w:p>
    <w:p>
      <w:pPr>
        <w:pStyle w:val="Para 02"/>
      </w:pPr>
      <w:r>
        <w:t>Гордый, чувствительный Хоффман энергично и горячо ответил на своё отстранение, снова утверждая, что его «честь офицера и солдата были глубоко задеты», после чего обвинил Траппа в действии из личных мотивов.</w:t>
      </w:r>
      <w:hyperlink w:anchor="__384">
        <w:r>
          <w:rPr>
            <w:rStyle w:val="Text2"/>
          </w:rPr>
          <w:bookmarkStart w:id="447" w:name="384"/>
          <w:t>384</w:t>
          <w:bookmarkEnd w:id="447"/>
        </w:r>
      </w:hyperlink>
      <w:r>
        <w:rPr>
          <w:rStyle w:val="Text3"/>
        </w:rPr>
        <w:t xml:space="preserve"> </w:t>
      </w:r>
      <w:r>
        <w:t xml:space="preserve"> Трапп во всех подробностях объяснился и был оправдан. </w:t>
        <w:t>Командир</w:t>
        <w:t xml:space="preserve"> Полиции Порядка </w:t>
        <w:t>округа</w:t>
        <w:t xml:space="preserve"> Люблина заключил, что поведение Хоффмана не было «ни в коем случае удовлетворительно»; если он действительно был болен, то действовал безответственно, игнорируя касающиеся такой ситуации регуляции; и ему должна быть предоставлена возможность проявить себя в командовании другим отрядом.</w:t>
      </w:r>
      <w:hyperlink w:anchor="__385">
        <w:r>
          <w:rPr>
            <w:rStyle w:val="Text2"/>
          </w:rPr>
          <w:bookmarkStart w:id="448" w:name="385"/>
          <w:t>385</w:t>
          <w:bookmarkEnd w:id="448"/>
        </w:r>
      </w:hyperlink>
      <w:r>
        <w:rPr>
          <w:rStyle w:val="Text3"/>
        </w:rPr>
        <w:t xml:space="preserve"> </w:t>
      </w:r>
      <w:r>
        <w:t xml:space="preserve"> </w:t>
      </w:r>
    </w:p>
    <w:p>
      <w:pPr>
        <w:pStyle w:val="Para 02"/>
      </w:pPr>
      <w:r>
        <w:t xml:space="preserve">Осенью 1943 </w:t>
        <w:t>года</w:t>
        <w:t xml:space="preserve"> Хоффмана действительно перевели в полицейский батальон с фронтовым опытом в </w:t>
        <w:t>Советском Союзе</w:t>
        <w:t>, где он получил железный крест второго класса. Позже ему дали в командование белорусский вспомогательный батальон под Минском, а затем батальон кавказских «добровольцев». Закончил войну старшим офицером штаба командующего генерала полиции в Познани.</w:t>
      </w:r>
      <w:hyperlink w:anchor="__386">
        <w:r>
          <w:rPr>
            <w:rStyle w:val="Text2"/>
          </w:rPr>
          <w:bookmarkStart w:id="449" w:name="386"/>
          <w:t>386</w:t>
          <w:bookmarkEnd w:id="449"/>
        </w:r>
      </w:hyperlink>
      <w:r>
        <w:rPr>
          <w:rStyle w:val="Text3"/>
        </w:rPr>
        <w:t xml:space="preserve"> </w:t>
      </w:r>
      <w:r>
        <w:t xml:space="preserve"> </w:t>
        <w:t xml:space="preserve"> Говоря иначе</w:t>
        <w:t>, из его поведения после осени 1942-</w:t>
        <w:t>го</w:t>
        <w:t xml:space="preserve"> сложно подумать, что Хоффман был трусом, как подозревали его люди </w:t>
        <w:t xml:space="preserve">и </w:t>
        <w:t xml:space="preserve">Трапп. Он был болен. Нельзя установить, вызвана ли его болезнь кровавой деятельностью Полицейского Резервного Батальона 101, но у него были симптомы психологически вызванного «раздражённого кишечника» или «адаптивного колита» </w:t>
        <w:t>и, к</w:t>
        <w:t xml:space="preserve">онечно же, обязанности Хоффмана ухудшали его состояние. Более того, ясно видно, что вместо того, чтобы использовать заболевание как оправдание для получения другого назначения вместо убийства евреев, Хоффман всеми силами старался скрыть своё </w:t>
        <w:t>заболевание</w:t>
        <w:t xml:space="preserve"> от начальства и избегал госпитализации. Если массовые убийства давали Хоффману боли в животе, то можно считать фактом, что он испытывал глубокий стыд, но изо всех сил старался его превозмочь.</w:t>
      </w:r>
    </w:p>
    <w:p>
      <w:pPr>
        <w:pStyle w:val="Para 09"/>
      </w:pPr>
      <w:r>
        <w:t xml:space="preserve"> </w:t>
        <w:br w:clear="none"/>
      </w:r>
    </w:p>
    <w:p>
      <w:pPr>
        <w:pStyle w:val="Heading 2"/>
      </w:pPr>
      <w:r>
        <w:bookmarkStart w:id="450" w:name="anchor32"/>
        <w:t/>
        <w:bookmarkEnd w:id="450"/>
        <w:t>Глава 14</w:t>
        <w:bookmarkStart w:id="451" w:name="anchor78"/>
        <w:t/>
        <w:bookmarkEnd w:id="451"/>
        <w:bookmarkStart w:id="452" w:name="anchor79"/>
        <w:t/>
        <w:bookmarkEnd w:id="452"/>
      </w:r>
    </w:p>
    <w:p>
      <w:pPr>
        <w:pStyle w:val="Para 11"/>
      </w:pPr>
      <w:r>
        <w:bookmarkStart w:id="453" w:name="anchor33"/>
        <w:t/>
        <w:bookmarkEnd w:id="453"/>
        <w:t>«Охота на евреев»</w:t>
      </w:r>
    </w:p>
    <w:p>
      <w:pPr>
        <w:pStyle w:val="Para 09"/>
      </w:pPr>
      <w:r>
        <w:t xml:space="preserve"> </w:t>
        <w:br w:clear="none"/>
      </w:r>
    </w:p>
    <w:p>
      <w:pPr>
        <w:pStyle w:val="Para 05"/>
      </w:pPr>
      <w:r>
        <w:rPr>
          <w:rStyle w:val="Text6"/>
        </w:rPr>
        <w:t/>
      </w:r>
      <w:r>
        <w:t xml:space="preserve">К середине ноября 1942 </w:t>
        <w:t>года</w:t>
        <w:t xml:space="preserve">, после массовых убийств в Юзефуве, Ломазы, Серокомле, Коньсковоле и в других местах, ликвидаций гетто Мендзыжеца, Лукува, Парчева, Радзиня и Коцка, члены Полицейского Резервного Батальона 101 приняли прямое участие в казне </w:t>
        <w:t xml:space="preserve">как </w:t>
        <w:t xml:space="preserve">минимум 6 500 польских евреев и депортации </w:t>
        <w:t xml:space="preserve">по консервативным оценкам от </w:t>
        <w:t xml:space="preserve">42 000 в газовые камеры Треблинки. Но их роль в кампании по массовому убийству всё ещё не была завершена. Отчистив города и гетто северного </w:t>
        <w:t>округа</w:t>
        <w:t xml:space="preserve"> Люблина, батальон получил приказ отслеживать и систематически уничтожать всех, кто </w:t>
        <w:t xml:space="preserve">спрятался </w:t>
        <w:t>и</w:t>
        <w:t xml:space="preserve"> </w:t>
        <w:t xml:space="preserve">избежал предыдущих облав. </w:t>
        <w:t>Если к</w:t>
        <w:t xml:space="preserve">оротко — они были ответственны за окончательное превращение </w:t>
        <w:t>округа</w:t>
        <w:t xml:space="preserve"> в </w:t>
      </w:r>
      <w:r>
        <w:rPr>
          <w:rStyle w:val="Text0"/>
        </w:rPr>
        <w:t>judenfrei</w:t>
      </w:r>
      <w:r>
        <w:t>.</w:t>
      </w:r>
      <w:r>
        <w:rPr>
          <w:rStyle w:val="Text6"/>
        </w:rPr>
        <w:t xml:space="preserve"> </w:t>
      </w:r>
    </w:p>
    <w:p>
      <w:pPr>
        <w:pStyle w:val="Para 02"/>
      </w:pPr>
      <w:r>
        <w:t xml:space="preserve">Годом ранее 15 октября 1941 </w:t>
        <w:t>г.</w:t>
        <w:t xml:space="preserve">, глава Генерал-губернаторства Ганс Франк объявил, что любой еврей обнаруженный вне гетто будет отправлен на специальный суд и приговорён к смерти. Этот указ как минимум отчасти возник в ответ на запрос членов немецкого здравоохранения в Польше, которые пришли к заключению, что только самое суровое наказание сможет удержать голодающих евреев от покидания гетто для контрабанды еды, тем самым разнося эпидемию тифа, которая опустошала гетто. К примеру, глава здравоохранения в </w:t>
        <w:t>округе</w:t>
        <w:t xml:space="preserve"> Варшавы Доктор Ламбрехт поддерживала закон, угрожающий евреям вне гетто «смертью через повешение», что было «сильнее страха смерти от голода».</w:t>
      </w:r>
      <w:hyperlink w:anchor="__387">
        <w:r>
          <w:rPr>
            <w:rStyle w:val="Text2"/>
          </w:rPr>
          <w:bookmarkStart w:id="454" w:name="387"/>
          <w:t>387</w:t>
          <w:bookmarkEnd w:id="454"/>
        </w:r>
      </w:hyperlink>
      <w:r>
        <w:rPr>
          <w:rStyle w:val="Text3"/>
        </w:rPr>
        <w:t xml:space="preserve"> </w:t>
      </w:r>
      <w:r>
        <w:t xml:space="preserve"> Вскоре, однако, возникли жалобы </w:t>
        <w:t>на</w:t>
        <w:t xml:space="preserve"> имплементаци</w:t>
        <w:t>ю</w:t>
        <w:t xml:space="preserve"> этого указа — </w:t>
        <w:t>р</w:t>
        <w:t xml:space="preserve">абочая сила для эскорта евреев была сильно ограничена, расстояния слишком большими, судебные процедуры специального суда слишком накладными и затратными по времени. Решение было простым — все судебные процедуры отменялись, </w:t>
        <w:t xml:space="preserve">а </w:t>
        <w:t xml:space="preserve">евреев вне гетто расстреливали на месте. На встрече 16 декабря 1941 </w:t>
        <w:t>года</w:t>
        <w:t xml:space="preserve"> между Франком и главами </w:t>
        <w:t>округов</w:t>
        <w:t xml:space="preserve"> заместитель губернатора </w:t>
        <w:t>округа</w:t>
        <w:t xml:space="preserve"> Варшавы заметил, с какой «благодарностью люди приняли приказ о расстреле от </w:t>
        <w:t>командира</w:t>
        <w:t xml:space="preserve"> Полицией Порядка, в котором евреев в сельской местности можно было расстреливать».</w:t>
      </w:r>
      <w:hyperlink w:anchor="__388">
        <w:r>
          <w:rPr>
            <w:rStyle w:val="Text2"/>
          </w:rPr>
          <w:bookmarkStart w:id="455" w:name="388"/>
          <w:t>388</w:t>
          <w:bookmarkEnd w:id="455"/>
        </w:r>
      </w:hyperlink>
      <w:r>
        <w:rPr>
          <w:rStyle w:val="Text3"/>
        </w:rPr>
        <w:t xml:space="preserve"> </w:t>
      </w:r>
      <w:r>
        <w:t xml:space="preserve"> </w:t>
      </w:r>
    </w:p>
    <w:p>
      <w:pPr>
        <w:pStyle w:val="Para 02"/>
      </w:pPr>
      <w:r>
        <w:t xml:space="preserve">Таким образом, даже до систематических депортаций в лагеря смерти евреев Польши подвергали казням вне гетто. Этот «приказ о расстреле» применялся в </w:t>
        <w:t>округе</w:t>
        <w:t xml:space="preserve"> Люблина </w:t>
        <w:t>достаточно «</w:t>
        <w:t>слабо</w:t>
        <w:t>»</w:t>
        <w:t>, так как в сравнении с остальной территорией Генерал-губернаторства, «геттоизация» была лишь частичной. До сентября и октября 1942-</w:t>
        <w:t>го</w:t>
        <w:t xml:space="preserve"> евреи жили в малых городах и деревнях и не были сконцентрированы в транзитных гетто Мендзыжеца и Лукува. Предшественник батальона Траппа в северном </w:t>
        <w:t>округе</w:t>
        <w:t xml:space="preserve"> Люблина, Полицейский Батальон 306, периодически действительно занимался расстрелом найденных вне городов евреев</w:t>
      </w:r>
      <w:hyperlink w:anchor="__389">
        <w:r>
          <w:rPr>
            <w:rStyle w:val="Text2"/>
          </w:rPr>
          <w:bookmarkStart w:id="456" w:name="389"/>
          <w:t>389</w:t>
          <w:bookmarkEnd w:id="456"/>
        </w:r>
      </w:hyperlink>
      <w:r>
        <w:rPr>
          <w:rStyle w:val="Text3"/>
        </w:rPr>
        <w:t xml:space="preserve"> </w:t>
      </w:r>
      <w:r>
        <w:t xml:space="preserve"> , но систематический поиск евреев не начался, пока не закончилась «геттоизация». В полную силу закон стал применяться лишь после ликвидации гетто.</w:t>
      </w:r>
    </w:p>
    <w:p>
      <w:pPr>
        <w:pStyle w:val="Para 02"/>
      </w:pPr>
      <w:r>
        <w:t xml:space="preserve">В конце августа гетто Парчева стало первым полностью зачищенным на территории зоны безопасности батальона. Согласно сержанту Штайнмецу, чей третий взвод второй роты располагался там, евреев всё ещё продолжали находить и </w:t>
        <w:t>сажать</w:t>
        <w:t xml:space="preserve"> в местные тюрьмы. Гн</w:t>
        <w:t>а</w:t>
        <w:t>д</w:t>
        <w:t>е</w:t>
        <w:t xml:space="preserve"> отдал приказ </w:t>
        <w:t xml:space="preserve">о расстреле </w:t>
        <w:t>узников. «Этот приказ лейтенанта Гн</w:t>
        <w:t>а</w:t>
        <w:t>д</w:t>
        <w:t>е</w:t>
        <w:t xml:space="preserve"> явно распространялся и на все следующие дела ... Мне дали задачу поддерживать мою территорию свободной от евреев».</w:t>
      </w:r>
      <w:hyperlink w:anchor="__390">
        <w:r>
          <w:rPr>
            <w:rStyle w:val="Text2"/>
          </w:rPr>
          <w:bookmarkStart w:id="457" w:name="390"/>
          <w:t>390</w:t>
          <w:bookmarkEnd w:id="457"/>
        </w:r>
      </w:hyperlink>
      <w:r>
        <w:rPr>
          <w:rStyle w:val="Text3"/>
        </w:rPr>
        <w:t xml:space="preserve"> </w:t>
      </w:r>
      <w:r>
        <w:t xml:space="preserve"> Лейтенант Дракер так же вспоминал о получении приказа из штаба батальона </w:t>
        <w:t>в конце</w:t>
        <w:t xml:space="preserve"> август</w:t>
        <w:t>а</w:t>
        <w:t>: «свободно перемещающихся евреев в сельской местности расстреливать на месте при встрече». Но приказ не был полностью имплементирован, пока не состоялась финальная депортация евреев из деревень в транзитные гетто.</w:t>
      </w:r>
    </w:p>
    <w:p>
      <w:pPr>
        <w:pStyle w:val="Para 02"/>
      </w:pPr>
      <w:r>
        <w:t>К октябрю же приказ стал реальностью.</w:t>
      </w:r>
      <w:hyperlink w:anchor="__391">
        <w:r>
          <w:rPr>
            <w:rStyle w:val="Text2"/>
          </w:rPr>
          <w:bookmarkStart w:id="458" w:name="391"/>
          <w:t>391</w:t>
          <w:bookmarkEnd w:id="458"/>
        </w:r>
      </w:hyperlink>
      <w:r>
        <w:rPr>
          <w:rStyle w:val="Text3"/>
        </w:rPr>
        <w:t xml:space="preserve"> </w:t>
      </w:r>
      <w:r>
        <w:t xml:space="preserve"> Развешенные повсюду плакаты объявляли, что все евреи, найденные вне гетто, будут застрелены.</w:t>
      </w:r>
      <w:hyperlink w:anchor="__392">
        <w:r>
          <w:rPr>
            <w:rStyle w:val="Text2"/>
          </w:rPr>
          <w:bookmarkStart w:id="459" w:name="392"/>
          <w:t>392</w:t>
          <w:bookmarkEnd w:id="459"/>
        </w:r>
      </w:hyperlink>
      <w:r>
        <w:rPr>
          <w:rStyle w:val="Text3"/>
        </w:rPr>
        <w:t xml:space="preserve"> </w:t>
      </w:r>
      <w:r>
        <w:t xml:space="preserve"> «Приказ на расстрел» стал частью стандартных </w:t>
        <w:t xml:space="preserve">ротных </w:t>
        <w:t>инструкций и выдавался регулярно, особенно перед отправкой патрулей.</w:t>
      </w:r>
      <w:hyperlink w:anchor="__393">
        <w:r>
          <w:rPr>
            <w:rStyle w:val="Text2"/>
          </w:rPr>
          <w:bookmarkStart w:id="460" w:name="393"/>
          <w:t>393</w:t>
          <w:bookmarkEnd w:id="460"/>
        </w:r>
      </w:hyperlink>
      <w:r>
        <w:rPr>
          <w:rStyle w:val="Text3"/>
        </w:rPr>
        <w:t xml:space="preserve"> </w:t>
      </w:r>
      <w:r>
        <w:t xml:space="preserve"> </w:t>
        <w:t xml:space="preserve"> Ни у кого не было сомнений</w:t>
        <w:t>, что ни один еврей не останется в живых на территории действия батальона. В официальном жаргоне батальон совершал «лесные патрули» за «подозреваемыми».</w:t>
      </w:r>
      <w:hyperlink w:anchor="__394">
        <w:r>
          <w:rPr>
            <w:rStyle w:val="Text2"/>
          </w:rPr>
          <w:bookmarkStart w:id="461" w:name="394"/>
          <w:t>394</w:t>
          <w:bookmarkEnd w:id="461"/>
        </w:r>
      </w:hyperlink>
      <w:r>
        <w:rPr>
          <w:rStyle w:val="Text3"/>
        </w:rPr>
        <w:t xml:space="preserve"> </w:t>
      </w:r>
      <w:r>
        <w:t xml:space="preserve"> Выживших евреев отслеживали и отстреливали как животных, а члены Полицейского Резервного Батальона 101 неофициально окрестили эту фазу </w:t>
        <w:t>Окончате</w:t>
        <w:t xml:space="preserve">льного Решения </w:t>
      </w:r>
      <w:r>
        <w:rPr>
          <w:rStyle w:val="Text0"/>
        </w:rPr>
        <w:t>judenjagd</w:t>
      </w:r>
      <w:r>
        <w:t xml:space="preserve"> — «охота на евреев».</w:t>
      </w:r>
      <w:hyperlink w:anchor="__395">
        <w:r>
          <w:rPr>
            <w:rStyle w:val="Text2"/>
          </w:rPr>
          <w:bookmarkStart w:id="462" w:name="395"/>
          <w:t>395</w:t>
          <w:bookmarkEnd w:id="462"/>
        </w:r>
      </w:hyperlink>
      <w:r>
        <w:rPr>
          <w:rStyle w:val="Text3"/>
        </w:rPr>
        <w:t xml:space="preserve"> </w:t>
      </w:r>
      <w:r>
        <w:t xml:space="preserve"> </w:t>
      </w:r>
    </w:p>
    <w:p>
      <w:pPr>
        <w:pStyle w:val="Para 02"/>
      </w:pPr>
      <w:r>
        <w:t xml:space="preserve">«Охота на евреев» принимала множество форм. Самыми выдающимися стали две чистки батальоном леса Парчева осенью 1942 и весной 1943 </w:t>
        <w:t>гг</w:t>
        <w:t>. Последн</w:t>
        <w:t>яя</w:t>
        <w:t xml:space="preserve"> совместно с отрядами армии. </w:t>
        <w:t>Целью этих чисток являлись н</w:t>
        <w:t xml:space="preserve">е только евреи, но и партизаны, и сбежавшие </w:t>
        <w:t>советски</w:t>
        <w:t xml:space="preserve">е военнопленные, хотя судя по всему, евреи являлись главной целью первой чистки в октябре. Джордж Леффлер* </w:t>
        <w:t xml:space="preserve">из третьей роты </w:t>
        <w:t>вспоминал:</w:t>
      </w:r>
    </w:p>
    <w:p>
      <w:pPr>
        <w:pStyle w:val="Para 39"/>
      </w:pPr>
      <w:r>
        <w:t/>
      </w:r>
    </w:p>
    <w:p>
      <w:pPr>
        <w:pStyle w:val="Para 39"/>
      </w:pPr>
      <w:r>
        <w:t/>
      </w:r>
    </w:p>
    <w:p>
      <w:pPr>
        <w:pStyle w:val="Para 15"/>
      </w:pPr>
      <w:r>
        <w:rPr>
          <w:rStyle w:val="Text10"/>
        </w:rPr>
        <w:t/>
      </w:r>
      <w:r>
        <w:t xml:space="preserve">«Нам сказали, что в лесу прячется множество евреев. Поэтому мы </w:t>
        <w:t>прочесали</w:t>
        <w:t xml:space="preserve"> лес цепью стрелков, но ничего не нашли. Прочесали ещё раз и только тогда мы нашли торчащие из земли дымоходные трубы. Мы обнаружили, что евреи там прятались в подземных бункерах. Их вытащили наружу, сопротивлялись только в одном бункере. Часть товарищей спускалась в бункера и вытаскивала евреев. Их расстреливали на месте ... евреев клали на землю лицом в низ и расстреливали в шею. Не помню кто был в расстрельных командах. Кажется, приказали тем, кто просто рядом оказался. Застрелили где-то пятьдесят евреев, включая женщин и мужчин всех возрастов, там прятались целые семьи ... Расстрел производился в открытую. Кордон вообще не формировали, какое-то количество поляков из Парчева стояло неподалёку от места казни и смотрело. Им потом приказали, предположительно Хоффман, закопать мёртвых евреев в недостроенном </w:t>
        <w:t>убежище</w:t>
        <w:t>».</w:t>
      </w:r>
      <w:hyperlink w:anchor="__396">
        <w:r>
          <w:rPr>
            <w:rStyle w:val="Text2"/>
          </w:rPr>
          <w:bookmarkStart w:id="463" w:name="396"/>
          <w:t>396</w:t>
          <w:bookmarkEnd w:id="463"/>
        </w:r>
      </w:hyperlink>
      <w:r>
        <w:rPr>
          <w:rStyle w:val="Text3"/>
        </w:rPr>
        <w:t xml:space="preserve"> </w:t>
      </w:r>
      <w:r>
        <w:t xml:space="preserve"> </w:t>
      </w:r>
      <w:r>
        <w:rPr>
          <w:rStyle w:val="Text10"/>
        </w:rPr>
        <w:t xml:space="preserve"> </w:t>
      </w:r>
    </w:p>
    <w:p>
      <w:pPr>
        <w:pStyle w:val="Para 39"/>
      </w:pPr>
      <w:r>
        <w:t/>
      </w:r>
    </w:p>
    <w:p>
      <w:pPr>
        <w:pStyle w:val="Para 05"/>
      </w:pPr>
      <w:r>
        <w:rPr>
          <w:rStyle w:val="Text6"/>
        </w:rPr>
        <w:t/>
      </w:r>
      <w:r>
        <w:t xml:space="preserve">Другие отряды батальона так же вспоминали об обнаружении </w:t>
        <w:t>убежищ</w:t>
        <w:t xml:space="preserve"> и убийстве евреев группами от </w:t>
        <w:t>20</w:t>
        <w:t xml:space="preserve"> до </w:t>
        <w:t>50</w:t>
        <w:t>.</w:t>
      </w:r>
      <w:hyperlink w:anchor="__397">
        <w:r>
          <w:rPr>
            <w:rStyle w:val="Text2"/>
          </w:rPr>
          <w:bookmarkStart w:id="464" w:name="397"/>
          <w:t>397</w:t>
          <w:bookmarkEnd w:id="464"/>
        </w:r>
      </w:hyperlink>
      <w:r>
        <w:rPr>
          <w:rStyle w:val="Text3"/>
        </w:rPr>
        <w:t xml:space="preserve"> </w:t>
      </w:r>
      <w:r>
        <w:t xml:space="preserve"> </w:t>
        <w:t xml:space="preserve"> Один полицейский оценил, что в октябре было убито где-то 500.</w:t>
      </w:r>
      <w:hyperlink w:anchor="__398">
        <w:r>
          <w:rPr>
            <w:rStyle w:val="Text2"/>
          </w:rPr>
          <w:bookmarkStart w:id="465" w:name="398"/>
          <w:t>398</w:t>
          <w:bookmarkEnd w:id="465"/>
        </w:r>
      </w:hyperlink>
      <w:r>
        <w:rPr>
          <w:rStyle w:val="Text3"/>
        </w:rPr>
        <w:t xml:space="preserve"> </w:t>
      </w:r>
      <w:r>
        <w:t xml:space="preserve"> </w:t>
      </w:r>
      <w:r>
        <w:rPr>
          <w:rStyle w:val="Text6"/>
        </w:rPr>
        <w:t xml:space="preserve"> </w:t>
      </w:r>
    </w:p>
    <w:p>
      <w:pPr>
        <w:pStyle w:val="Para 02"/>
      </w:pPr>
      <w:r>
        <w:t xml:space="preserve">К весне ситуация немного изменилась. Немногочисленные выжившие евреи по большей части присоединились к отрядам партизан или сбежавших военнопленных. Весенний поиск открыл «лесной лагерь» сбежавших </w:t>
        <w:t>советов</w:t>
        <w:t xml:space="preserve"> и евреев, оказавших вооружённое сопротивление. От </w:t>
        <w:t>100</w:t>
        <w:t xml:space="preserve"> до </w:t>
        <w:t xml:space="preserve">120 </w:t>
        <w:t xml:space="preserve">евреев и </w:t>
        <w:t xml:space="preserve">советов </w:t>
        <w:t>убито. Батальон понёс как минимум одну потерю, так как адъютант Траппа, лейтенант Хаген, был случайно убит своими людьми.</w:t>
      </w:r>
      <w:hyperlink w:anchor="__399">
        <w:r>
          <w:rPr>
            <w:rStyle w:val="Text2"/>
          </w:rPr>
          <w:bookmarkStart w:id="466" w:name="399"/>
          <w:t>399</w:t>
          <w:bookmarkEnd w:id="466"/>
        </w:r>
      </w:hyperlink>
      <w:r>
        <w:rPr>
          <w:rStyle w:val="Text3"/>
        </w:rPr>
        <w:t xml:space="preserve"> </w:t>
      </w:r>
      <w:r>
        <w:t xml:space="preserve"> </w:t>
      </w:r>
    </w:p>
    <w:p>
      <w:pPr>
        <w:pStyle w:val="Para 02"/>
      </w:pPr>
      <w:r>
        <w:t>Некоторое количество евреев было послано на работу в различные крупные сельскохозяйственные поместья, захваченные и теперь управляемые немцами. В Гут Джаблоне [Gut Jablon] около Парчева, отряд взвода Штайнмеца погрузил тридцать евреев в грузовики, вывез в лес и казнил привычным теперь выстрелом в шею. Немецкая администрация, которую не предупредили о предстоящей ликвидации, безуспешно подавала жалобы.</w:t>
      </w:r>
      <w:hyperlink w:anchor="__400">
        <w:r>
          <w:rPr>
            <w:rStyle w:val="Text2"/>
          </w:rPr>
          <w:bookmarkStart w:id="467" w:name="400"/>
          <w:t>400</w:t>
          <w:bookmarkEnd w:id="467"/>
        </w:r>
      </w:hyperlink>
      <w:r>
        <w:rPr>
          <w:rStyle w:val="Text3"/>
        </w:rPr>
        <w:t xml:space="preserve"> </w:t>
      </w:r>
      <w:r>
        <w:t xml:space="preserve"> Администратор Гут Паннвица [Gut Pannwitz] около Пулавы столкнулся с противоположной проблемой — слишком большим количеством рабочих евреев. Его поместье стало прибежищем для сбежавших </w:t>
        <w:t>из гетто в леса</w:t>
        <w:t>, ищущих защиты и еды евреям. Когда население евреев заметно раздулось, администрация поместья созвонилась с капитаном Хоффманом, и расстрелять излишек евреев послали команду немецкой полиции.</w:t>
      </w:r>
      <w:hyperlink w:anchor="__401">
        <w:r>
          <w:rPr>
            <w:rStyle w:val="Text2"/>
          </w:rPr>
          <w:bookmarkStart w:id="468" w:name="401"/>
          <w:t>401</w:t>
          <w:bookmarkEnd w:id="468"/>
        </w:r>
      </w:hyperlink>
      <w:r>
        <w:rPr>
          <w:rStyle w:val="Text3"/>
        </w:rPr>
        <w:t xml:space="preserve"> </w:t>
      </w:r>
      <w:r>
        <w:t xml:space="preserve"> После госпитализации Хоффмана, его преемник — лейтенант Мессман, сформировал </w:t>
        <w:t>эскадроны</w:t>
      </w:r>
      <w:hyperlink w:anchor="__402">
        <w:r>
          <w:rPr>
            <w:rStyle w:val="Text2"/>
          </w:rPr>
          <w:bookmarkStart w:id="469" w:name="402"/>
          <w:t>402</w:t>
          <w:bookmarkEnd w:id="469"/>
        </w:r>
      </w:hyperlink>
      <w:r>
        <w:rPr>
          <w:rStyle w:val="Text3"/>
        </w:rPr>
        <w:t xml:space="preserve"> </w:t>
      </w:r>
      <w:r>
        <w:t xml:space="preserve"> , которые занялись систематическим уничтожением небольших скоплений рабочих евреев в радиусе пятидесяти или шестидесяти километров от Пулавы. Водитель Мессмана Альфред Шперлих* так описывал эту процедуру:</w:t>
      </w:r>
    </w:p>
    <w:p>
      <w:pPr>
        <w:pStyle w:val="Para 33"/>
      </w:pPr>
      <w:r>
        <w:t/>
      </w:r>
    </w:p>
    <w:p>
      <w:pPr>
        <w:pStyle w:val="Para 15"/>
      </w:pPr>
      <w:r>
        <w:rPr>
          <w:rStyle w:val="Text6"/>
        </w:rPr>
        <w:t/>
      </w:r>
      <w:r>
        <w:t xml:space="preserve">«В случаях, когда </w:t>
        <w:t xml:space="preserve">до </w:t>
        <w:t>ферм и барак</w:t>
        <w:t>ов</w:t>
        <w:t xml:space="preserve"> евреев </w:t>
        <w:t>можно было легко добраться</w:t>
        <w:t xml:space="preserve">, я на большой скорости заезжал на ферму, а полиция мгновенно выскакивала и </w:t>
        <w:t>бежала</w:t>
        <w:t xml:space="preserve"> к еврейским баракам. Затем всех присутствующих евреев выгоняли и расстреливали на ферме рядом со стогами сена, картофельными ямами или кучами навоза. Жертвы почти всегда лежали нагими и их убивали выстрелом в шею».</w:t>
      </w:r>
      <w:r>
        <w:rPr>
          <w:rStyle w:val="Text6"/>
        </w:rPr>
        <w:t xml:space="preserve"> </w:t>
      </w:r>
    </w:p>
    <w:p>
      <w:pPr>
        <w:pStyle w:val="Para 33"/>
      </w:pPr>
      <w:r>
        <w:t/>
      </w:r>
    </w:p>
    <w:p>
      <w:pPr>
        <w:pStyle w:val="Para 05"/>
      </w:pPr>
      <w:r>
        <w:rPr>
          <w:rStyle w:val="Text6"/>
        </w:rPr>
        <w:t/>
      </w:r>
      <w:r>
        <w:t>Однако если подъезд к ферме хорошо просматривался, полиция скрытно приближалась пешим ходом, не давая жертвам возможности сбежать. Обычно на рабочих местах рядом с лесами полиция находила больше евреев, чем ожидала.</w:t>
      </w:r>
      <w:hyperlink w:anchor="__403">
        <w:r>
          <w:rPr>
            <w:rStyle w:val="Text2"/>
          </w:rPr>
          <w:bookmarkStart w:id="470" w:name="403"/>
          <w:t>403</w:t>
          <w:bookmarkEnd w:id="470"/>
        </w:r>
      </w:hyperlink>
      <w:r>
        <w:rPr>
          <w:rStyle w:val="Text3"/>
        </w:rPr>
        <w:t xml:space="preserve"> </w:t>
      </w:r>
      <w:r>
        <w:t xml:space="preserve"> </w:t>
      </w:r>
      <w:r>
        <w:rPr>
          <w:rStyle w:val="Text6"/>
        </w:rPr>
        <w:t xml:space="preserve"> </w:t>
      </w:r>
    </w:p>
    <w:p>
      <w:pPr>
        <w:pStyle w:val="Para 02"/>
      </w:pPr>
      <w:r>
        <w:t>Какая-то часть из них выжила прячась в городах, а не лесах, но и их выследили.</w:t>
      </w:r>
      <w:hyperlink w:anchor="__404">
        <w:r>
          <w:rPr>
            <w:rStyle w:val="Text2"/>
          </w:rPr>
          <w:bookmarkStart w:id="471" w:name="404"/>
          <w:t>404</w:t>
          <w:bookmarkEnd w:id="471"/>
        </w:r>
      </w:hyperlink>
      <w:r>
        <w:rPr>
          <w:rStyle w:val="Text3"/>
        </w:rPr>
        <w:t xml:space="preserve"> </w:t>
      </w:r>
      <w:r>
        <w:t xml:space="preserve"> Самым запоминающимся </w:t>
        <w:t>стал</w:t>
        <w:t xml:space="preserve"> случай в Коцке, где польский переводчик, работающий на немцев, выдал местоположение убежища в подвале. Захватили четверых евреев. Под «допросом» они открыли местоположение ещё одного убежища в большом доме на границе города. Не ожидая сопротивления, туда отправились единственный полицейский вместе с польским переводчиком. Но это был тот редкий случай, когда евреи были вооружены и открыли стрельбу по приближающемуся полицейскому. Было вызвано подкрепление, и началась перестрелка. В конце концов четырёх или пятерых евреев убили при попытке прорваться, от восьми до десяти нашли мёртвыми или тяжело раненными в подвале, </w:t>
        <w:t xml:space="preserve">и </w:t>
        <w:t>т</w:t>
        <w:t>олько четверых захватили невредимыми. Их тоже «допросили» и тем же вечером застрелили.</w:t>
      </w:r>
      <w:hyperlink w:anchor="__405">
        <w:r>
          <w:rPr>
            <w:rStyle w:val="Text2"/>
          </w:rPr>
          <w:bookmarkStart w:id="472" w:name="405"/>
          <w:t>405</w:t>
          <w:bookmarkEnd w:id="472"/>
        </w:r>
      </w:hyperlink>
      <w:r>
        <w:rPr>
          <w:rStyle w:val="Text3"/>
        </w:rPr>
        <w:t xml:space="preserve"> </w:t>
      </w:r>
      <w:r>
        <w:t xml:space="preserve"> Затем немецкая полиция отправилась на поиски владельца дома — польскую женщину, успевшую вовремя сбежать. Её выследили до дома её отца в деревне неподалёку. Лейтенант Бранд предоставил отцу суровый выбор — его жизнь или жизнь дочери. Мужчина сдал свою дочь, </w:t>
        <w:t xml:space="preserve">и </w:t>
        <w:t>её застрелили на месте.</w:t>
      </w:r>
      <w:hyperlink w:anchor="__406">
        <w:r>
          <w:rPr>
            <w:rStyle w:val="Text2"/>
          </w:rPr>
          <w:bookmarkStart w:id="473" w:name="406"/>
          <w:t>406</w:t>
          <w:bookmarkEnd w:id="473"/>
        </w:r>
      </w:hyperlink>
      <w:r>
        <w:rPr>
          <w:rStyle w:val="Text3"/>
        </w:rPr>
        <w:t xml:space="preserve"> </w:t>
      </w:r>
      <w:r>
        <w:t xml:space="preserve"> </w:t>
      </w:r>
    </w:p>
    <w:p>
      <w:pPr>
        <w:pStyle w:val="Para 02"/>
      </w:pPr>
      <w:r>
        <w:t xml:space="preserve">Самой типичной формой «охоты на евреев» </w:t>
        <w:t>стали</w:t>
        <w:t xml:space="preserve"> малые патрули в лесах для ликвидации отдельных известных бункеров. Батальон сформировал сеть информаторов и «лесных бегунов» или ищеек, которые искали убежища евреев и докладывали о них. Многие поляки добровольно предоставляли информацию о евре</w:t>
        <w:t>ях</w:t>
        <w:t xml:space="preserve"> в лесах, которые в отчаянных попытках выжить кра</w:t>
        <w:t>ли</w:t>
        <w:t xml:space="preserve"> еду с ближайших полей, ферм и дерев</w:t>
        <w:t>ень</w:t>
        <w:t xml:space="preserve">. Получив донесение, командир местной полиции отправлял небольшой патруль для </w:t>
        <w:t>установления</w:t>
        <w:t xml:space="preserve"> местоположения спрятавшихся евреев. </w:t>
        <w:t>Подобный сценарий проигрывался р</w:t>
        <w:t xml:space="preserve">аз за разом лишь с небольшими отклонениями: </w:t>
        <w:t>п</w:t>
        <w:t xml:space="preserve">ольские проводники вели полицейских прямо к убежищам, </w:t>
        <w:t>а</w:t>
        <w:t xml:space="preserve"> те забрасывали гранаты в отверстия бункеров; </w:t>
        <w:t>п</w:t>
        <w:t xml:space="preserve">ереживших атаку гранатами и выбегающих из бункеров евреев клали лицом вниз и стреляли в шею; </w:t>
        <w:t>т</w:t>
        <w:t>ела обычно оставляли на захоронение местным деревенским полякам.</w:t>
      </w:r>
      <w:hyperlink w:anchor="__407">
        <w:r>
          <w:rPr>
            <w:rStyle w:val="Text2"/>
          </w:rPr>
          <w:bookmarkStart w:id="474" w:name="407"/>
          <w:t>407</w:t>
          <w:bookmarkEnd w:id="474"/>
        </w:r>
      </w:hyperlink>
      <w:r>
        <w:rPr>
          <w:rStyle w:val="Text3"/>
        </w:rPr>
        <w:t xml:space="preserve"> </w:t>
      </w:r>
      <w:r>
        <w:t xml:space="preserve"> </w:t>
      </w:r>
    </w:p>
    <w:p>
      <w:pPr>
        <w:pStyle w:val="Para 02"/>
      </w:pPr>
      <w:r>
        <w:t xml:space="preserve">Такие патрули проходили «слишком часто» для того, чтобы большинство полицейских </w:t>
        <w:t>запомнило</w:t>
        <w:t xml:space="preserve"> в скольких они принимали участие. «Для нас это был более менее хлеб насущный». — сказал один.</w:t>
      </w:r>
      <w:hyperlink w:anchor="__408">
        <w:r>
          <w:rPr>
            <w:rStyle w:val="Text2"/>
          </w:rPr>
          <w:bookmarkStart w:id="475" w:name="408"/>
          <w:t>408</w:t>
          <w:bookmarkEnd w:id="475"/>
        </w:r>
      </w:hyperlink>
      <w:r>
        <w:rPr>
          <w:rStyle w:val="Text3"/>
        </w:rPr>
        <w:t xml:space="preserve"> </w:t>
      </w:r>
      <w:r>
        <w:t xml:space="preserve"> Выражение «хлеб насущный» применительно к «охоте на евреев» употреблял и другой полицейский.</w:t>
      </w:r>
      <w:hyperlink w:anchor="__409">
        <w:r>
          <w:rPr>
            <w:rStyle w:val="Text2"/>
          </w:rPr>
          <w:bookmarkStart w:id="476" w:name="409"/>
          <w:t>409</w:t>
          <w:bookmarkEnd w:id="476"/>
        </w:r>
      </w:hyperlink>
      <w:r>
        <w:rPr>
          <w:rStyle w:val="Text3"/>
        </w:rPr>
        <w:t xml:space="preserve"> </w:t>
      </w:r>
      <w:r>
        <w:t xml:space="preserve"> Уже по поведению лидера патруля люди могли быстро сказать, что их ждало — возможное столкновение с партизанами или обычный поиск евреев по доносу. Допускалось, что те не вооружены.</w:t>
      </w:r>
      <w:hyperlink w:anchor="__410">
        <w:r>
          <w:rPr>
            <w:rStyle w:val="Text2"/>
          </w:rPr>
          <w:bookmarkStart w:id="477" w:name="410"/>
          <w:t>410</w:t>
          <w:bookmarkEnd w:id="477"/>
        </w:r>
      </w:hyperlink>
      <w:r>
        <w:rPr>
          <w:rStyle w:val="Text3"/>
        </w:rPr>
        <w:t xml:space="preserve"> </w:t>
      </w:r>
      <w:r>
        <w:t xml:space="preserve"> Согласно как минимум одному полицейскому, патрули «охоты на евреев» были основной формой патрулей. «Подобные действия были нашей основной задачей, и в сравнении со столкновениями с настоящими партизанами, </w:t>
        <w:t>происходили намного чаще</w:t>
        <w:t>».</w:t>
      </w:r>
      <w:hyperlink w:anchor="__411">
        <w:r>
          <w:rPr>
            <w:rStyle w:val="Text2"/>
          </w:rPr>
          <w:bookmarkStart w:id="478" w:name="411"/>
          <w:t>411</w:t>
          <w:bookmarkEnd w:id="478"/>
        </w:r>
      </w:hyperlink>
      <w:r>
        <w:rPr>
          <w:rStyle w:val="Text3"/>
        </w:rPr>
        <w:t xml:space="preserve"> </w:t>
      </w:r>
      <w:r>
        <w:t xml:space="preserve"> </w:t>
      </w:r>
    </w:p>
    <w:p>
      <w:pPr>
        <w:pStyle w:val="Para 02"/>
      </w:pPr>
      <w:r>
        <w:t>Пока эти небольшие патрули выслеживали выживших евреев, члены Полицейского Резервного Батальона 101 прошли почти полный круг и вернулись к опыту Юзефува. Во время больших операци</w:t>
        <w:t>й</w:t>
        <w:t xml:space="preserve"> по депортации, хотя бы в кордоне, но буквально всем полицейским приходилось нести обязанности. Они вели массы людей на поезда, но могли дистанцировать себя от убийств на другом конце поездки. Их ощущение отстранённости от судеб депортируемых ими евреев было непоколебимо.</w:t>
      </w:r>
    </w:p>
    <w:p>
      <w:pPr>
        <w:pStyle w:val="Para 02"/>
      </w:pPr>
      <w:r>
        <w:t xml:space="preserve">Однако «охота на евреев» отличалась. Им вновь приходилось сталкиваться с жертвами лицом к лицу и убийства несли личный характер. Что более важно, каждый полицейский столкнулся с проблемой выбора. Как каждый из них делал этот выбор показывало, как </w:t>
        <w:t>именно</w:t>
        <w:t xml:space="preserve"> батальон разделился на «крепких» и «слабых». Месяцы спустя Юзефува многие стали онемевшими, безразличными и в некоторых случаях </w:t>
        <w:t>охотливыми</w:t>
        <w:t xml:space="preserve"> убийцами. Другие </w:t>
        <w:t>же старались ограничивать</w:t>
        <w:t xml:space="preserve"> своё участие в процессе убийства, избегали, если могли это сделать без неудобства или последствий </w:t>
        <w:t>для себя</w:t>
        <w:t>. Лишь меньшинство нонконформистов смогло сохранить осаждённую сферу моральной автономии, которая давала им храбрость применять поведенческие паттерны или стратегии по уклонению, предохранявшие их от становления убийцами.</w:t>
      </w:r>
    </w:p>
    <w:p>
      <w:pPr>
        <w:pStyle w:val="Para 02"/>
      </w:pPr>
      <w:r>
        <w:t>Касаясь выработавших вкус к убийству, жена лейтенанта Бранда ярко помнила один вечер во время визита к своему мужу в Польшу:</w:t>
      </w:r>
    </w:p>
    <w:p>
      <w:pPr>
        <w:pStyle w:val="Para 33"/>
      </w:pPr>
      <w:r>
        <w:t/>
      </w:r>
    </w:p>
    <w:p>
      <w:pPr>
        <w:pStyle w:val="Para 04"/>
      </w:pPr>
      <w:r>
        <w:t>«Я сидела завтракала с моим мужем в саду нашего дома, когда обычный полицейский из взвода моего мужа подошёл к нам, встал по стойке смирно и объявил „Герр Лейтенант, я ещё не завтракал“. Когда мой муж вопросительно взглянул на него, он пояснил: „Я ещё не убил ни одного еврея“. Это звучало так цинично, что я возмущенно отчитала этого человека грубыми словами и назвала его — если я правильно помню — мерзавцем. Мой муж отослал полицейского и подошёл ко мне, сказав, что я попаду в неприятности если буду так говорить».</w:t>
      </w:r>
      <w:hyperlink w:anchor="__412">
        <w:r>
          <w:rPr>
            <w:rStyle w:val="Text2"/>
          </w:rPr>
          <w:bookmarkStart w:id="479" w:name="412"/>
          <w:t>412</w:t>
          <w:bookmarkEnd w:id="479"/>
        </w:r>
      </w:hyperlink>
      <w:r>
        <w:rPr>
          <w:rStyle w:val="Text3"/>
        </w:rPr>
        <w:t xml:space="preserve"> </w:t>
      </w:r>
      <w:r>
        <w:t xml:space="preserve"> </w:t>
      </w:r>
    </w:p>
    <w:p>
      <w:pPr>
        <w:pStyle w:val="Para 39"/>
      </w:pPr>
      <w:r>
        <w:t/>
      </w:r>
    </w:p>
    <w:p>
      <w:pPr>
        <w:pStyle w:val="Para 05"/>
      </w:pPr>
      <w:r>
        <w:rPr>
          <w:rStyle w:val="Text6"/>
        </w:rPr>
        <w:t/>
      </w:r>
      <w:r>
        <w:t xml:space="preserve">Возрастающую чёрствость можно наблюдать и в поведении полицейских после расстрелов. После Юзефува и ранних расстрелов люди возвращались в казармы потрясёнными и озлобленными, </w:t>
        <w:t>б</w:t>
        <w:t xml:space="preserve">ез аппетита и желания говорить о том что сделали. С постоянными убийствами такая чувствительность притупилась. Один полицейский вспоминал: «За обеденным столом какие-то товарищи обменивались шутками о случаях, </w:t>
        <w:t xml:space="preserve">которые с ними приключились во время операций. Из их историй я смог понять, что они только что закончили расстрел. Я помню </w:t>
        <w:t xml:space="preserve">что </w:t>
        <w:t xml:space="preserve">особо грубым мне показалось, как один из них сказал, что сейчас мы едим </w:t>
        <w:t>„</w:t>
        <w:t>мозги забитых евреев“».</w:t>
      </w:r>
      <w:hyperlink w:anchor="__413">
        <w:r>
          <w:rPr>
            <w:rStyle w:val="Text2"/>
          </w:rPr>
          <w:bookmarkStart w:id="480" w:name="413"/>
          <w:t>413</w:t>
          <w:bookmarkEnd w:id="480"/>
        </w:r>
      </w:hyperlink>
      <w:r>
        <w:rPr>
          <w:rStyle w:val="Text3"/>
        </w:rPr>
        <w:t xml:space="preserve"> </w:t>
      </w:r>
      <w:r>
        <w:t xml:space="preserve"> </w:t>
        <w:t xml:space="preserve"> Только сам свидетель нашёл эту «шутку» не такой уж и смешной.</w:t>
      </w:r>
      <w:r>
        <w:rPr>
          <w:rStyle w:val="Text6"/>
        </w:rPr>
        <w:t xml:space="preserve"> </w:t>
      </w:r>
    </w:p>
    <w:p>
      <w:pPr>
        <w:pStyle w:val="Para 02"/>
      </w:pPr>
      <w:r>
        <w:t>В подобной атмосфере для офицеров и унтер-офицеров было легко набирать людей в патрули «охоты на евреев», просто спросив о добровольцах. Самым настойчивым в этом плане был Адольф Биттнер*: «Прежде всего я должен категорично подчеркнуть, что для формирования команд палачей набиралось достаточно добровольцев по простому запросу командующего офицера ... Я должен далее добавить, что часто было так много добровольцев, что некоторые получали отказ».</w:t>
      </w:r>
      <w:hyperlink w:anchor="__414">
        <w:r>
          <w:rPr>
            <w:rStyle w:val="Text2"/>
          </w:rPr>
          <w:bookmarkStart w:id="481" w:name="414"/>
          <w:t>414</w:t>
          <w:bookmarkEnd w:id="481"/>
        </w:r>
      </w:hyperlink>
      <w:r>
        <w:rPr>
          <w:rStyle w:val="Text3"/>
        </w:rPr>
        <w:t xml:space="preserve"> </w:t>
      </w:r>
      <w:r>
        <w:t xml:space="preserve"> Другие были не столь категоричны и отмечали, что вдобавок к добровольцам, иногда офицеры или унтер-офицеры набирали в команды из стоящих рядом людей, обычно тех, кто был известен как желающий пострелять. Как сказал сержант Бекемейер: « Суммируя, можно сказать, что в небольших операциях, где не требовалось много стрелков, всегда хватало добровольцев. В больших операциях, с бóльшим требовани</w:t>
        <w:t>ем</w:t>
        <w:t xml:space="preserve"> к численности, тоже было много добровольцев, но если не хватало, то назначали и других».</w:t>
      </w:r>
      <w:hyperlink w:anchor="__415">
        <w:r>
          <w:rPr>
            <w:rStyle w:val="Text2"/>
          </w:rPr>
          <w:bookmarkStart w:id="482" w:name="415"/>
          <w:t>415</w:t>
          <w:bookmarkEnd w:id="482"/>
        </w:r>
      </w:hyperlink>
      <w:r>
        <w:rPr>
          <w:rStyle w:val="Text3"/>
        </w:rPr>
        <w:t xml:space="preserve"> </w:t>
      </w:r>
      <w:r>
        <w:t xml:space="preserve"> </w:t>
      </w:r>
    </w:p>
    <w:p>
      <w:pPr>
        <w:pStyle w:val="Para 02"/>
      </w:pPr>
      <w:r>
        <w:t/>
      </w:r>
    </w:p>
    <w:p>
      <w:pPr>
        <w:pStyle w:val="Para 02"/>
      </w:pPr>
      <w:r>
        <w:t>Как и Бекемейер, Уолтер Циммерманн* тоже делал различие между большими и малыми казнями. Касаясь последних, он подмечал:</w:t>
      </w:r>
    </w:p>
    <w:p>
      <w:pPr>
        <w:pStyle w:val="Para 33"/>
      </w:pPr>
      <w:r>
        <w:t/>
      </w:r>
    </w:p>
    <w:p>
      <w:pPr>
        <w:pStyle w:val="Para 04"/>
      </w:pPr>
      <w:r>
        <w:t>«Не помню ни одного случая, что бы того, кто отказался, заставляли продолжать. Что касается операций взвода или совместных, я должен честно признать, что с этими небольшими казнями всегда находились товарищи, кому было проще стрелять евреев, чем другим, так что командирам команд никогда не составляло труда находить подходящих стрелков».</w:t>
      </w:r>
      <w:hyperlink w:anchor="__416">
        <w:r>
          <w:rPr>
            <w:rStyle w:val="Text2"/>
          </w:rPr>
          <w:bookmarkStart w:id="483" w:name="416"/>
          <w:t>416</w:t>
          <w:bookmarkEnd w:id="483"/>
        </w:r>
      </w:hyperlink>
      <w:r>
        <w:rPr>
          <w:rStyle w:val="Text3"/>
        </w:rPr>
        <w:t xml:space="preserve"> </w:t>
      </w:r>
      <w:r>
        <w:t xml:space="preserve"> </w:t>
      </w:r>
    </w:p>
    <w:p>
      <w:pPr>
        <w:pStyle w:val="Para 39"/>
      </w:pPr>
      <w:r>
        <w:t/>
      </w:r>
    </w:p>
    <w:p>
      <w:pPr>
        <w:pStyle w:val="Para 05"/>
      </w:pPr>
      <w:r>
        <w:rPr>
          <w:rStyle w:val="Text7"/>
        </w:rPr>
        <w:t/>
      </w:r>
      <w:r>
        <w:t>Те, кто не желал идти на «охоту на евреев» или вступать в расстрельные команды следовали трём моделям поведения</w:t>
        <w:t>:</w:t>
        <w:t xml:space="preserve"> </w:t>
        <w:t>о</w:t>
        <w:t xml:space="preserve">ни не делали секрета из своей антипатии к убийствам; никогда не вызывались добровольно; и держали дистанцию от офицеров и унтер-офицеров, когда те формировали патрули или расстрельные команды. Некоторых никогда не выбирали просто из-за известной всем позиции. Отто Юлиус Шимке — первый человек вышедший вперёд в Юзефуве, часто назначался на </w:t>
        <w:t>выступления против партизан, но никогда на «охоту на евреев». «Нельзя исключать того», — он сказал, — «что из-за того инцидента я был освобождён от других еврейских действий».</w:t>
      </w:r>
      <w:hyperlink w:anchor="__417">
        <w:r>
          <w:rPr>
            <w:rStyle w:val="Text2"/>
          </w:rPr>
          <w:bookmarkStart w:id="484" w:name="417"/>
          <w:t>417</w:t>
          <w:bookmarkEnd w:id="484"/>
        </w:r>
      </w:hyperlink>
      <w:r>
        <w:rPr>
          <w:rStyle w:val="Text3"/>
        </w:rPr>
        <w:t xml:space="preserve"> </w:t>
      </w:r>
      <w:r>
        <w:t xml:space="preserve"> </w:t>
        <w:t xml:space="preserve"> Адольф Биттнер так же признавал, что его ранняя и открытая оппозиция действиям батальона против евреев освободила его от дальнейшего участия.</w:t>
      </w:r>
      <w:r>
        <w:rPr>
          <w:rStyle w:val="Text7"/>
        </w:rPr>
        <w:t xml:space="preserve"> </w:t>
      </w:r>
    </w:p>
    <w:p>
      <w:pPr>
        <w:pStyle w:val="Para 02"/>
      </w:pPr>
      <w:r>
        <w:t/>
      </w:r>
    </w:p>
    <w:p>
      <w:pPr>
        <w:pStyle w:val="Para 04"/>
      </w:pPr>
      <w:r>
        <w:t>«Я должен подчеркнуть, что с первых дней я не оставлял моим товарищам сомнения в том, что я не одобряю подобных мер и никогда не вызывался на них. Так что во время одного из первых поисков евреев, когда один мой товарищ в моем присутствии избил еврейскую женщину, я ударил его по лицу. Составили рапорт, и моё отношение стало известно начальству. Меня никогда официально не наказывали, но любой знакомый с системой знает, что помимо официального наказания существует возможность постоянных придирок, которые более чем компенсируют наказание. Поэтому меня назначали на несение службы по воскресеньям и специальные вахты».</w:t>
      </w:r>
      <w:hyperlink w:anchor="__418">
        <w:r>
          <w:rPr>
            <w:rStyle w:val="Text2"/>
          </w:rPr>
          <w:bookmarkStart w:id="485" w:name="418"/>
          <w:t>418</w:t>
          <w:bookmarkEnd w:id="485"/>
        </w:r>
      </w:hyperlink>
      <w:r>
        <w:rPr>
          <w:rStyle w:val="Text3"/>
        </w:rPr>
        <w:t xml:space="preserve"> </w:t>
      </w:r>
      <w:r>
        <w:t xml:space="preserve"> </w:t>
      </w:r>
    </w:p>
    <w:p>
      <w:pPr>
        <w:pStyle w:val="Para 33"/>
      </w:pPr>
      <w:r>
        <w:t/>
      </w:r>
    </w:p>
    <w:p>
      <w:pPr>
        <w:pStyle w:val="Para 02"/>
      </w:pPr>
      <w:r>
        <w:t>Но Биттнер никогда не назначался в расстрельные команды.</w:t>
      </w:r>
    </w:p>
    <w:p>
      <w:pPr>
        <w:pStyle w:val="Para 02"/>
      </w:pPr>
      <w:r>
        <w:t xml:space="preserve">Густав Майклсон*, который, несмотря на издёвки товарищей, прятался среди грузовиков в Юзефуве, также получил некоторый иммунитет благодаря своей репутации. Майклсон </w:t>
        <w:t>рассказывал следующее</w:t>
        <w:t xml:space="preserve"> о частых «охотах на евреев»: «Никто никогда не обращался ко мне по поводу этих операций. Для подобного офицеры брали с собой „</w:t>
        <w:t>мужиков“</w:t>
        <w:t>, а в их глазах я не был „</w:t>
        <w:t>мужиком“</w:t>
        <w:t>. Другие товарищи, демонстрировавшие моё отношение и поведение, также избежали подобных операций».</w:t>
      </w:r>
      <w:hyperlink w:anchor="__419">
        <w:r>
          <w:rPr>
            <w:rStyle w:val="Text2"/>
          </w:rPr>
          <w:bookmarkStart w:id="486" w:name="419"/>
          <w:t>419</w:t>
          <w:bookmarkEnd w:id="486"/>
        </w:r>
      </w:hyperlink>
      <w:r>
        <w:rPr>
          <w:rStyle w:val="Text3"/>
        </w:rPr>
        <w:t xml:space="preserve"> </w:t>
      </w:r>
      <w:r>
        <w:t xml:space="preserve"> </w:t>
      </w:r>
    </w:p>
    <w:p>
      <w:pPr>
        <w:pStyle w:val="Para 02"/>
      </w:pPr>
      <w:r>
        <w:t>Генрих Фейхт*, применявший тактику выдерживания дистанции, объяснял как он избежал всех расстрелов кроме одного: «Всегда есть некоторая свобода передвижения в пределах пары метров, и из моего опыта я очень быстро заметил, что лидер взвода почти всегда выбирал из стоящих рядом с ним. Так что я всегда пытался держать как можно большую дистанцию от центра событий».</w:t>
      </w:r>
      <w:hyperlink w:anchor="__420">
        <w:r>
          <w:rPr>
            <w:rStyle w:val="Text2"/>
          </w:rPr>
          <w:bookmarkStart w:id="487" w:name="420"/>
          <w:t>420</w:t>
          <w:bookmarkEnd w:id="487"/>
        </w:r>
      </w:hyperlink>
      <w:r>
        <w:rPr>
          <w:rStyle w:val="Text3"/>
        </w:rPr>
        <w:t xml:space="preserve"> </w:t>
      </w:r>
      <w:r>
        <w:t xml:space="preserve"> Другие тоже пытались избежать расстрелов держась на заднем фоне.</w:t>
      </w:r>
      <w:hyperlink w:anchor="__421">
        <w:r>
          <w:rPr>
            <w:rStyle w:val="Text2"/>
          </w:rPr>
          <w:bookmarkStart w:id="488" w:name="421"/>
          <w:t>421</w:t>
          <w:bookmarkEnd w:id="488"/>
        </w:r>
      </w:hyperlink>
      <w:r>
        <w:rPr>
          <w:rStyle w:val="Text3"/>
        </w:rPr>
        <w:t xml:space="preserve"> </w:t>
      </w:r>
      <w:r>
        <w:t xml:space="preserve"> </w:t>
      </w:r>
    </w:p>
    <w:p>
      <w:pPr>
        <w:pStyle w:val="Para 02"/>
      </w:pPr>
      <w:r>
        <w:t>Иногда не хватало ни дистанции, ни репутации и помогал только прямой отказ от убийства. Во втором взводе третьей роты лейтенант Хоппнер стал одним из самых фанатичных участников «охоты на евреев» и со временем попытался навязать политику, требовавшую участия от каждого. Некоторые, кому раньше удавалось остаться в стороне, тогда и убили своего первого еврея.</w:t>
      </w:r>
      <w:hyperlink w:anchor="__422">
        <w:r>
          <w:rPr>
            <w:rStyle w:val="Text2"/>
          </w:rPr>
          <w:bookmarkStart w:id="489" w:name="422"/>
          <w:t>422</w:t>
          <w:bookmarkEnd w:id="489"/>
        </w:r>
      </w:hyperlink>
      <w:r>
        <w:rPr>
          <w:rStyle w:val="Text3"/>
        </w:rPr>
        <w:t xml:space="preserve"> </w:t>
      </w:r>
      <w:r>
        <w:t xml:space="preserve"> Но Артур Рорбо* не мог стрелять в беззащитных людей: «Лейтенант Хоппнер к тому моменту знал, что я не могу на такое пойти. Он уже говорил мне ранее, что я должен стать тверже. В таком ключе он однажды сказал, что я когда-нибудь тоже научусь стрелять по шеям». Патрулируя лес с капралом Хайденом* и пятью другими полицейскими, Рорбо натолкнулся на трёх еврейских женщин с ребёнком. Хайден приказал ему застрелить евреев, но Рорбо просто ушёл. Тогда Хайден схватил своё оружие и застрелил евреев сам. Рорбо указывал, что в отсутствии </w:t>
        <w:t xml:space="preserve">для себя </w:t>
        <w:t>негативных последствий стоит винить Траппа: «По поводу старика, я думаю, у меня не было проблем».</w:t>
      </w:r>
      <w:hyperlink w:anchor="__423">
        <w:r>
          <w:rPr>
            <w:rStyle w:val="Text2"/>
          </w:rPr>
          <w:bookmarkStart w:id="490" w:name="423"/>
          <w:t>423</w:t>
          <w:bookmarkEnd w:id="490"/>
        </w:r>
      </w:hyperlink>
      <w:r>
        <w:rPr>
          <w:rStyle w:val="Text3"/>
        </w:rPr>
        <w:t xml:space="preserve"> </w:t>
      </w:r>
      <w:r>
        <w:t xml:space="preserve"> </w:t>
      </w:r>
    </w:p>
    <w:p>
      <w:pPr>
        <w:pStyle w:val="Para 02"/>
      </w:pPr>
      <w:r>
        <w:t xml:space="preserve">Другие были осторожнее и воздерживались от стрельбы только когда рядом не было офицера или когда они были среди товарищей, которым могли доверять и которые разделяли их взгляды. Мартин Детмольд* </w:t>
        <w:t>описывал это так</w:t>
        <w:t>: «В небольших операциях часто так случалось, что найдя евреев, мы их снова отпускали. Так делали, когда все были уверены, что старший по званию не узнает. Со временем мы научились оценивать товарищей, и если не было риска не стрелять пойманных евреев, то мы их отпускали, несмотря на приказ».</w:t>
      </w:r>
      <w:hyperlink w:anchor="__424">
        <w:r>
          <w:rPr>
            <w:rStyle w:val="Text2"/>
          </w:rPr>
          <w:bookmarkStart w:id="491" w:name="424"/>
          <w:t>424</w:t>
          <w:bookmarkEnd w:id="491"/>
        </w:r>
      </w:hyperlink>
      <w:r>
        <w:rPr>
          <w:rStyle w:val="Text3"/>
        </w:rPr>
        <w:t xml:space="preserve"> </w:t>
      </w:r>
      <w:r>
        <w:t xml:space="preserve"> Связисты батальона также утверждали, что когда </w:t>
        <w:t>работали над кабелями</w:t>
        <w:t xml:space="preserve"> одни, </w:t>
        <w:t xml:space="preserve">то </w:t>
        <w:t>игнорировали встреченных в сельской местности евреев.</w:t>
      </w:r>
      <w:hyperlink w:anchor="__425">
        <w:r>
          <w:rPr>
            <w:rStyle w:val="Text2"/>
          </w:rPr>
          <w:bookmarkStart w:id="492" w:name="425"/>
          <w:t>425</w:t>
          <w:bookmarkEnd w:id="492"/>
        </w:r>
      </w:hyperlink>
      <w:r>
        <w:rPr>
          <w:rStyle w:val="Text3"/>
        </w:rPr>
        <w:t xml:space="preserve"> </w:t>
      </w:r>
      <w:r>
        <w:t xml:space="preserve"> Стреляя не в шею, а с расстояния, один полицейский просто «стрелял в воздух».</w:t>
      </w:r>
      <w:hyperlink w:anchor="__426">
        <w:r>
          <w:rPr>
            <w:rStyle w:val="Text2"/>
          </w:rPr>
          <w:bookmarkStart w:id="493" w:name="426"/>
          <w:t>426</w:t>
          <w:bookmarkEnd w:id="493"/>
        </w:r>
      </w:hyperlink>
      <w:r>
        <w:rPr>
          <w:rStyle w:val="Text3"/>
        </w:rPr>
        <w:t xml:space="preserve"> </w:t>
      </w:r>
      <w:r>
        <w:t xml:space="preserve"> </w:t>
      </w:r>
    </w:p>
    <w:p>
      <w:pPr>
        <w:pStyle w:val="Para 02"/>
      </w:pPr>
      <w:r>
        <w:t xml:space="preserve">Как много сотен евреев — хотя скорее тысяч — расстрелял Полицейский Резервный Батальон 101 во время «охоты на евреев»? Рапортов </w:t>
        <w:t>с цифрами</w:t>
        <w:t xml:space="preserve"> об этом </w:t>
        <w:t>для этого подразделения не сохранилось. Однако мы можем понять насколько важным компоненто</w:t>
        <w:t>м</w:t>
        <w:t xml:space="preserve"> Окончате</w:t>
        <w:t>льного Решения была «</w:t>
        <w:t>о</w:t>
        <w:t>хота на евреев» из сохранившихся рапортов трёх других подразделений, оперировавших в Польше.</w:t>
      </w:r>
    </w:p>
    <w:p>
      <w:pPr>
        <w:pStyle w:val="Para 02"/>
      </w:pPr>
      <w:r>
        <w:t xml:space="preserve">С мая по октябрь 1943 </w:t>
        <w:t>г.</w:t>
        <w:t xml:space="preserve">, сильно позже того, как большинство сбежавших из гетто и попытавшихся спрятаться евреев уже было найдено и застрелено, командир Полиции Порядка </w:t>
        <w:t>округа</w:t>
        <w:t xml:space="preserve"> Люблина </w:t>
        <w:t>(KdO)</w:t>
        <w:t xml:space="preserve"> — таким образом, эти цифры будут включать в себя вклад Полицейского Резервного Батальона 101 — ежемесячно рапортовал своему начальству в Кракове </w:t>
        <w:t>(BdO)</w:t>
        <w:t xml:space="preserve"> о количестве убитых его людьми евреев. </w:t>
        <w:t>За</w:t>
        <w:t xml:space="preserve"> этот шестимесячный период, сильно после пика убийств в </w:t>
        <w:t>округе</w:t>
        <w:t xml:space="preserve"> Люблина, общее число 1 695 — в среднем 283 в месяц. Два месяца особенно выделились: август, когда </w:t>
        <w:t>проходила</w:t>
        <w:t xml:space="preserve"> большая чистка леса; и октябрь, когда нашли сбежавших из лагеря смерти Собибор.</w:t>
      </w:r>
      <w:hyperlink w:anchor="__427">
        <w:r>
          <w:rPr>
            <w:rStyle w:val="Text2"/>
          </w:rPr>
          <w:bookmarkStart w:id="494" w:name="427"/>
          <w:t>427</w:t>
          <w:bookmarkEnd w:id="494"/>
        </w:r>
      </w:hyperlink>
      <w:r>
        <w:rPr>
          <w:rStyle w:val="Text3"/>
        </w:rPr>
        <w:t xml:space="preserve"> </w:t>
      </w:r>
      <w:r>
        <w:t xml:space="preserve"> </w:t>
      </w:r>
    </w:p>
    <w:p>
      <w:pPr>
        <w:pStyle w:val="Para 02"/>
      </w:pPr>
      <w:r>
        <w:t xml:space="preserve">Для демонстрации масштаба убийств на пике «охоты на евреев» подходят рапорты </w:t>
        <w:t>в</w:t>
        <w:t xml:space="preserve">аршавского взвода Жандармерии. Отряд лишь из </w:t>
        <w:t>80</w:t>
        <w:t xml:space="preserve"> человек, ответственный за патрулирование близлежащих городов и местности вокруг города, руководился лейтенантом Либшером </w:t>
        <w:t>[Liebscher]</w:t>
        <w:t>, печально известн</w:t>
        <w:t>ым</w:t>
        <w:t xml:space="preserve"> энергичным и ярым сторонником </w:t>
        <w:t>Окончате</w:t>
        <w:t xml:space="preserve">льного Решения. Его </w:t>
        <w:t>ежедневные отчёты</w:t>
        <w:t xml:space="preserve"> с 26 марта по 21 сентября 1943 </w:t>
        <w:t xml:space="preserve">г. </w:t>
        <w:t xml:space="preserve">называют цифру в 1 094 евреев убитых его отрядом — в среднем 14 на полицейского. Пиковыми месяцами, ожидаемо, стали апрель и май, когда евреи отчаянно пытались убежать от финальной ликвидации гетто Варшавы и проходили по территории Либшера. Его </w:t>
        <w:t>отчёты</w:t>
        <w:t xml:space="preserve"> содержат подробные описания различных повседневных инцидентов. Они начинались фразой «Выполнили в соответствии с установленными рекомендациями», а после шли дата, место, количество евреев, мужчин и женщин. Под конец даже от заголовка он отказался как от ненужного и указывал лишь дату, место и количество еврейских мужчин и женщин без дополнительн</w:t>
        <w:t xml:space="preserve">ых </w:t>
        <w:t>разъяснени</w:t>
        <w:t>й</w:t>
        <w:t>.</w:t>
      </w:r>
      <w:hyperlink w:anchor="__428">
        <w:r>
          <w:rPr>
            <w:rStyle w:val="Text2"/>
          </w:rPr>
          <w:bookmarkStart w:id="495" w:name="428"/>
          <w:t>428</w:t>
          <w:bookmarkEnd w:id="495"/>
        </w:r>
      </w:hyperlink>
      <w:r>
        <w:rPr>
          <w:rStyle w:val="Text3"/>
        </w:rPr>
        <w:t xml:space="preserve"> </w:t>
      </w:r>
      <w:r>
        <w:t xml:space="preserve"> </w:t>
      </w:r>
    </w:p>
    <w:p>
      <w:pPr>
        <w:pStyle w:val="Para 02"/>
      </w:pPr>
      <w:r>
        <w:t xml:space="preserve">Возможно самой близкой и похожей на ситуацию Полицейского Резервного Батальона 101 была ситуация роты Полицейского Резервного Батальона 133, расположенного в Рава-Русская [Rawa-Ruska] в соседнем </w:t>
        <w:t>округе</w:t>
        <w:t xml:space="preserve"> Галиции к востоку от Люблина. Согласно шести еженедельным рапортам периода от 1 ноября до 12 декабря 1942 </w:t>
        <w:t>г.</w:t>
        <w:t>, эта рота казнила 481 еврея, которые либо скрывшись избежали депортации или спрыгну</w:t>
        <w:t>ли</w:t>
        <w:t xml:space="preserve"> с поезд</w:t>
        <w:t>ов</w:t>
        <w:t xml:space="preserve"> на пути в Белжец. </w:t>
        <w:t xml:space="preserve">За </w:t>
        <w:t xml:space="preserve">этот короткий период, таким образом, в роте на каждого полицейского </w:t>
        <w:t>пришлось</w:t>
        <w:t xml:space="preserve"> по три убитых еврея. И это на территории, которая была очищена депортациями и держалась </w:t>
      </w:r>
      <w:r>
        <w:rPr>
          <w:rStyle w:val="Text0"/>
        </w:rPr>
        <w:t>judenfrei</w:t>
      </w:r>
      <w:r>
        <w:t xml:space="preserve"> «охотой на евреев».</w:t>
      </w:r>
      <w:hyperlink w:anchor="__429">
        <w:r>
          <w:rPr>
            <w:rStyle w:val="Text2"/>
          </w:rPr>
          <w:bookmarkStart w:id="496" w:name="429"/>
          <w:t>429</w:t>
          <w:bookmarkEnd w:id="496"/>
        </w:r>
      </w:hyperlink>
      <w:r>
        <w:rPr>
          <w:rStyle w:val="Text3"/>
        </w:rPr>
        <w:t xml:space="preserve"> </w:t>
      </w:r>
      <w:r>
        <w:t xml:space="preserve"> </w:t>
      </w:r>
    </w:p>
    <w:p>
      <w:pPr>
        <w:pStyle w:val="Para 05"/>
      </w:pPr>
      <w:r>
        <w:t xml:space="preserve"> Хоть «охота на евреев» не получила много внимания, она была важной и статистически значимой фазой </w:t>
        <w:t>Окончате</w:t>
        <w:t xml:space="preserve">льного Решения. Значительный процент еврейских жертв в Генерал-губернаторстве достигнут именно этим путём. Отбрасывая статистику, «охота на евреев» важна как психологический ключ к складу ума преступников. Многие немецкие оккупанты в Польше могли неоднократно </w:t>
        <w:t>становиться</w:t>
        <w:t xml:space="preserve"> либо свидетелями, либо участниками чисток гетто — несколько коротких периодов в жизни, которые можно легко подавить в воспоминаниях. Но «охота на евреев» не была коротким эпизодом — </w:t>
        <w:t>о</w:t>
        <w:t>на была упорной, безжалостной, продолжительной кампанией, в которой «</w:t>
        <w:t>о</w:t>
        <w:t xml:space="preserve">хотники» выслеживали и убивали своих «жертв» в прямом и личном столкновении. Это не было проходящей фазой, но экзистенциальным состоянием постоянной готовности и </w:t>
        <w:t>намерения убивать каждого найденного еврея.</w:t>
      </w:r>
      <w:r>
        <w:rPr>
          <w:rStyle w:val="Text7"/>
        </w:rPr>
        <w:t xml:space="preserve"> </w:t>
      </w:r>
    </w:p>
    <w:p>
      <w:pPr>
        <w:pStyle w:val="Heading 2"/>
      </w:pPr>
      <w:r>
        <w:bookmarkStart w:id="497" w:name="anchor34"/>
        <w:t/>
        <w:bookmarkEnd w:id="497"/>
        <w:t>Глава 15</w:t>
        <w:bookmarkStart w:id="498" w:name="anchor80"/>
        <w:t/>
        <w:bookmarkEnd w:id="498"/>
        <w:bookmarkStart w:id="499" w:name="anchor81"/>
        <w:t/>
        <w:bookmarkEnd w:id="499"/>
      </w:r>
    </w:p>
    <w:p>
      <w:pPr>
        <w:pStyle w:val="Para 11"/>
      </w:pPr>
      <w:r>
        <w:bookmarkStart w:id="500" w:name="anchor35"/>
        <w:t/>
        <w:bookmarkEnd w:id="500"/>
        <w:t>Последние бойни: «Фестиваль Урожая»</w:t>
      </w:r>
    </w:p>
    <w:p>
      <w:pPr>
        <w:pStyle w:val="Para 09"/>
      </w:pPr>
      <w:r>
        <w:t xml:space="preserve"> </w:t>
        <w:br w:clear="none"/>
      </w:r>
    </w:p>
    <w:p>
      <w:pPr>
        <w:pStyle w:val="Para 05"/>
      </w:pPr>
      <w:r>
        <w:rPr>
          <w:rStyle w:val="Text6"/>
        </w:rPr>
        <w:t/>
      </w:r>
      <w:r>
        <w:t xml:space="preserve">28 октября </w:t>
        <w:t>Высший</w:t>
        <w:t xml:space="preserve"> </w:t>
        <w:t>Руководитель</w:t>
        <w:t xml:space="preserve"> Полиции и СС Генерал-губернаторства Вильгельм Крюгер постановил, что в Люблине останутся </w:t>
        <w:t xml:space="preserve">только </w:t>
        <w:t>восемь еврейских гетто.</w:t>
      </w:r>
      <w:hyperlink w:anchor="__430">
        <w:r>
          <w:rPr>
            <w:rStyle w:val="Text2"/>
          </w:rPr>
          <w:bookmarkStart w:id="501" w:name="430"/>
          <w:t>430</w:t>
          <w:bookmarkEnd w:id="501"/>
        </w:r>
      </w:hyperlink>
      <w:r>
        <w:rPr>
          <w:rStyle w:val="Text3"/>
        </w:rPr>
        <w:t xml:space="preserve"> </w:t>
      </w:r>
      <w:r>
        <w:t xml:space="preserve"> </w:t>
        <w:t xml:space="preserve"> Четыре из них находились в зоне безопасности Полицейского Резервного Батальона 101: Лукув, Мендзыжец, Парчев и Коньсковоля, </w:t>
        <w:t>но в осенних депортациях последние два будут ликвидированы.</w:t>
        <w:t xml:space="preserve"> Помимо них в </w:t>
        <w:t>округе</w:t>
        <w:t xml:space="preserve"> Люблина остались гетто в Пясках, Избице и Влодаве. Под угрозой голода и раскрытия с одной стороны, предательством и расстрелом с другой, многие сбежавшие в леса в октябре и ноябре евреи впоследствии вернулись в гетто Лукува и Мендзыжеца. Зимняя погода сделала жизнь в лесу тяжёлой и опасной — </w:t>
        <w:t>л</w:t>
        <w:t>юбое передвижение оставляло следы на снегу, как минимум в одном случае отходы жизнедеятельности выдали убежище евреев, вырезанное внутри замёрзшего стога сена.</w:t>
      </w:r>
      <w:hyperlink w:anchor="__431">
        <w:r>
          <w:rPr>
            <w:rStyle w:val="Text2"/>
          </w:rPr>
          <w:bookmarkStart w:id="502" w:name="431"/>
          <w:t>431</w:t>
          <w:bookmarkEnd w:id="502"/>
        </w:r>
      </w:hyperlink>
      <w:r>
        <w:rPr>
          <w:rStyle w:val="Text3"/>
        </w:rPr>
        <w:t xml:space="preserve"> </w:t>
      </w:r>
      <w:r>
        <w:t xml:space="preserve"> </w:t>
        <w:t xml:space="preserve"> Таким образом, когда казалось, что депортации подошли к концу, многие евреи посчитали свои шансы на выживание выше на территории гетто, чем в качестве добычи в лесу.</w:t>
      </w:r>
      <w:r>
        <w:rPr>
          <w:rStyle w:val="Text6"/>
        </w:rPr>
        <w:t xml:space="preserve"> </w:t>
      </w:r>
    </w:p>
    <w:p>
      <w:pPr>
        <w:pStyle w:val="Para 02"/>
      </w:pPr>
      <w:r>
        <w:t xml:space="preserve">Депортации из </w:t>
        <w:t>района</w:t>
        <w:t xml:space="preserve"> Радзин</w:t>
        <w:t>ь</w:t>
        <w:t xml:space="preserve"> на время действительно остановились, но в гетто Лукува и Мендзыжеца жизнь от этого не перестала быть опасной. В декабре администратором СС гетто </w:t>
        <w:t xml:space="preserve">Лукува </w:t>
        <w:t>Джозефом Бургером для уменьшения популяции был отдан приказ об убийстве от 500 до 600 евреев.</w:t>
      </w:r>
      <w:hyperlink w:anchor="__432">
        <w:r>
          <w:rPr>
            <w:rStyle w:val="Text2"/>
          </w:rPr>
          <w:bookmarkStart w:id="503" w:name="432"/>
          <w:t>432</w:t>
          <w:bookmarkEnd w:id="503"/>
        </w:r>
      </w:hyperlink>
      <w:r>
        <w:rPr>
          <w:rStyle w:val="Text3"/>
        </w:rPr>
        <w:t xml:space="preserve"> </w:t>
      </w:r>
      <w:r>
        <w:t xml:space="preserve"> Избежавших депортаций осенью 500 работников щёточной фабрике Мендзыжеца отправили в рабочий лагерь Травники 30 декабря 1942 </w:t>
        <w:t>г</w:t>
        <w:t>.</w:t>
      </w:r>
      <w:hyperlink w:anchor="__433">
        <w:r>
          <w:rPr>
            <w:rStyle w:val="Text2"/>
          </w:rPr>
          <w:bookmarkStart w:id="504" w:name="433"/>
          <w:t>433</w:t>
          <w:bookmarkEnd w:id="504"/>
        </w:r>
      </w:hyperlink>
      <w:r>
        <w:rPr>
          <w:rStyle w:val="Text3"/>
        </w:rPr>
        <w:t xml:space="preserve"> </w:t>
      </w:r>
      <w:r>
        <w:t xml:space="preserve"> </w:t>
        <w:t xml:space="preserve"> О</w:t>
        <w:t xml:space="preserve">коло 11 вечера в канун нового года </w:t>
        <w:t>следующей ночью</w:t>
        <w:t>, Полиция Безопасности соседнего Бяла-Подляски появилась в пьяном состоянии в гетто Мендзыжеца и начала стрелять по оставшимся евреям «спорта ради». Остановить и прогнать их удалось лишь прибывшей на место Полиции Безопасности.</w:t>
      </w:r>
      <w:hyperlink w:anchor="__434">
        <w:r>
          <w:rPr>
            <w:rStyle w:val="Text2"/>
          </w:rPr>
          <w:bookmarkStart w:id="505" w:name="434"/>
          <w:t>434</w:t>
          <w:bookmarkEnd w:id="505"/>
        </w:r>
      </w:hyperlink>
      <w:r>
        <w:rPr>
          <w:rStyle w:val="Text3"/>
        </w:rPr>
        <w:t xml:space="preserve"> </w:t>
      </w:r>
      <w:r>
        <w:t xml:space="preserve"> </w:t>
      </w:r>
    </w:p>
    <w:p>
      <w:pPr>
        <w:pStyle w:val="Para 02"/>
      </w:pPr>
      <w:r>
        <w:t xml:space="preserve">Спустя четыре месяца относительного спокойствия наступил конец. Ночью </w:t>
        <w:t xml:space="preserve">1 </w:t>
        <w:t xml:space="preserve">мая члены второй роты, выполнившие множество депортаций в Мендзыжеце прошлой осенью, вновь окружили гетто. Снова работая совместно с отрядом Травников, они к утру вошли внутрь и собрали евреев на рынке. Полицейские оценивали количество депортированных в этой операции от 700 до 1 000, хотя один указывал </w:t>
        <w:t>цифру</w:t>
        <w:t xml:space="preserve"> около 3 000.</w:t>
      </w:r>
      <w:hyperlink w:anchor="__435">
        <w:r>
          <w:rPr>
            <w:rStyle w:val="Text2"/>
          </w:rPr>
          <w:bookmarkStart w:id="506" w:name="435"/>
          <w:t>435</w:t>
          <w:bookmarkEnd w:id="506"/>
        </w:r>
      </w:hyperlink>
      <w:r>
        <w:rPr>
          <w:rStyle w:val="Text3"/>
        </w:rPr>
        <w:t xml:space="preserve"> </w:t>
      </w:r>
      <w:r>
        <w:t xml:space="preserve"> Еврейский свидетель оценивал количество </w:t>
        <w:t>жертв</w:t>
        <w:t xml:space="preserve"> в 4 000 или 5 000.</w:t>
      </w:r>
      <w:hyperlink w:anchor="__436">
        <w:r>
          <w:rPr>
            <w:rStyle w:val="Text2"/>
          </w:rPr>
          <w:bookmarkStart w:id="507" w:name="436"/>
          <w:t>436</w:t>
          <w:bookmarkEnd w:id="507"/>
        </w:r>
      </w:hyperlink>
      <w:r>
        <w:rPr>
          <w:rStyle w:val="Text3"/>
        </w:rPr>
        <w:t xml:space="preserve"> </w:t>
      </w:r>
      <w:r>
        <w:t xml:space="preserve"> И снова евреев тщательно обыскали в бараке для раздевания Гн</w:t>
        <w:t>а</w:t>
        <w:t>д</w:t>
        <w:t>е</w:t>
        <w:t xml:space="preserve">, после чего загнали в вагоны так тесно, что едва смогли закрыть двери. Часть отправили в рабочий лагерь Майданек </w:t>
        <w:t xml:space="preserve">[Majdanek] </w:t>
        <w:t>в Люблине, но большинство в газовые камеры Треблинки для завершения так называемой пятой операции в Мендзыжеце.</w:t>
      </w:r>
      <w:hyperlink w:anchor="__437">
        <w:r>
          <w:rPr>
            <w:rStyle w:val="Text2"/>
          </w:rPr>
          <w:bookmarkStart w:id="508" w:name="437"/>
          <w:t>437</w:t>
          <w:bookmarkEnd w:id="508"/>
        </w:r>
      </w:hyperlink>
      <w:r>
        <w:rPr>
          <w:rStyle w:val="Text3"/>
        </w:rPr>
        <w:t xml:space="preserve"> </w:t>
      </w:r>
      <w:r>
        <w:t xml:space="preserve"> «Шестая операция» </w:t>
        <w:t>прошла</w:t>
        <w:t xml:space="preserve"> 26 мая, когда в лагерь Майданек послали ещё </w:t>
        <w:t>около</w:t>
        <w:t xml:space="preserve"> 1 000 евреев.</w:t>
      </w:r>
      <w:hyperlink w:anchor="__438">
        <w:r>
          <w:rPr>
            <w:rStyle w:val="Text2"/>
          </w:rPr>
          <w:bookmarkStart w:id="509" w:name="438"/>
          <w:t>438</w:t>
          <w:bookmarkEnd w:id="509"/>
        </w:r>
      </w:hyperlink>
      <w:r>
        <w:rPr>
          <w:rStyle w:val="Text3"/>
        </w:rPr>
        <w:t xml:space="preserve"> </w:t>
      </w:r>
      <w:r>
        <w:t xml:space="preserve"> К тому моменту в гетто осталось лишь 200 человек. Часть сбежала, но 17 июля 1943-</w:t>
        <w:t>го</w:t>
        <w:t xml:space="preserve"> Полиция Безопасности в финальном акте застрелила 170, после чего Мендзыжец объявили </w:t>
      </w:r>
      <w:r>
        <w:rPr>
          <w:rStyle w:val="Text0"/>
        </w:rPr>
        <w:t>judenfrei</w:t>
      </w:r>
      <w:r>
        <w:t xml:space="preserve">. </w:t>
        <w:t>2 мая, о</w:t>
        <w:t>дновременно с возобновлением депортаций в Мендзыжеце второй роты Гн</w:t>
        <w:t>а</w:t>
        <w:t>д</w:t>
        <w:t>е</w:t>
        <w:t>, отряды СС Люблина вместе с вспомогательными украинскими Травниками ликвидировали гетто Лукува, депортировав от 3 000 до 4 000 евреев в Треблинку.</w:t>
      </w:r>
      <w:hyperlink w:anchor="__439">
        <w:r>
          <w:rPr>
            <w:rStyle w:val="Text2"/>
          </w:rPr>
          <w:bookmarkStart w:id="510" w:name="439"/>
          <w:t>439</w:t>
          <w:bookmarkEnd w:id="510"/>
        </w:r>
      </w:hyperlink>
      <w:r>
        <w:rPr>
          <w:rStyle w:val="Text3"/>
        </w:rPr>
        <w:t xml:space="preserve"> </w:t>
      </w:r>
      <w:r>
        <w:t xml:space="preserve"> </w:t>
      </w:r>
    </w:p>
    <w:p>
      <w:pPr>
        <w:pStyle w:val="Para 02"/>
      </w:pPr>
      <w:r>
        <w:t>Постепенно людей, пришедших в Польшу в июне 1942-</w:t>
        <w:t>го</w:t>
        <w:t xml:space="preserve"> вместе с Полицейским Резервным Батальоном 101, переназначали на новые задачи. Зимой 1942-1943 </w:t>
        <w:t>гг.</w:t>
        <w:t xml:space="preserve">, люди </w:t>
        <w:t xml:space="preserve">в возрасте </w:t>
        <w:t xml:space="preserve">— рождённые до 1898 </w:t>
        <w:t xml:space="preserve">г. </w:t>
        <w:t>— отправились обратно в Германию.</w:t>
      </w:r>
      <w:hyperlink w:anchor="__440">
        <w:r>
          <w:rPr>
            <w:rStyle w:val="Text2"/>
          </w:rPr>
          <w:bookmarkStart w:id="511" w:name="440"/>
          <w:t>440</w:t>
          <w:bookmarkEnd w:id="511"/>
        </w:r>
      </w:hyperlink>
      <w:r>
        <w:rPr>
          <w:rStyle w:val="Text3"/>
        </w:rPr>
        <w:t xml:space="preserve"> </w:t>
      </w:r>
      <w:r>
        <w:t xml:space="preserve"> Одновременно с этим из каждого взвода батальона отобрали людей и сформировали специальный отряд под командованием лейтенанта Бранда. Их послали в Замосць [Zamość] в южной части </w:t>
        <w:t>округа</w:t>
        <w:t xml:space="preserve">, где им предстояло принять участие в изгнании поляков из деревень </w:t>
        <w:t xml:space="preserve">согласно </w:t>
        <w:t>плану Гиммлера и Глобочника по заселению внутренней Польши чистокровными немцами.</w:t>
      </w:r>
      <w:hyperlink w:anchor="__441">
        <w:r>
          <w:rPr>
            <w:rStyle w:val="Text2"/>
          </w:rPr>
          <w:bookmarkStart w:id="512" w:name="441"/>
          <w:t>441</w:t>
          <w:bookmarkEnd w:id="512"/>
        </w:r>
      </w:hyperlink>
      <w:r>
        <w:rPr>
          <w:rStyle w:val="Text3"/>
        </w:rPr>
        <w:t xml:space="preserve"> </w:t>
      </w:r>
      <w:r>
        <w:t xml:space="preserve"> В начале 1943-</w:t>
        <w:t xml:space="preserve">го </w:t>
        <w:t>группа молодых унтер-офицеро</w:t>
        <w:t>в</w:t>
        <w:t xml:space="preserve"> батальона перешла под управление Войск СС </w:t>
        <w:t>[</w:t>
        <w:t>Waffen-SS</w:t>
        <w:t>]</w:t>
        <w:t xml:space="preserve"> и отправилась проходить специализированную тренировку.</w:t>
      </w:r>
      <w:hyperlink w:anchor="__442">
        <w:r>
          <w:rPr>
            <w:rStyle w:val="Text2"/>
          </w:rPr>
          <w:bookmarkStart w:id="513" w:name="442"/>
          <w:t>442</w:t>
          <w:bookmarkEnd w:id="513"/>
        </w:r>
      </w:hyperlink>
      <w:r>
        <w:rPr>
          <w:rStyle w:val="Text3"/>
        </w:rPr>
        <w:t xml:space="preserve"> </w:t>
      </w:r>
      <w:r>
        <w:t xml:space="preserve"> Какое-то время спустя лейтенанта Гн</w:t>
        <w:t>а</w:t>
        <w:t>д</w:t>
        <w:t>е</w:t>
        <w:t xml:space="preserve"> перевели в Люблин для формирования роты специальной охраны; </w:t>
        <w:t>в</w:t>
        <w:t xml:space="preserve"> качестве заместителя он взял сержанта Штайнмеца.</w:t>
      </w:r>
      <w:hyperlink w:anchor="__443">
        <w:r>
          <w:rPr>
            <w:rStyle w:val="Text2"/>
          </w:rPr>
          <w:bookmarkStart w:id="514" w:name="443"/>
          <w:t>443</w:t>
          <w:bookmarkEnd w:id="514"/>
        </w:r>
      </w:hyperlink>
      <w:r>
        <w:rPr>
          <w:rStyle w:val="Text3"/>
        </w:rPr>
        <w:t xml:space="preserve"> </w:t>
      </w:r>
      <w:r>
        <w:t xml:space="preserve"> Однако Гн</w:t>
        <w:t>а</w:t>
        <w:t>д</w:t>
        <w:t xml:space="preserve">е </w:t>
        <w:t>всё же</w:t>
        <w:t xml:space="preserve"> ненадолго возвращался в Мендзыжец для проведения майских депортаций. И наконец, лейтенант Шир так же был переназначен в Люблин для руководства одним из двух специальных «взводов преследования» </w:t>
        <w:t>[</w:t>
        <w:t>J</w:t>
        <w:t>agdzüge] —</w:t>
        <w:t xml:space="preserve"> и</w:t>
        <w:t>х обязанностью стала усиленная охота за отрядами партизан. Для пополнения кадров прислали подкрепления, в том числе для истощённой второй роты прислали группу берлинцев</w:t>
      </w:r>
      <w:hyperlink w:anchor="__444">
        <w:r>
          <w:rPr>
            <w:rStyle w:val="Text2"/>
          </w:rPr>
          <w:bookmarkStart w:id="515" w:name="444"/>
          <w:t>444</w:t>
          <w:bookmarkEnd w:id="515"/>
        </w:r>
      </w:hyperlink>
      <w:r>
        <w:rPr>
          <w:rStyle w:val="Text3"/>
        </w:rPr>
        <w:t xml:space="preserve"> </w:t>
      </w:r>
      <w:r>
        <w:t xml:space="preserve"> , но по большей части, Полицейский Резервный Батальон </w:t>
        <w:t>101</w:t>
        <w:t xml:space="preserve"> остался в неполном составе.</w:t>
      </w:r>
    </w:p>
    <w:p>
      <w:pPr>
        <w:pStyle w:val="Para 02"/>
      </w:pPr>
      <w:r>
        <w:t xml:space="preserve">Из-за большого количества переназначений и переводов, в батальоне к ноябрю 1943 </w:t>
        <w:t>года</w:t>
        <w:t xml:space="preserve"> осталась лишь часть полицейских, присутствовавших при первой резне в Юзефуве. </w:t>
        <w:t>Именно т</w:t>
        <w:t xml:space="preserve">огда — в ноябре 1943 </w:t>
        <w:t xml:space="preserve">г., </w:t>
        <w:t xml:space="preserve">участие батальона в </w:t>
        <w:t>Окончате</w:t>
        <w:t xml:space="preserve">льном Решении достигло своего пика в великой резне «фестиваля жатвы» </w:t>
        <w:t>[</w:t>
        <w:t>Erntefest</w:t>
        <w:t>]</w:t>
        <w:t xml:space="preserve"> — самой большой немецкой операции против евреев во всей войне. С числом жертв в 42 000 человек в </w:t>
        <w:t>округе</w:t>
        <w:t xml:space="preserve"> Люблина, </w:t>
      </w:r>
      <w:r>
        <w:rPr>
          <w:rStyle w:val="Text0"/>
        </w:rPr>
        <w:t>Erntefest</w:t>
      </w:r>
      <w:r>
        <w:t xml:space="preserve"> превзошёл даже печально известную резню в Бабий Яре [Babi Yar], где под Киевом вырезали более 33 000 евреев. Её </w:t>
        <w:t xml:space="preserve">же </w:t>
        <w:t xml:space="preserve">превзошла только устроенная румынами бойня в Одессе в октябре 1941 </w:t>
        <w:t>г.</w:t>
        <w:t xml:space="preserve">, когда было убито </w:t>
        <w:t>не менее</w:t>
        <w:t xml:space="preserve"> 50 000 евреев.</w:t>
      </w:r>
    </w:p>
    <w:p>
      <w:pPr>
        <w:pStyle w:val="Para 05"/>
      </w:pPr>
      <w:r>
        <w:t xml:space="preserve"> </w:t>
      </w:r>
      <w:r>
        <w:rPr>
          <w:rStyle w:val="Text0"/>
        </w:rPr>
        <w:t>Erntefest</w:t>
      </w:r>
      <w:r>
        <w:t xml:space="preserve"> </w:t>
        <w:t>стал</w:t>
        <w:t xml:space="preserve"> кульминацией крестового похода Гиммлера против польских евреев. Пока в 1942-</w:t>
        <w:t xml:space="preserve">м </w:t>
        <w:t xml:space="preserve">кампания по убийству набирала обороты, Гиммлера </w:t>
        <w:t>доводили</w:t>
        <w:t xml:space="preserve"> жалобами руководств</w:t>
        <w:t>а</w:t>
        <w:t xml:space="preserve"> промышленного и военного комплексов </w:t>
        <w:t>из-за</w:t>
        <w:t xml:space="preserve"> забор</w:t>
        <w:t>а</w:t>
        <w:t xml:space="preserve"> жизненно необходимых для войны рабочих евреев. В ответ на жалобы, в которых он не видел ничего кроме отговорок, он согласился пощадить некоторых, </w:t>
        <w:t>но</w:t>
        <w:t xml:space="preserve"> с условием, что </w:t>
        <w:t>евреи</w:t>
        <w:t xml:space="preserve"> будут </w:t>
        <w:t>проживать</w:t>
        <w:t xml:space="preserve"> в лагерях и гетто под контролем СС. Это позволило Гиммлеру парировать практичный аргумент о необходимостях </w:t>
        <w:t>для</w:t>
        <w:t xml:space="preserve"> военной экономики, в то же время обеспечивая себе полный контроль над судьбами всех евреев. В конце концов спасение в рабочих лагерях и гетто было лишь временным. </w:t>
        <w:t xml:space="preserve">Словами </w:t>
        <w:t>самого</w:t>
        <w:t xml:space="preserve"> Гиммлер</w:t>
        <w:t>а</w:t>
        <w:t>: «Там евреи тоже должны в один день исчезнуть в соответствии с пожеланием Фюрера».</w:t>
      </w:r>
      <w:hyperlink w:anchor="__445">
        <w:r>
          <w:rPr>
            <w:rStyle w:val="Text2"/>
          </w:rPr>
          <w:bookmarkStart w:id="516" w:name="445"/>
          <w:t>445</w:t>
          <w:bookmarkEnd w:id="516"/>
        </w:r>
      </w:hyperlink>
      <w:r>
        <w:rPr>
          <w:rStyle w:val="Text3"/>
        </w:rPr>
        <w:t xml:space="preserve"> </w:t>
      </w:r>
      <w:r>
        <w:t xml:space="preserve"> </w:t>
      </w:r>
      <w:r>
        <w:rPr>
          <w:rStyle w:val="Text7"/>
        </w:rPr>
        <w:t xml:space="preserve"> </w:t>
      </w:r>
    </w:p>
    <w:p>
      <w:pPr>
        <w:pStyle w:val="Para 02"/>
      </w:pPr>
      <w:r>
        <w:t xml:space="preserve">В </w:t>
        <w:t>округе</w:t>
        <w:t xml:space="preserve"> Люблина рабочим гетто Мендзыжеца, Лукува, Пяски, Избицы и Влодавы позволили просуществовать зиму 1942-43 </w:t>
        <w:t>гг</w:t>
        <w:t xml:space="preserve">. Последние три ликвидировали в марте и апреле 1943 </w:t>
        <w:t>г</w:t>
        <w:t>. Как мы уже видели, в мае гетто Мендзыжеца и Лукува повторили их судьбу.</w:t>
      </w:r>
      <w:hyperlink w:anchor="__446">
        <w:r>
          <w:rPr>
            <w:rStyle w:val="Text2"/>
          </w:rPr>
          <w:bookmarkStart w:id="517" w:name="446"/>
          <w:t>446</w:t>
          <w:bookmarkEnd w:id="517"/>
        </w:r>
      </w:hyperlink>
      <w:r>
        <w:rPr>
          <w:rStyle w:val="Text3"/>
        </w:rPr>
        <w:t xml:space="preserve"> </w:t>
      </w:r>
      <w:r>
        <w:t xml:space="preserve"> К тому времени </w:t>
        <w:t>в округе Люблина</w:t>
        <w:t xml:space="preserve"> единственными сохранившими свои жизни с согласия немцев были 45 000 рабочих-евреев в империи трудовых лагерей Одило Глобочника. </w:t>
        <w:t>Это число включает в себя</w:t>
        <w:t xml:space="preserve"> переживши</w:t>
        <w:t>х</w:t>
        <w:t xml:space="preserve"> гетто Люблина, а так же рабочи</w:t>
        <w:t>х</w:t>
        <w:t xml:space="preserve">, </w:t>
        <w:t>присланны</w:t>
        <w:t>х</w:t>
        <w:t xml:space="preserve"> из ликвидированных гетто Варшавы и Белостока.</w:t>
      </w:r>
    </w:p>
    <w:p>
      <w:pPr>
        <w:pStyle w:val="Para 02"/>
      </w:pPr>
      <w:r>
        <w:t xml:space="preserve">К осени 1943 </w:t>
        <w:t>г</w:t>
        <w:t>ода</w:t>
        <w:t xml:space="preserve"> Гиммлеру стали очевидны две вещи: </w:t>
        <w:t>в</w:t>
        <w:t xml:space="preserve">о-первых, для завершения его миссии </w:t>
        <w:t>рабочие-</w:t>
        <w:t>евреи</w:t>
        <w:t xml:space="preserve"> </w:t>
        <w:t xml:space="preserve">в лагерях должны быть убиты; </w:t>
        <w:t>в</w:t>
        <w:t>о-вторых, евреи в тех местах перестали видеть какую-либо надежду на выживание и за последние шесть месяцев организовали сопротивление — Варшава в апреле, Треблинка в июле, Белосток в Августе, Собибор в октябре. До весны 1943-</w:t>
        <w:t xml:space="preserve">го </w:t>
        <w:t xml:space="preserve">польские евреи цеплялись за вполне понятное, но ошибочное предположение, что нацисты не могут быть настолько иррациональными, чтобы убить всех евреев, так необходимых для функционирования немецкой военной экономики. Так что как свою последнюю надежду они преследовали отчаянную стратегию «спасения через работу» — </w:t>
        <w:t>э</w:t>
        <w:t>ти стратегия и надежда лежали в основе еврейской уступчивости. Однако постепенно они лишались своих иллюзий. Немцы встретили сопротивление, когда попытались выполнить финальную ликвидацию гетто Варшавы и Белостока. Когда евреи поняли, что лагеря закрывают, то подняли восстание в лагерях смерти Треблинки и Собибор. Гиммлер не мог ожидать, что рабочие лагеря можно будет ликвидировать постепенно один за другим без какого-либо сопротивлени</w:t>
        <w:t>я</w:t>
        <w:t xml:space="preserve"> — </w:t>
        <w:t>о</w:t>
        <w:t xml:space="preserve">тчаяние евреев было слишком велико. Заключённых трудовых лагерей </w:t>
        <w:t>округа</w:t>
        <w:t xml:space="preserve"> Люблина, следовательно, нужно было застать врасплох и убить за одну </w:t>
        <w:t>крупномасштабную</w:t>
        <w:t xml:space="preserve"> операцию. Так зародился </w:t>
      </w:r>
      <w:r>
        <w:rPr>
          <w:rStyle w:val="Text0"/>
        </w:rPr>
        <w:t>Erntefest</w:t>
      </w:r>
      <w:r>
        <w:t xml:space="preserve"> — «фестиваль жатвы».</w:t>
      </w:r>
      <w:hyperlink w:anchor="__447">
        <w:r>
          <w:rPr>
            <w:rStyle w:val="Text2"/>
          </w:rPr>
          <w:bookmarkStart w:id="518" w:name="447"/>
          <w:t>447</w:t>
          <w:bookmarkEnd w:id="518"/>
        </w:r>
      </w:hyperlink>
      <w:r>
        <w:rPr>
          <w:rStyle w:val="Text3"/>
        </w:rPr>
        <w:t xml:space="preserve"> </w:t>
      </w:r>
      <w:r>
        <w:t xml:space="preserve"> </w:t>
      </w:r>
    </w:p>
    <w:p>
      <w:pPr>
        <w:pStyle w:val="Para 02"/>
      </w:pPr>
      <w:r>
        <w:t>Массовое убийство в таких масштаб</w:t>
        <w:t>ах</w:t>
        <w:t xml:space="preserve"> требовало </w:t>
        <w:t xml:space="preserve">тщательной </w:t>
        <w:t xml:space="preserve">планировки и подготовки. Преемник Глобочника в качестве </w:t>
        <w:t>Руководителя</w:t>
        <w:t xml:space="preserve"> СС и Полиции (SSPF) Якоб Шпорренберг отправился в Краков на совещание со своим начальником — Вильгельмом Крюгером. </w:t>
        <w:t>О</w:t>
        <w:t>т него он</w:t>
        <w:t xml:space="preserve"> вернулся со специальной папкой и приступил к </w:t>
        <w:t>выполнению</w:t>
        <w:t xml:space="preserve"> инструкций.</w:t>
      </w:r>
      <w:hyperlink w:anchor="__448">
        <w:r>
          <w:rPr>
            <w:rStyle w:val="Text2"/>
          </w:rPr>
          <w:bookmarkStart w:id="519" w:name="448"/>
          <w:t>448</w:t>
          <w:bookmarkEnd w:id="519"/>
        </w:r>
      </w:hyperlink>
      <w:r>
        <w:rPr>
          <w:rStyle w:val="Text3"/>
        </w:rPr>
        <w:t xml:space="preserve"> </w:t>
      </w:r>
      <w:r>
        <w:t xml:space="preserve"> </w:t>
        <w:t xml:space="preserve"> В конце</w:t>
        <w:t xml:space="preserve"> октябр</w:t>
        <w:t>я</w:t>
        <w:t xml:space="preserve"> еврейских заключённых отправили копать траншеи недалеко от территорий лагерей Майданек, Травники и Понятова [Poniatowa]. Хоть траншеи и были глубиной три метра и шириной </w:t>
        <w:t>от полутора до трёх</w:t>
        <w:t xml:space="preserve">, </w:t>
        <w:t xml:space="preserve">их зигзагообразная форма </w:t>
        <w:t>придавала достоверность заявлению</w:t>
        <w:t>, что их копали в качестве защиты от воздушных нападений.</w:t>
      </w:r>
      <w:hyperlink w:anchor="__449">
        <w:r>
          <w:rPr>
            <w:rStyle w:val="Text2"/>
          </w:rPr>
          <w:bookmarkStart w:id="520" w:name="449"/>
          <w:t>449</w:t>
          <w:bookmarkEnd w:id="520"/>
        </w:r>
      </w:hyperlink>
      <w:r>
        <w:rPr>
          <w:rStyle w:val="Text3"/>
        </w:rPr>
        <w:t xml:space="preserve"> </w:t>
      </w:r>
      <w:r>
        <w:t xml:space="preserve"> </w:t>
        <w:t xml:space="preserve"> По всему Генерал-губернаторству н</w:t>
        <w:t xml:space="preserve">ачалась мобилизация отрядов СС и Полиции. Вечером </w:t>
        <w:t xml:space="preserve">2 </w:t>
        <w:t>ноября Шпорренберг встретился с командующими различных сил, включая отряд</w:t>
        <w:t>ы</w:t>
        <w:t xml:space="preserve"> Войск</w:t>
        <w:t xml:space="preserve"> СС из </w:t>
        <w:t>округов</w:t>
        <w:t xml:space="preserve"> Кракова и Варшавы, Полицейск</w:t>
        <w:t>ого</w:t>
        <w:t xml:space="preserve"> Полка 22 из Кракова, Полицейск</w:t>
        <w:t>ого</w:t>
        <w:t xml:space="preserve"> Полк</w:t>
        <w:t>а</w:t>
        <w:t xml:space="preserve"> 25 (включая Полицейский Резервный батальон 101) и Полиции Безопасности Люблина, а так же руководителями лагерей Майданека, Травников, Понятовы и членами штаба. Комната для заседаний была битком, </w:t>
        <w:t xml:space="preserve">и </w:t>
        <w:t xml:space="preserve">в ней </w:t>
        <w:t>Шпорренберг раздал инструкции из привезённой из Кракова специальной папки.</w:t>
      </w:r>
      <w:hyperlink w:anchor="__450">
        <w:r>
          <w:rPr>
            <w:rStyle w:val="Text2"/>
          </w:rPr>
          <w:bookmarkStart w:id="521" w:name="450"/>
          <w:t>450</w:t>
          <w:bookmarkEnd w:id="521"/>
        </w:r>
      </w:hyperlink>
      <w:r>
        <w:rPr>
          <w:rStyle w:val="Text3"/>
        </w:rPr>
        <w:t xml:space="preserve"> </w:t>
      </w:r>
      <w:r>
        <w:t xml:space="preserve"> Следующим же утром началась массивная операция по убийству.</w:t>
      </w:r>
    </w:p>
    <w:p>
      <w:pPr>
        <w:pStyle w:val="Para 02"/>
      </w:pPr>
      <w:r>
        <w:t xml:space="preserve">Члены Полицейского Резервного Батальона 101 участвовали буквально в каждой фазе резни </w:t>
      </w:r>
      <w:r>
        <w:rPr>
          <w:rStyle w:val="Text0"/>
        </w:rPr>
        <w:t>Erntefest</w:t>
      </w:r>
      <w:r>
        <w:t xml:space="preserve"> в Люблине. Они прибыли в столицу </w:t>
        <w:t>округа</w:t>
        <w:t xml:space="preserve"> 2 ноября (так что Трапп предположительно посетил конференцию Шпорренберга) и ночью заселились в бараки. Ранним утром </w:t>
        <w:t>3</w:t>
        <w:t xml:space="preserve"> ноября они заняли свои позиции. Одна группа батальона помогала маршировать евреев из малых рабочих лагерей Люблина в концентрационный лагерь Майданек в нескольких километрах от центра города по главной юго-восточной дороге.</w:t>
      </w:r>
      <w:hyperlink w:anchor="__451">
        <w:r>
          <w:rPr>
            <w:rStyle w:val="Text2"/>
          </w:rPr>
          <w:bookmarkStart w:id="522" w:name="451"/>
          <w:t>451</w:t>
          <w:bookmarkEnd w:id="522"/>
        </w:r>
      </w:hyperlink>
      <w:r>
        <w:rPr>
          <w:rStyle w:val="Text3"/>
        </w:rPr>
        <w:t xml:space="preserve"> </w:t>
      </w:r>
      <w:r>
        <w:t xml:space="preserve"> </w:t>
        <w:t xml:space="preserve"> По обе стороны угловой улицы, что вела с главной магистрали мимо дома коменданта ко входу во внутренний лагерь, на постах каждые пять метров занял позиции с</w:t>
        <w:t>амый большой контингент Полицейского Резервного Батальона 101. Там они смотрели, как из лагерей Люблина вели бесконечный поток евреев.</w:t>
      </w:r>
      <w:hyperlink w:anchor="__452">
        <w:r>
          <w:rPr>
            <w:rStyle w:val="Text2"/>
          </w:rPr>
          <w:bookmarkStart w:id="523" w:name="452"/>
          <w:t>452</w:t>
          <w:bookmarkEnd w:id="523"/>
        </w:r>
      </w:hyperlink>
      <w:r>
        <w:rPr>
          <w:rStyle w:val="Text3"/>
        </w:rPr>
        <w:t xml:space="preserve"> </w:t>
      </w:r>
      <w:r>
        <w:t xml:space="preserve"> </w:t>
        <w:t xml:space="preserve"> Ж</w:t>
        <w:t>енщины-</w:t>
        <w:t>о</w:t>
        <w:t xml:space="preserve">хранники на велосипедах эскортировали от 5 000 до 6 000 женщин-заключённых из «старого лагеря в аэропорту», где те </w:t>
        <w:t xml:space="preserve">на складах </w:t>
        <w:t>занимались сортировкой вещей из лагерей смерти. В течени</w:t>
        <w:t>е</w:t>
        <w:t xml:space="preserve"> дня по этой дороге прошли ещё 8 000 мужчин. Вместе с уже находившимися внутри от 3 500 до 4 500 евреями, </w:t>
        <w:t xml:space="preserve">суммарное количество жертв </w:t>
        <w:t>составлял</w:t>
        <w:t>о</w:t>
        <w:t xml:space="preserve"> от 16 500 до 18 000.</w:t>
      </w:r>
      <w:hyperlink w:anchor="__453">
        <w:r>
          <w:rPr>
            <w:rStyle w:val="Text2"/>
          </w:rPr>
          <w:bookmarkStart w:id="524" w:name="453"/>
          <w:t>453</w:t>
          <w:bookmarkEnd w:id="524"/>
        </w:r>
      </w:hyperlink>
      <w:r>
        <w:rPr>
          <w:rStyle w:val="Text3"/>
        </w:rPr>
        <w:t xml:space="preserve"> </w:t>
      </w:r>
      <w:r>
        <w:t xml:space="preserve"> Пока евреи шли между полицейскими запаса в лагерь, из громкоговорителей двух грузовиков раздавалась музыка. Несмотря на эту попытку приглушить шум, был хорошо слышан звук выстрелов.</w:t>
      </w:r>
      <w:hyperlink w:anchor="__454">
        <w:r>
          <w:rPr>
            <w:rStyle w:val="Text2"/>
          </w:rPr>
          <w:bookmarkStart w:id="525" w:name="454"/>
          <w:t>454</w:t>
          <w:bookmarkEnd w:id="525"/>
        </w:r>
      </w:hyperlink>
      <w:r>
        <w:rPr>
          <w:rStyle w:val="Text3"/>
        </w:rPr>
        <w:t xml:space="preserve"> </w:t>
      </w:r>
      <w:r>
        <w:t xml:space="preserve"> </w:t>
      </w:r>
    </w:p>
    <w:p>
      <w:pPr>
        <w:pStyle w:val="Para 02"/>
      </w:pPr>
      <w:r>
        <w:t xml:space="preserve">Евреев заводили в последний ряд бараков, где </w:t>
        <w:t>они</w:t>
        <w:t xml:space="preserve"> раздевали</w:t>
        <w:t>сь</w:t>
        <w:t>. С поднятыми руками сцепленными за шеей, полностью голыми, группами их выводили из бараков через дыру в заборе и вели к вырытой ранее траншее. Этот путь также охранялся людьми Полицейского Резервного Батальона 101.</w:t>
      </w:r>
      <w:hyperlink w:anchor="__455">
        <w:r>
          <w:rPr>
            <w:rStyle w:val="Text2"/>
          </w:rPr>
          <w:bookmarkStart w:id="526" w:name="455"/>
          <w:t>455</w:t>
          <w:bookmarkEnd w:id="526"/>
        </w:r>
      </w:hyperlink>
      <w:r>
        <w:rPr>
          <w:rStyle w:val="Text3"/>
        </w:rPr>
        <w:t xml:space="preserve"> </w:t>
      </w:r>
      <w:r>
        <w:t xml:space="preserve"> </w:t>
      </w:r>
    </w:p>
    <w:p>
      <w:pPr>
        <w:pStyle w:val="Para 02"/>
      </w:pPr>
      <w:r>
        <w:t>Будучи расположенным всего в десяти метрах от могилы, Генрих Бохольт* стал свидетелем процедуры убийства:</w:t>
      </w:r>
    </w:p>
    <w:p>
      <w:pPr>
        <w:pStyle w:val="Para 39"/>
      </w:pPr>
      <w:r>
        <w:t/>
      </w:r>
    </w:p>
    <w:p>
      <w:pPr>
        <w:pStyle w:val="Para 04"/>
      </w:pPr>
      <w:r>
        <w:t xml:space="preserve">«С моей позиции я мог видеть, как евреев голыми гнали из бараков члены нашего батальона ... стрелки расстрельных команд, сидевшие прямо передо мной на краю могилы, были членами Службы Безопасности ... На каком-то расстоянии от каждого стрелка находились несколько других членов Службы Безопасности, которые постоянно перезаряжали магазины пистолетов-пулемётов и передавали их стрелкам. К каждой могиле было прикреплено несколько </w:t>
        <w:t>таких</w:t>
        <w:t xml:space="preserve"> стрелков. Сегодня я уже не могу предоставить детали о </w:t>
        <w:t xml:space="preserve">числе </w:t>
        <w:t>могил. Возможно таких могил было много и расстрелы в них проходили одновременно. Я точно помню, как нагих евреев вели прямо в могилу и ровно клали на тела уже застреленных ранее. Затем стрелки давали очередь по лежащим жертвам ... Как долго это продолжалось, я уже не могу с уверенностью сказать. Предположительно весь день, потому как помню, что меня один раз отпускали с поста. Не могу сказать сказать примерное количество жертв, но их был ужасно много».</w:t>
      </w:r>
      <w:hyperlink w:anchor="__456">
        <w:r>
          <w:rPr>
            <w:rStyle w:val="Text2"/>
          </w:rPr>
          <w:bookmarkStart w:id="527" w:name="456"/>
          <w:t>456</w:t>
          <w:bookmarkEnd w:id="527"/>
        </w:r>
      </w:hyperlink>
      <w:r>
        <w:rPr>
          <w:rStyle w:val="Text3"/>
        </w:rPr>
        <w:t xml:space="preserve"> </w:t>
      </w:r>
      <w:r>
        <w:t xml:space="preserve"> </w:t>
      </w:r>
    </w:p>
    <w:p>
      <w:pPr>
        <w:pStyle w:val="Para 39"/>
      </w:pPr>
      <w:r>
        <w:t/>
      </w:r>
    </w:p>
    <w:p>
      <w:pPr>
        <w:pStyle w:val="Para 05"/>
      </w:pPr>
      <w:r>
        <w:rPr>
          <w:rStyle w:val="Text7"/>
        </w:rPr>
        <w:t/>
      </w:r>
      <w:r>
        <w:t xml:space="preserve">С дистанции за убийствами наблюдал </w:t>
        <w:t>Руководитель</w:t>
        <w:t xml:space="preserve"> СС и Полиции Шпорренберг, который кружил над лагерем в самолёте </w:t>
        <w:t>ф</w:t>
        <w:t>ѝ</w:t>
        <w:t>зелере</w:t>
        <w:t xml:space="preserve"> Шторх. С крыш смотрели поляки.</w:t>
      </w:r>
      <w:hyperlink w:anchor="__457">
        <w:r>
          <w:rPr>
            <w:rStyle w:val="Text2"/>
          </w:rPr>
          <w:bookmarkStart w:id="528" w:name="457"/>
          <w:t>457</w:t>
          <w:bookmarkEnd w:id="528"/>
        </w:r>
      </w:hyperlink>
      <w:r>
        <w:rPr>
          <w:rStyle w:val="Text3"/>
        </w:rPr>
        <w:t xml:space="preserve"> </w:t>
      </w:r>
      <w:r>
        <w:t xml:space="preserve"> </w:t>
      </w:r>
      <w:r>
        <w:rPr>
          <w:rStyle w:val="Text7"/>
        </w:rPr>
        <w:t xml:space="preserve"> </w:t>
      </w:r>
    </w:p>
    <w:p>
      <w:pPr>
        <w:pStyle w:val="Para 02"/>
      </w:pPr>
      <w:r>
        <w:t xml:space="preserve">Тем же днём </w:t>
        <w:t>и</w:t>
        <w:t xml:space="preserve"> таким </w:t>
        <w:t xml:space="preserve">же способом другие немецкие подразделения вырезали еврейских пленников в трудовом лагере Травники в сорока километрах к востоку от Люблина (оценка варьируется от 6 000 до 10 000 жертв) и в других малых лагерях. Ещё живыми оставались 14 000 евреев Понятовы, в пятидесяти километрах к западу от Люблина, и 3 000 в лагерях Будзынь [Budzyń] и Красник. Последние ликвидации не подлежали — Будзынь работал на авиастроительную компанию Хейнкель, а Красник служил персональным нуждам Полиции и СС Люблина. </w:t>
        <w:t>Крупный</w:t>
        <w:t xml:space="preserve"> лагерь в Понятов</w:t>
        <w:t>е</w:t>
        <w:t xml:space="preserve"> не ликвидировали </w:t>
        <w:t>3</w:t>
        <w:t xml:space="preserve"> ноября лишь потому, что не хватило рабочей силы. Однако лагерь опечатали, а телефонные линии обрезали, так что события в Майданеке и Травник</w:t>
        <w:t>ах</w:t>
        <w:t xml:space="preserve"> не смогли послужить предупреждением </w:t>
        <w:t xml:space="preserve">о </w:t>
        <w:t>запланированной</w:t>
        <w:t xml:space="preserve"> </w:t>
        <w:t>операции 4 ноября. Здесь всё тоже должно было стать полной неожиданностью.</w:t>
      </w:r>
    </w:p>
    <w:p>
      <w:pPr>
        <w:pStyle w:val="Para 02"/>
      </w:pPr>
      <w:r>
        <w:t>В воспоминаниях многих членов Полицейского Батальона 1</w:t>
        <w:t>0</w:t>
        <w:t xml:space="preserve">1 две бойни в двух лагерях смешались в одну операцию, </w:t>
        <w:t xml:space="preserve">растянутую </w:t>
        <w:t>на два или три дня в одном лагере. Либо в Майданеке, либо в Понятове. Но некоторые свидетели — как минимум по одному с роты — вспоминали именно две операции в двух лагерях.</w:t>
      </w:r>
      <w:hyperlink w:anchor="__458">
        <w:r>
          <w:rPr>
            <w:rStyle w:val="Text2"/>
          </w:rPr>
          <w:bookmarkStart w:id="529" w:name="458"/>
          <w:t>458</w:t>
          <w:bookmarkEnd w:id="529"/>
        </w:r>
      </w:hyperlink>
      <w:r>
        <w:rPr>
          <w:rStyle w:val="Text3"/>
        </w:rPr>
        <w:t xml:space="preserve"> </w:t>
      </w:r>
      <w:r>
        <w:t xml:space="preserve"> Таким образом, становится ясно, что ранним утром 4 ноября члены Полицейского Резервного Батальона 101 проехали пятьдесят километров из Люблина в Понятову.</w:t>
      </w:r>
    </w:p>
    <w:p>
      <w:pPr>
        <w:pStyle w:val="Para 02"/>
      </w:pPr>
      <w:r>
        <w:t xml:space="preserve">На этот раз батальон не разделялся. Люди распределись либо между бараками для раздевания и линией зигзага из могил, либо </w:t>
        <w:t xml:space="preserve">на самих местах </w:t>
        <w:t>расстрела.</w:t>
      </w:r>
      <w:hyperlink w:anchor="__459">
        <w:r>
          <w:rPr>
            <w:rStyle w:val="Text2"/>
          </w:rPr>
          <w:bookmarkStart w:id="530" w:name="459"/>
          <w:t>459</w:t>
          <w:bookmarkEnd w:id="530"/>
        </w:r>
      </w:hyperlink>
      <w:r>
        <w:rPr>
          <w:rStyle w:val="Text3"/>
        </w:rPr>
        <w:t xml:space="preserve"> </w:t>
      </w:r>
      <w:r>
        <w:t xml:space="preserve"> Они формировали кордон, через который 14 000 евреев Понятовы, голые и с руками за головами, маршировали на свою смерть, пока ревущая музыка тщетно пыталась заглушить звуки выстрелов. Ближайшим свидетелем </w:t>
        <w:t>стал</w:t>
        <w:t xml:space="preserve"> Мартин Детмольд:</w:t>
      </w:r>
    </w:p>
    <w:p>
      <w:pPr>
        <w:pStyle w:val="Para 33"/>
      </w:pPr>
      <w:r>
        <w:t/>
      </w:r>
    </w:p>
    <w:p>
      <w:pPr>
        <w:pStyle w:val="Para 04"/>
      </w:pPr>
      <w:r>
        <w:t xml:space="preserve">«Я </w:t>
        <w:t>со своей</w:t>
        <w:t xml:space="preserve"> групп</w:t>
        <w:t>ой</w:t>
        <w:t xml:space="preserve"> стоял в</w:t>
        <w:t xml:space="preserve"> охран</w:t>
        <w:t>е</w:t>
        <w:t xml:space="preserve"> прямо перед могилой. Сама яма была зигзагообразной линией щелей траншей, где-то три метра в ширину и три или четыре метра в глубину. С моего поста я мог наблюдать как евреев ... заставляли раздеться в последнем бараке и отда</w:t>
        <w:t>ть</w:t>
        <w:t xml:space="preserve"> всё имеющееся, после чего их вели через наш кордон и по наклонному спуску в</w:t>
        <w:t>низ в</w:t>
        <w:t xml:space="preserve"> траншеи. Люди Службы Безопасности стояли на краях траншей и гнали евреев вперёд на точки казней, где другие члены Службы Безопасности с пистолетами-пулемётами стреляли с краёв. Потому как я был лидером группы и мог более свободно передвигаться, я один раз сходил к месту казни и увидел, как новоприбывших евреев клали лицом вниз на тела уже убитых. Их тоже убивали очередями </w:t>
        <w:t xml:space="preserve">из </w:t>
        <w:t>пулемётов. Люди Службы Безопасности заботились о том, что бы евреев расстреливали определенным образом, при котором гора трупов всегда была с наклоном, так что новые жертвы могли ложиться на неё и образовывать гору высотой до трёх метров.</w:t>
      </w:r>
    </w:p>
    <w:p>
      <w:pPr>
        <w:pStyle w:val="Para 04"/>
      </w:pPr>
      <w:r>
        <w:t xml:space="preserve">... Всё это дело было самой отвратительной вещью, что я видел в своей жизни, потому что я </w:t>
        <w:t xml:space="preserve">часто </w:t>
        <w:t>мог видеть, как после очереди выстрелов евреи оставались лишь ранеными, все ещё живые хоронились заживо под телами тех, кого застрелили потом. Так называемые выстрелы милосердия не осуществлялись. Я помню, как из кучи трупов кто-то раненный проклинал людей СС».</w:t>
      </w:r>
      <w:hyperlink w:anchor="__460">
        <w:r>
          <w:rPr>
            <w:rStyle w:val="Text2"/>
          </w:rPr>
          <w:bookmarkStart w:id="531" w:name="460"/>
          <w:t>460</w:t>
          <w:bookmarkEnd w:id="531"/>
        </w:r>
      </w:hyperlink>
      <w:r>
        <w:rPr>
          <w:rStyle w:val="Text3"/>
        </w:rPr>
        <w:t xml:space="preserve"> </w:t>
      </w:r>
      <w:r>
        <w:t xml:space="preserve"> </w:t>
      </w:r>
    </w:p>
    <w:p>
      <w:pPr>
        <w:pStyle w:val="Para 33"/>
      </w:pPr>
      <w:r>
        <w:t/>
      </w:r>
    </w:p>
    <w:p>
      <w:pPr>
        <w:pStyle w:val="Para 05"/>
      </w:pPr>
      <w:r>
        <w:rPr>
          <w:rStyle w:val="Text6"/>
        </w:rPr>
        <w:t/>
      </w:r>
      <w:r>
        <w:t xml:space="preserve">Другие полицейские уже давно </w:t>
        <w:t xml:space="preserve">привыкли </w:t>
        <w:t xml:space="preserve">к массовым убийствам, </w:t>
        <w:t xml:space="preserve">и </w:t>
        <w:t xml:space="preserve">мало кто так </w:t>
        <w:t xml:space="preserve">сильно </w:t>
        <w:t>был впечатлён «фестивалем жатвы», как Детмольд. Однако что они нашли новым и впечатляющим, так это проблему — пока ещё сдерживаемую относительной секретностью лагерей смерти — избавления от трупов. Вильгельм Гебхардт*, состоявший в специальной роте охраны Гн</w:t>
        <w:t>а</w:t>
        <w:t>д</w:t>
        <w:t>е</w:t>
        <w:t xml:space="preserve"> оставшейся в Люблине после убийств, </w:t>
        <w:t>рассказывал</w:t>
        <w:t>: «Люблин целыми днями ужасно вонял. Стоял типичный запах горелой плоти. Любой может представить как много евреев сожгли в лагере Майданека».</w:t>
      </w:r>
      <w:hyperlink w:anchor="__461">
        <w:r>
          <w:rPr>
            <w:rStyle w:val="Text2"/>
          </w:rPr>
          <w:bookmarkStart w:id="532" w:name="461"/>
          <w:t>461</w:t>
          <w:bookmarkEnd w:id="532"/>
        </w:r>
      </w:hyperlink>
      <w:r>
        <w:rPr>
          <w:rStyle w:val="Text3"/>
        </w:rPr>
        <w:t xml:space="preserve"> </w:t>
      </w:r>
      <w:r>
        <w:t xml:space="preserve"> </w:t>
      </w:r>
      <w:r>
        <w:rPr>
          <w:rStyle w:val="Text6"/>
        </w:rPr>
        <w:t xml:space="preserve"> </w:t>
      </w:r>
    </w:p>
    <w:p>
      <w:pPr>
        <w:pStyle w:val="Para 02"/>
      </w:pPr>
      <w:r>
        <w:t xml:space="preserve">Если жителям Люблина приходилось лишь слышать запах горелой плоти с расстояния, то в Понятове многие члены третьей роты получили личный опыт по устранению тел. </w:t>
        <w:t>Понятова</w:t>
        <w:t xml:space="preserve"> располагалась всего в тридцати пяти километрах к югу от Пулавы, </w:t>
        <w:t>и</w:t>
        <w:t xml:space="preserve"> раньше иногда посещалась полицейскими</w:t>
        <w:t xml:space="preserve">, а теперь </w:t>
        <w:t xml:space="preserve">их </w:t>
        <w:t xml:space="preserve">назначили там охранять рабочих-евреев, пока те выполняли отвратительную работу по эксгумации и сожжению тел. Полицейские в деталях наблюдали, как </w:t>
        <w:t xml:space="preserve">с помощью лошадей </w:t>
        <w:t>трупы вытаскивали из траншей, тащили к месту сожжения, клали на решётку из железных рельс и сжигали. Всю местность накрыла «животная вонь».</w:t>
      </w:r>
      <w:hyperlink w:anchor="__462">
        <w:r>
          <w:rPr>
            <w:rStyle w:val="Text2"/>
          </w:rPr>
          <w:bookmarkStart w:id="533" w:name="462"/>
          <w:t>462</w:t>
          <w:bookmarkEnd w:id="533"/>
        </w:r>
      </w:hyperlink>
      <w:r>
        <w:rPr>
          <w:rStyle w:val="Text3"/>
        </w:rPr>
        <w:t xml:space="preserve"> </w:t>
      </w:r>
      <w:r>
        <w:t xml:space="preserve"> Грузовик с полицейскими однажды сделал остановку в лагере, как раз когда проходило сожжение. «Некоторым товарищам стало </w:t>
        <w:t xml:space="preserve">так </w:t>
        <w:t xml:space="preserve">плохо от запаха и вида полуразложившихся тел, что </w:t>
        <w:t xml:space="preserve">они заблевали </w:t>
        <w:t>в</w:t>
        <w:t>есь</w:t>
        <w:t xml:space="preserve"> грузовик».</w:t>
      </w:r>
      <w:hyperlink w:anchor="__463">
        <w:r>
          <w:rPr>
            <w:rStyle w:val="Text2"/>
          </w:rPr>
          <w:bookmarkStart w:id="534" w:name="463"/>
          <w:t>463</w:t>
          <w:bookmarkEnd w:id="534"/>
        </w:r>
      </w:hyperlink>
      <w:r>
        <w:rPr>
          <w:rStyle w:val="Text3"/>
        </w:rPr>
        <w:t xml:space="preserve"> </w:t>
      </w:r>
      <w:r>
        <w:t xml:space="preserve"> Когда новый командир третьей роты капитан Хаслах* получил доклады вернувшихся, он посчитал их «невероятными» и сказал </w:t>
        <w:t>старшему</w:t>
        <w:t xml:space="preserve"> сержанту Карлсену: «Давай, пойдём туда и сами посмотрим». К их прибытию работа уже была завершена, но любезные офицеры СС показали им могилы и «гриль» из железных рельс где-то четыре на восемь метров.</w:t>
      </w:r>
      <w:hyperlink w:anchor="__464">
        <w:r>
          <w:rPr>
            <w:rStyle w:val="Text2"/>
          </w:rPr>
          <w:bookmarkStart w:id="535" w:name="464"/>
          <w:t>464</w:t>
          <w:bookmarkEnd w:id="535"/>
        </w:r>
      </w:hyperlink>
      <w:r>
        <w:rPr>
          <w:rStyle w:val="Text3"/>
        </w:rPr>
        <w:t xml:space="preserve"> </w:t>
      </w:r>
      <w:r>
        <w:t xml:space="preserve"> </w:t>
      </w:r>
    </w:p>
    <w:p>
      <w:pPr>
        <w:pStyle w:val="Para 02"/>
      </w:pPr>
      <w:r>
        <w:t xml:space="preserve">По результатам бойни «фестиваля жатвы» </w:t>
        <w:t>округ</w:t>
        <w:t xml:space="preserve"> Люблина с чисто практической точки зрения стал </w:t>
      </w:r>
      <w:r>
        <w:rPr>
          <w:rStyle w:val="Text0"/>
        </w:rPr>
        <w:t>judenfrei</w:t>
      </w:r>
      <w:r>
        <w:t xml:space="preserve">. Кровавое участие Полицейского Резервного Батальона 101 в </w:t>
        <w:t>Окончате</w:t>
        <w:t xml:space="preserve">льном Решении подошло к концу. По консервативным оценкам </w:t>
        <w:t xml:space="preserve">во время ранних операций в Юзефуве и Ломазы </w:t>
        <w:t xml:space="preserve">застрелено </w:t>
        <w:t xml:space="preserve">6 500 евреев, 1 000 во время «охоты на евреев», 30 500 в Майданеке и Понятове. Члены батальона лично участвовали в расстреле как минимум 38 000 евреев. </w:t>
        <w:t>В</w:t>
        <w:t xml:space="preserve"> начале мая 1943-</w:t>
        <w:t>го</w:t>
        <w:t xml:space="preserve"> в лагерь смерти </w:t>
        <w:t xml:space="preserve">отправили </w:t>
        <w:t xml:space="preserve">3 000 евреев Мендзыжеца, </w:t>
        <w:t>и</w:t>
        <w:t xml:space="preserve"> количество человек, которых батальон погрузил на поезда в Треблинку, выросло до 45 000. Для батальона с составом менее чем в 500 полицейских, окончательный подсчёт смертей приводит минимальную </w:t>
        <w:t>оценку</w:t>
        <w:t xml:space="preserve"> в 83 000 человек.</w:t>
      </w:r>
    </w:p>
    <w:p>
      <w:pPr>
        <w:pStyle w:val="Para 09"/>
      </w:pPr>
      <w:r>
        <w:t xml:space="preserve"> </w:t>
        <w:br w:clear="none"/>
      </w:r>
    </w:p>
    <w:p>
      <w:pPr>
        <w:pStyle w:val="Heading 2"/>
      </w:pPr>
      <w:r>
        <w:bookmarkStart w:id="536" w:name="anchor36"/>
        <w:t/>
        <w:bookmarkEnd w:id="536"/>
        <w:t>Глава 16</w:t>
        <w:bookmarkStart w:id="537" w:name="anchor82"/>
        <w:t/>
        <w:bookmarkEnd w:id="537"/>
        <w:bookmarkStart w:id="538" w:name="anchor83"/>
        <w:t/>
        <w:bookmarkEnd w:id="538"/>
      </w:r>
    </w:p>
    <w:p>
      <w:pPr>
        <w:pStyle w:val="Para 11"/>
      </w:pPr>
      <w:r>
        <w:bookmarkStart w:id="539" w:name="anchor37"/>
        <w:t/>
        <w:bookmarkEnd w:id="539"/>
        <w:t>Последствия</w:t>
      </w:r>
    </w:p>
    <w:p>
      <w:pPr>
        <w:pStyle w:val="Para 09"/>
      </w:pPr>
      <w:r>
        <w:t xml:space="preserve"> </w:t>
        <w:br w:clear="none"/>
      </w:r>
    </w:p>
    <w:p>
      <w:pPr>
        <w:pStyle w:val="Para 05"/>
      </w:pPr>
      <w:r>
        <w:rPr>
          <w:rStyle w:val="Text6"/>
        </w:rPr>
        <w:t/>
      </w:r>
      <w:r>
        <w:t xml:space="preserve">С завершением содействию </w:t>
        <w:t>Окончате</w:t>
        <w:t xml:space="preserve">льному Решению и разворотом хода войны для Германии, члены Полицейского Резервного Батальона 101 все чаще </w:t>
        <w:t xml:space="preserve">стали находить </w:t>
        <w:t xml:space="preserve">себя на операциях против вооружённых партизан и вражеских солдат. Весной 1943 </w:t>
        <w:t>года</w:t>
        <w:t xml:space="preserve"> батальон испытал редкую потерю, когда </w:t>
        <w:t>старший</w:t>
        <w:t xml:space="preserve"> лейтенант Хайген был случайно убит огнём своих же полицейских, </w:t>
        <w:t xml:space="preserve">но в </w:t>
        <w:t>последний год войны потери заметно выросли. Лейтенанты Гн</w:t>
        <w:t>а</w:t>
        <w:t>д</w:t>
        <w:t>е</w:t>
        <w:t xml:space="preserve">, Хоппнер и Питерс пали в бою, </w:t>
        <w:t xml:space="preserve">а </w:t>
        <w:t>лейтенант Дракер вернулся в Германию раненым.</w:t>
      </w:r>
      <w:hyperlink w:anchor="__465">
        <w:r>
          <w:rPr>
            <w:rStyle w:val="Text2"/>
          </w:rPr>
          <w:bookmarkStart w:id="540" w:name="465"/>
          <w:t>465</w:t>
          <w:bookmarkEnd w:id="540"/>
        </w:r>
      </w:hyperlink>
      <w:r>
        <w:rPr>
          <w:rStyle w:val="Text3"/>
        </w:rPr>
        <w:t xml:space="preserve"> </w:t>
      </w:r>
      <w:r>
        <w:t xml:space="preserve"> </w:t>
        <w:t xml:space="preserve"> В начале 1944 </w:t>
        <w:t>г.</w:t>
        <w:t xml:space="preserve"> в Германию вернулся и майор Трапп.</w:t>
      </w:r>
      <w:hyperlink w:anchor="__466">
        <w:r>
          <w:rPr>
            <w:rStyle w:val="Text2"/>
          </w:rPr>
          <w:bookmarkStart w:id="541" w:name="466"/>
          <w:t>466</w:t>
          <w:bookmarkEnd w:id="541"/>
        </w:r>
      </w:hyperlink>
      <w:r>
        <w:rPr>
          <w:rStyle w:val="Text3"/>
        </w:rPr>
        <w:t xml:space="preserve"> </w:t>
      </w:r>
      <w:r>
        <w:t xml:space="preserve"> </w:t>
        <w:t xml:space="preserve"> Небольшое количество </w:t>
        <w:t>полицейских</w:t>
        <w:t xml:space="preserve"> батальона</w:t>
        <w:t xml:space="preserve"> было захвачено в пл</w:t>
        <w:t>е</w:t>
        <w:t xml:space="preserve">н наступающей </w:t>
        <w:t>советск</w:t>
        <w:t xml:space="preserve">ой армией, но большинство смогло вернуться в Германию на фоне </w:t>
        <w:t>терпящего поражени</w:t>
        <w:t>е</w:t>
        <w:t xml:space="preserve"> Третьего Рейх</w:t>
        <w:t>а</w:t>
        <w:t>.</w:t>
      </w:r>
      <w:r>
        <w:rPr>
          <w:rStyle w:val="Text6"/>
        </w:rPr>
        <w:t xml:space="preserve"> </w:t>
      </w:r>
    </w:p>
    <w:p>
      <w:pPr>
        <w:pStyle w:val="Para 02"/>
      </w:pPr>
      <w:r>
        <w:t xml:space="preserve">Многие </w:t>
        <w:t xml:space="preserve">вернулись к </w:t>
        <w:t>сво</w:t>
        <w:t>ей</w:t>
        <w:t xml:space="preserve"> довоенн</w:t>
        <w:t>ой</w:t>
        <w:t xml:space="preserve"> деятельност</w:t>
        <w:t>и</w:t>
        <w:t xml:space="preserve">. Для двух гауптштурмфюреров СС Хоффмана и Волауфа, а так же для двенадцати из выборки в двадцать три унтер-офицера, это означало продолжение карьеры в полиции. Ещё двенадцать рядовых полицейских из выборки в </w:t>
        <w:t xml:space="preserve">сто семьдесят четыре </w:t>
        <w:t xml:space="preserve">умудрились использовать свою службу в резерве и </w:t>
        <w:t>после войны сделали карьеру в полиции</w:t>
        <w:t>. Не удивительно, но допросы содержат мало информации о том, насколько просто для этих двадцат</w:t>
        <w:t>и</w:t>
        <w:t xml:space="preserve"> шесть человек было продолжить служить в </w:t>
        <w:t>ней</w:t>
        <w:t xml:space="preserve">. Только двое резервистов состояли в партии, в </w:t>
        <w:t>сравнении</w:t>
        <w:t xml:space="preserve"> с</w:t>
        <w:t xml:space="preserve"> девятью </w:t>
        <w:t>унтер-офицер</w:t>
        <w:t xml:space="preserve">ами, </w:t>
        <w:t xml:space="preserve"> </w:t>
        <w:t>т</w:t>
        <w:t xml:space="preserve">рое из </w:t>
        <w:t xml:space="preserve">которых </w:t>
        <w:t xml:space="preserve">состояли </w:t>
        <w:t xml:space="preserve">так же и </w:t>
        <w:t xml:space="preserve">в СС. Хоффман и Волауф, конечно же, состояли и в партии, и в СС. Хоффман упоминал краткий период интернирования британцами из-за своего членства </w:t>
        <w:t>в нём</w:t>
        <w:t>. Хоть он и был допрошен властями Польши, его отпустили, и он незамедлительно вернулся в полицию Гамбурга.</w:t>
      </w:r>
      <w:hyperlink w:anchor="__467">
        <w:r>
          <w:rPr>
            <w:rStyle w:val="Text2"/>
          </w:rPr>
          <w:bookmarkStart w:id="542" w:name="467"/>
          <w:t>467</w:t>
          <w:bookmarkEnd w:id="542"/>
        </w:r>
      </w:hyperlink>
      <w:r>
        <w:rPr>
          <w:rStyle w:val="Text3"/>
        </w:rPr>
        <w:t xml:space="preserve"> </w:t>
      </w:r>
      <w:r>
        <w:t xml:space="preserve"> </w:t>
      </w:r>
    </w:p>
    <w:p>
      <w:pPr>
        <w:pStyle w:val="Para 05"/>
      </w:pPr>
      <w:r>
        <w:t xml:space="preserve"> Иронично, но после войны из-за своей службы в Полицейском Резервном Батальоне 101 столкнулись с </w:t>
        <w:t>большѝми</w:t>
        <w:t xml:space="preserve"> трудностями не </w:t>
        <w:t>фанатичные</w:t>
        <w:t xml:space="preserve"> офицеры СС, но майор Трапп и лейтенант Бухман. Одного полицейского из расстрельной команды Тальчина сдала своя бывшая жена, </w:t>
        <w:t>и</w:t>
        <w:t xml:space="preserve"> </w:t>
        <w:t>п</w:t>
        <w:t xml:space="preserve">од допросом он назвал своего командира </w:t>
        <w:t>б</w:t>
        <w:t xml:space="preserve">атальона </w:t>
        <w:t>Траппа</w:t>
        <w:t xml:space="preserve">, командира роты Бухмана и </w:t>
        <w:t>старшего</w:t>
        <w:t xml:space="preserve"> сержанта Каммера. Всех их экстрадировали в Польшу в октябре 1947 </w:t>
        <w:t>г</w:t>
        <w:t>ода</w:t>
        <w:t xml:space="preserve">. 6 </w:t>
        <w:t>и</w:t>
        <w:t>юля 1948-</w:t>
        <w:t>го</w:t>
        <w:t xml:space="preserve"> они предстали перед однодневным судом в городе Седльце [Siedlce]. Суд </w:t>
        <w:t xml:space="preserve">сосредотачивался </w:t>
        <w:t xml:space="preserve">исключительно на расстреле семидесяти восьми поляков в Тальчине, а не на кровавых и намного более страшных действиях батальона против польских евреев. Полицейского и Траппа приговорили к смерти и казнили в декабре 1948 </w:t>
        <w:t>г</w:t>
        <w:t>ода</w:t>
        <w:t>. Бухмана приговорили к восьми годам тюрьмы, Каммера к трём.</w:t>
      </w:r>
      <w:hyperlink w:anchor="__468">
        <w:r>
          <w:rPr>
            <w:rStyle w:val="Text2"/>
          </w:rPr>
          <w:bookmarkStart w:id="543" w:name="468"/>
          <w:t>468</w:t>
          <w:bookmarkEnd w:id="543"/>
        </w:r>
      </w:hyperlink>
      <w:r>
        <w:rPr>
          <w:rStyle w:val="Text3"/>
        </w:rPr>
        <w:t xml:space="preserve"> </w:t>
      </w:r>
      <w:r>
        <w:t xml:space="preserve"> </w:t>
      </w:r>
      <w:r>
        <w:rPr>
          <w:rStyle w:val="Text7"/>
        </w:rPr>
        <w:t xml:space="preserve"> </w:t>
      </w:r>
    </w:p>
    <w:p>
      <w:pPr>
        <w:pStyle w:val="Para 02"/>
      </w:pPr>
      <w:r>
        <w:t xml:space="preserve">Полицейский Резервный Батальон 101 не был объектом дальнейшего судебного расследования </w:t>
        <w:t xml:space="preserve">вплоть </w:t>
        <w:t>до 1960-х. В 1958-</w:t>
        <w:t>м</w:t>
        <w:t xml:space="preserve"> для инициации и координации судебного преследования нацистских преступлений сформировали </w:t>
      </w:r>
      <w:r>
        <w:rPr>
          <w:rStyle w:val="Text0"/>
        </w:rPr>
        <w:t>Zentrale Stelle</w:t>
      </w:r>
      <w:r>
        <w:t xml:space="preserve"> - </w:t>
        <w:t xml:space="preserve">Центральное Управления Государственной Юстиции в городе Людвигсбург к северу от Штутгарта. Кадры </w:t>
      </w:r>
      <w:r>
        <w:rPr>
          <w:rStyle w:val="Text0"/>
        </w:rPr>
        <w:t>Zentrale Stelle</w:t>
      </w:r>
      <w:r>
        <w:t xml:space="preserve"> организовали в оперативные группы, каждая из которых получила назначение расследовать разные «комплексы преступлений». Только проведя первоначальное исследование конкретного комплекса преступления и раскрыв причастность старших офицеров, они передавали </w:t>
        <w:t>всю собранную информацию в</w:t>
        <w:t xml:space="preserve"> юрисдикцию Государственн</w:t>
        <w:t>ой</w:t>
        <w:t xml:space="preserve"> Прокуратур</w:t>
        <w:t>е</w:t>
        <w:t xml:space="preserve"> того федерального штата, в котором жили главные подозреваемые. Именно расследуя ворох преступлений в </w:t>
        <w:t>округе</w:t>
        <w:t xml:space="preserve"> Люблина, следователи Людвигсбурга натолкнулись на нескольких свидетелей из Полицейского Резервного Батальона 101. </w:t>
        <w:t>В</w:t>
        <w:t xml:space="preserve"> 1962-</w:t>
        <w:t>м</w:t>
        <w:t xml:space="preserve"> дело передали полиции и судебной власти Гамбурга, где </w:t>
        <w:t>проживала</w:t>
        <w:t xml:space="preserve"> большая часть выживших членов батальона.</w:t>
      </w:r>
    </w:p>
    <w:p>
      <w:pPr>
        <w:pStyle w:val="Para 02"/>
      </w:pPr>
      <w:r>
        <w:t xml:space="preserve">С конца 1962 по начало 1967 </w:t>
        <w:t>гг.</w:t>
        <w:t xml:space="preserve"> допросили 210 членов батальона, многих неоднократно. Четырнадцати предъявили обвинения: </w:t>
        <w:t>к</w:t>
        <w:t xml:space="preserve">апитанам Хоффману и Волауфу, лейтенанту Дракеру, сержантам Штайнмецу, Бентхейму, Бекемейеру и Грунду, капралам Графману* и Мелеру*, а так же пяти </w:t>
        <w:t xml:space="preserve">рядовым </w:t>
        <w:t xml:space="preserve">полицейским </w:t>
        <w:t>из запаса</w:t>
        <w:t>. Суд начался в октябре 1967-</w:t>
        <w:t>го</w:t>
        <w:t xml:space="preserve">, вердикт вынесен в апреле </w:t>
        <w:t>следующего года</w:t>
        <w:t xml:space="preserve">. Хоффман, Волауф и Дракер получили </w:t>
        <w:t xml:space="preserve">по </w:t>
        <w:t xml:space="preserve">восемь лет тюрьмы; Бентхейм шесть; Бекемейер пять. Графмана и пятерых полицейских признали виновными, но по решению судьи (суд проходил на основании положения уголовного кодекса 1940 года, потому как старались избежать критики, которой подвергся Нюрнбергский процесс, а именно о применении </w:t>
      </w:r>
      <w:r>
        <w:rPr>
          <w:rStyle w:val="Text0"/>
        </w:rPr>
        <w:t>e</w:t>
        <w:t>x post facto law —</w:t>
      </w:r>
      <w:r>
        <w:t xml:space="preserve"> обратной силы закона) — им сроков не дали</w:t>
      </w:r>
      <w:hyperlink w:anchor="__469">
        <w:r>
          <w:rPr>
            <w:rStyle w:val="Text2"/>
          </w:rPr>
          <w:bookmarkStart w:id="544" w:name="469"/>
          <w:t>469</w:t>
          <w:bookmarkEnd w:id="544"/>
        </w:r>
      </w:hyperlink>
      <w:r>
        <w:rPr>
          <w:rStyle w:val="Text3"/>
        </w:rPr>
        <w:t xml:space="preserve"> </w:t>
      </w:r>
      <w:r>
        <w:t xml:space="preserve"> . Грунд, Штайнмец и Мелер не были включены в вердикт, так как их дела отделились от </w:t>
        <w:t xml:space="preserve">основного </w:t>
        <w:t>из-за их ухудшающегося здоровья. Затянувшийся процесс обжалований наконец завершился в 1972-</w:t>
        <w:t>м</w:t>
        <w:t>. Приговор</w:t>
        <w:t>ы</w:t>
        <w:t xml:space="preserve"> Бентхейму и Бекемейеру остался в силе, но они тоже не получили сроков. Приговор Хоффману сократили до четырёх лет, Дракеру до трёх с половиной. Предстоящие дела против других членов батальона сторона обвинения прекратила в свете невозможности добиться приговоров для кого-либо, кроме как </w:t>
        <w:t xml:space="preserve">для </w:t>
        <w:t>первых трёх подсудимых.</w:t>
      </w:r>
    </w:p>
    <w:p>
      <w:pPr>
        <w:pStyle w:val="Para 02"/>
      </w:pPr>
      <w:r>
        <w:t xml:space="preserve">Как бы неадекватно не выглядел послевоенный судебный исход на первый взгляд, нужно держать в уме, что расследование Полицейского Резервного Батальона 101 являлось одним из немногих расследований деятельности полиции, привёдших к осуждению бывших членов Полиции Порядка. Большинство расследований </w:t>
        <w:t xml:space="preserve">не </w:t>
        <w:t xml:space="preserve">привело даже к обвинениям. В тех же случаях, когда доходило до суда, лишь </w:t>
        <w:t xml:space="preserve">в </w:t>
        <w:t>горстк</w:t>
        <w:t>е</w:t>
        <w:t xml:space="preserve"> дел удалось добиться </w:t>
        <w:t>обвинительны</w:t>
        <w:t>х</w:t>
        <w:t xml:space="preserve"> заключени</w:t>
        <w:t>й</w:t>
        <w:t>. Говоря в сравнении, расследование и суд над Полицейским Резервным Батальоном 101 был редким успехом немецких судебных властей, пытающихся разобраться с полицейскими батальонами.</w:t>
      </w:r>
    </w:p>
    <w:p>
      <w:pPr>
        <w:pStyle w:val="Para 02"/>
      </w:pPr>
      <w:r>
        <w:t xml:space="preserve">Допросы 210 людей Полицейского Резервного Батальона 101 </w:t>
        <w:t>хранятся</w:t>
        <w:t xml:space="preserve"> в архиве Государственной Прокуратуры в Гамбурге. Они составляют главный, незаменимый источник для этого исследования. Остаётся надеяться, что похвальные усилия стороны обвинения в подготовке этого дела послужат истории лучше, чем они послужили справедливости.</w:t>
      </w:r>
    </w:p>
    <w:p>
      <w:pPr>
        <w:pStyle w:val="Para 09"/>
      </w:pPr>
      <w:r>
        <w:t xml:space="preserve"> </w:t>
        <w:br w:clear="none"/>
      </w:r>
    </w:p>
    <w:p>
      <w:pPr>
        <w:pStyle w:val="Heading 2"/>
      </w:pPr>
      <w:r>
        <w:bookmarkStart w:id="545" w:name="anchor38"/>
        <w:t/>
        <w:bookmarkEnd w:id="545"/>
        <w:t>Глава 17</w:t>
        <w:bookmarkStart w:id="546" w:name="anchor84"/>
        <w:t/>
        <w:bookmarkEnd w:id="546"/>
        <w:bookmarkStart w:id="547" w:name="anchor85"/>
        <w:t/>
        <w:bookmarkEnd w:id="547"/>
      </w:r>
    </w:p>
    <w:p>
      <w:pPr>
        <w:pStyle w:val="Para 11"/>
      </w:pPr>
      <w:r>
        <w:bookmarkStart w:id="548" w:name="anchor39"/>
        <w:t/>
        <w:bookmarkEnd w:id="548"/>
        <w:t>Немцы, Поляки, Евреи</w:t>
      </w:r>
    </w:p>
    <w:p>
      <w:pPr>
        <w:pStyle w:val="Para 09"/>
      </w:pPr>
      <w:r>
        <w:t xml:space="preserve"> </w:t>
        <w:br w:clear="none"/>
      </w:r>
    </w:p>
    <w:p>
      <w:pPr>
        <w:pStyle w:val="Para 02"/>
      </w:pPr>
      <w:r>
        <w:t xml:space="preserve">Досудебные показания и показания непосредственно на суде членов Полицейского Резервного Батальона 101 должны быть, конечно же, использованы с большой осторожностью. Проблемы судебного расчёта, включающие </w:t>
        <w:t xml:space="preserve">в себя </w:t>
        <w:t>самообличение и обвинения товарищей, тяжело давили на свидетелей. Также важны прожитые двадцать пять лет, забывание и искажение памяти, даже если те не вызваны судебными причинами. Механизм психологической защиты, особенно подавление и проекция, также принципиально исказили показания. Нигде оговорка о ненадёжности показаний не становится настолько важной, как в показаниях о роковом треугольнике отношений немцев, поляков и евреев. Говоря проще, описание отношений „немцев с поляками“ и „немцев с евреями“ в показаниях носят экстраординарно оправдательный характер, тогда как описание отношений „поляков с евреями“ экстраординарно осуждающий. Если мы начнём рассмотр первых двух отношений как их описывали бывшие полицейские, мы сможем лучше увидеть ассиметрию и искажения, существующие в их описании третьих отношений.</w:t>
      </w:r>
    </w:p>
    <w:p>
      <w:pPr>
        <w:pStyle w:val="Para 02"/>
      </w:pPr>
      <w:r>
        <w:t xml:space="preserve">Что отличает польско-немецкие отношения, так это крайне примечательное отсутствие каких-либо комментариев. Люди упоминали партизан, бандитов, воров, но большая часть их замечаний не имеет антинемецкого сентимента и не связывает с ними вышеуказанные феномены. Наоборот, они описывают бандитизм как эндемическую проблему, существовавшую до немецкой оккупации Польши. Так что их упоминания партизан и бандитов идут двумя путями: с одной стороны, подразумевается, что немцы защищали поляков от врождённой проблемы беззакония, а с другой, скрывается частота и размах антиеврейской деятельности батальона с помощью предполагаемых партизан и бандитов, которые </w:t>
        <w:t xml:space="preserve">якобы </w:t>
        <w:t xml:space="preserve">на самом деле </w:t>
        <w:t>были главными врагами полиции, а не евреи.</w:t>
      </w:r>
    </w:p>
    <w:p>
      <w:pPr>
        <w:pStyle w:val="Para 02"/>
      </w:pPr>
      <w:r>
        <w:t>Часть свидетелей ссылалась на конкретные попытки поддержания хороших польско-немецких отношений. Капитан Хоффман открыто хвалился о дружеских отношениях между его ротой и местным населением в Пулавы. Он утверждал, что предъявил обвинения лейтенанту Мессману, потому что тактика моторизированной роты Жандармерии, которой тот командовал, озлобляла поляков.</w:t>
      </w:r>
      <w:hyperlink w:anchor="__470">
        <w:r>
          <w:rPr>
            <w:rStyle w:val="Text2"/>
          </w:rPr>
          <w:bookmarkStart w:id="549" w:name="470"/>
          <w:t>470</w:t>
          <w:bookmarkEnd w:id="549"/>
        </w:r>
      </w:hyperlink>
      <w:r>
        <w:rPr>
          <w:rStyle w:val="Text3"/>
        </w:rPr>
        <w:t xml:space="preserve"> </w:t>
      </w:r>
      <w:r>
        <w:t xml:space="preserve"> Лейтенант Бухман отметил, что майор Трапп выполнил отбор жертв для карательного расстрела в Тальчине с помощью и согласием польского мэра города. Они позаботились о том, чтобы стреляли только неизвестных и ненужных, а не «хороших» граждан.</w:t>
      </w:r>
      <w:hyperlink w:anchor="__471">
        <w:r>
          <w:rPr>
            <w:rStyle w:val="Text2"/>
          </w:rPr>
          <w:bookmarkStart w:id="550" w:name="471"/>
          <w:t>471</w:t>
          <w:bookmarkEnd w:id="550"/>
        </w:r>
      </w:hyperlink>
      <w:r>
        <w:rPr>
          <w:rStyle w:val="Text3"/>
        </w:rPr>
        <w:t xml:space="preserve"> </w:t>
      </w:r>
      <w:r>
        <w:t xml:space="preserve"> </w:t>
      </w:r>
    </w:p>
    <w:p>
      <w:pPr>
        <w:pStyle w:val="Para 02"/>
      </w:pPr>
      <w:r>
        <w:t xml:space="preserve">Картина относительно великодушной немецкой оккупации Польши противоречила лишь двум показаниям. Бруно Пробст вспоминал раннюю активность батальона в Познани и Лодзе в 1940-41 </w:t>
        <w:t>гг.</w:t>
        <w:t>, где полицейские жестоко выгоняли и отвратительно развлекались, приставая к местному населению. К немецкому отношению к полякам в 1942-</w:t>
        <w:t>м</w:t>
        <w:t xml:space="preserve"> он был ещё более критичен:</w:t>
      </w:r>
    </w:p>
    <w:p>
      <w:pPr>
        <w:pStyle w:val="Para 33"/>
      </w:pPr>
      <w:r>
        <w:t/>
      </w:r>
    </w:p>
    <w:p>
      <w:pPr>
        <w:pStyle w:val="Para 04"/>
      </w:pPr>
      <w:r>
        <w:t xml:space="preserve">«В то время даже доноса или комментария от завистливого соседа было достаточно для расстрела поляка вместе со всей семьёй — всего лишь на основании подозрения о владении оружием, укрывания евреев или бандитов. Насколько я знаю, по таким обвинениям поляков никогда не арестовывали и не передавали соответствующим полицейским властям. Из моих наблюдений и из историй моих товарищей, я помню, что когда </w:t>
        <w:t xml:space="preserve">имелись </w:t>
        <w:t>подобные подозрения, поляков всегда расстреливали на месте».</w:t>
      </w:r>
      <w:hyperlink w:anchor="__472">
        <w:r>
          <w:rPr>
            <w:rStyle w:val="Text2"/>
          </w:rPr>
          <w:bookmarkStart w:id="551" w:name="472"/>
          <w:t>472</w:t>
          <w:bookmarkEnd w:id="551"/>
        </w:r>
      </w:hyperlink>
      <w:r>
        <w:rPr>
          <w:rStyle w:val="Text3"/>
        </w:rPr>
        <w:t xml:space="preserve"> </w:t>
      </w:r>
      <w:r>
        <w:t xml:space="preserve"> </w:t>
      </w:r>
    </w:p>
    <w:p>
      <w:pPr>
        <w:pStyle w:val="Para 33"/>
      </w:pPr>
      <w:r>
        <w:t/>
      </w:r>
    </w:p>
    <w:p>
      <w:pPr>
        <w:pStyle w:val="Para 02"/>
      </w:pPr>
      <w:r>
        <w:t xml:space="preserve">Вторым свидетелем, бросающим вызов взгляду на «благоухающие» польско-немецкие отношения, стал не полицейский, а жена лейтенанта Бранда, которая ненадолго с визитом посещала его в Радзине. В то время было обычным делом, </w:t>
        <w:t>рассказывала</w:t>
        <w:t xml:space="preserve"> она, </w:t>
        <w:t xml:space="preserve">даже для </w:t>
        <w:t>немецки</w:t>
        <w:t>х</w:t>
        <w:t xml:space="preserve"> гражданских —</w:t>
        <w:t xml:space="preserve"> не говоря даже о полицейских в форме — </w:t>
        <w:t xml:space="preserve">вести себя </w:t>
        <w:t xml:space="preserve">перед поляками </w:t>
        <w:t>как «</w:t>
        <w:t>рас</w:t>
        <w:t>а</w:t>
        <w:t xml:space="preserve"> господ». К примеру, когда немец шёл по улице в городе, поляки уступали ему дорогу; когда немец заходил в магазин, ожидалось, что польские клиенты выйдут. В один день в Радзине путь ей преградила враждебная польская женщина, но ей удалось пройти </w:t>
        <w:t xml:space="preserve">только </w:t>
        <w:t xml:space="preserve">лишь пригрозив позвать полицию. </w:t>
        <w:t>М</w:t>
        <w:t xml:space="preserve">айор Трапп </w:t>
        <w:t xml:space="preserve">разозлился, когда </w:t>
        <w:t xml:space="preserve">прознал об инциденте, </w:t>
        <w:t>и заявил, что</w:t>
        <w:t xml:space="preserve"> п</w:t>
        <w:t>ольская женщина должна была быть застрелена на общественном рынке. Согласно Фрау Бранд, этот инцидент показателен в отношениях немцев к полякам.</w:t>
      </w:r>
      <w:hyperlink w:anchor="__473">
        <w:r>
          <w:rPr>
            <w:rStyle w:val="Text2"/>
          </w:rPr>
          <w:bookmarkStart w:id="552" w:name="473"/>
          <w:t>473</w:t>
          <w:bookmarkEnd w:id="552"/>
        </w:r>
      </w:hyperlink>
      <w:r>
        <w:rPr>
          <w:rStyle w:val="Text3"/>
        </w:rPr>
        <w:t xml:space="preserve"> </w:t>
      </w:r>
      <w:r>
        <w:t xml:space="preserve"> </w:t>
      </w:r>
    </w:p>
    <w:p>
      <w:pPr>
        <w:pStyle w:val="Para 02"/>
      </w:pPr>
      <w:r>
        <w:t>О сексуальных отношениях между немецкой полицией и польскими женщинами есть лишь два упоминания. Хоффман утверждал, что защитил одного из своих людей, не докладывая о случаи заражения венерическим заболеванием, полученным через запретную связь с поляками.</w:t>
      </w:r>
      <w:hyperlink w:anchor="__474">
        <w:r>
          <w:rPr>
            <w:rStyle w:val="Text2"/>
          </w:rPr>
          <w:bookmarkStart w:id="553" w:name="474"/>
          <w:t>474</w:t>
          <w:bookmarkEnd w:id="553"/>
        </w:r>
      </w:hyperlink>
      <w:r>
        <w:rPr>
          <w:rStyle w:val="Text3"/>
        </w:rPr>
        <w:t xml:space="preserve"> </w:t>
      </w:r>
      <w:r>
        <w:t xml:space="preserve"> Другому полицейскому повезло меньше — он провёл год в «лагере наказания» за нарушение запрета сексуальных отношений с поляками.</w:t>
      </w:r>
      <w:hyperlink w:anchor="__475">
        <w:r>
          <w:rPr>
            <w:rStyle w:val="Text2"/>
          </w:rPr>
          <w:bookmarkStart w:id="554" w:name="475"/>
          <w:t>475</w:t>
          <w:bookmarkEnd w:id="554"/>
        </w:r>
      </w:hyperlink>
      <w:r>
        <w:rPr>
          <w:rStyle w:val="Text3"/>
        </w:rPr>
        <w:t xml:space="preserve"> </w:t>
      </w:r>
      <w:r>
        <w:t xml:space="preserve"> Само существование такого запрета, конечно, говорит многое о реальных отношениях немцев с поляками, так удобно опущенное в большинстве показаний.</w:t>
      </w:r>
    </w:p>
    <w:p>
      <w:pPr>
        <w:pStyle w:val="Para 02"/>
      </w:pPr>
      <w:r>
        <w:t>Могли ли немецкие полицейские делать с поляками то, что они делали с евреями? Хоть и в меньшей степени, но, судя по всему, укоренился тот же процесс растущей чёрствости и безразличия к польской жизни. В сентябре 1942-</w:t>
        <w:t>го</w:t>
        <w:t xml:space="preserve"> в Тальчине батальон ещё задумывался о реакции местных жителей на показательную казнь поляков — </w:t>
        <w:t>п</w:t>
        <w:t xml:space="preserve">осле убийства семидесяти восьми «расходных» поляков, Трапп выполнил свою квоту, убив вместо поляков евреев. Бруно Пробст вспоминал об уже другом превалирующем отношении к январю 1943 </w:t>
        <w:t>г</w:t>
        <w:t>ода.</w:t>
        <w:t xml:space="preserve"> Пока Хоппнер и его второй взвод третьей роты собирался в кино в Ополе, </w:t>
        <w:t>пришло</w:t>
        <w:t xml:space="preserve"> донесение, что </w:t>
        <w:t xml:space="preserve">на </w:t>
        <w:t xml:space="preserve">немецкого полицейского </w:t>
        <w:t>напали поляки и</w:t>
        <w:t xml:space="preserve"> застрелил</w:t>
        <w:t>и</w:t>
        <w:t>. Хоппнер повёл своих людей на карательную операцию в деревню Незд</w:t>
        <w:t>у</w:t>
        <w:t>в [Niezdów], только чтобы узнать, что большинство старших жителей уже убежало. Хот</w:t>
        <w:t>я</w:t>
        <w:t xml:space="preserve"> к тому моменту </w:t>
        <w:t>уже</w:t>
        <w:t xml:space="preserve"> стало известно, что полицейского не убили, а </w:t>
        <w:t xml:space="preserve">лишь </w:t>
        <w:t xml:space="preserve">ранили, Хоппнер всё же приказал убить всех имеющихся (от </w:t>
        <w:t>12</w:t>
        <w:t xml:space="preserve"> до </w:t>
        <w:t>15</w:t>
        <w:t>) польских стариков — по большей части женщин, а деревню сжечь. После чего люди вернулись и пошли в кино в Ополе.</w:t>
      </w:r>
      <w:hyperlink w:anchor="__476">
        <w:r>
          <w:rPr>
            <w:rStyle w:val="Text2"/>
          </w:rPr>
          <w:bookmarkStart w:id="555" w:name="476"/>
          <w:t>476</w:t>
          <w:bookmarkEnd w:id="555"/>
        </w:r>
      </w:hyperlink>
      <w:r>
        <w:rPr>
          <w:rStyle w:val="Text3"/>
        </w:rPr>
        <w:t xml:space="preserve"> </w:t>
      </w:r>
      <w:r>
        <w:t xml:space="preserve"> </w:t>
      </w:r>
    </w:p>
    <w:p>
      <w:pPr>
        <w:pStyle w:val="Para 02"/>
      </w:pPr>
      <w:r>
        <w:t xml:space="preserve">Показания отличаются схожими </w:t>
        <w:t xml:space="preserve">пробелами в описании </w:t>
        <w:t>немецкого отношения к евреям. Одна причина для этого строго юридическая — согласно немецкому закону, среди критериев для определения убийства как преступного присутствует критерий «мотивации» — такой как расовая ненависть. Любой член батальона, кто открыто признался бы в антисемитизме, серьёзно подорвал бы своё юридическое положение. Любой, кто стал бы говорить об антисемитических взглядах других, нашёл бы себя в неудобной позиции свидетеля против своих бывших товарищей.</w:t>
      </w:r>
    </w:p>
    <w:p>
      <w:pPr>
        <w:pStyle w:val="Para 02"/>
      </w:pPr>
      <w:r>
        <w:t xml:space="preserve">Однако нежелание обсуждать антисемитизм было частью большей, более обобщённой повсеместной сдержанности в разговоре о феномене национал-социализма и своего собственного отношения полицейских и их товарищей в этот период. </w:t>
        <w:t xml:space="preserve">Открыто признать </w:t>
        <w:t xml:space="preserve">политическую или идеологическую сторону в основе своего поведения — значило признать, что морально перевёрнутый взгляд на мир национал-социализма, стоящего так далеко от политической культуры и принятых норм 1960-х, </w:t>
        <w:t xml:space="preserve">в то время </w:t>
        <w:t xml:space="preserve">имел </w:t>
        <w:t>для них</w:t>
        <w:t xml:space="preserve"> полный смысл. Признать, что они политические и моральные евнухи, которые просто подчиняются существующему режиму. Такая была правда, которую лишь </w:t>
        <w:t>немногие</w:t>
        <w:t xml:space="preserve"> способны </w:t>
        <w:t>были</w:t>
        <w:t xml:space="preserve"> принять.</w:t>
      </w:r>
    </w:p>
    <w:p>
      <w:pPr>
        <w:pStyle w:val="Para 02"/>
      </w:pPr>
      <w:r>
        <w:t>Капитан Хоффман, который вступил в нацистскую организацию для студентов в шестнадцать лет, Гитлерюгенд в восемнадцать, в партию и СС в девятнадцать — хороший пример обычного отрицания политического и идеологического измерения. «Моё вступление в СС в мае 1933-</w:t>
        <w:t>го</w:t>
        <w:t xml:space="preserve"> объясняется тем фактом, что в то время СС было исключительно оборонительным формированием. Идеологически сформированное мышление не лежало в основе причин моего поступления».</w:t>
      </w:r>
      <w:hyperlink w:anchor="__477">
        <w:r>
          <w:rPr>
            <w:rStyle w:val="Text2"/>
          </w:rPr>
          <w:bookmarkStart w:id="556" w:name="477"/>
          <w:t>477</w:t>
          <w:bookmarkEnd w:id="556"/>
        </w:r>
      </w:hyperlink>
      <w:r>
        <w:rPr>
          <w:rStyle w:val="Text3"/>
        </w:rPr>
        <w:t xml:space="preserve"> </w:t>
      </w:r>
      <w:r>
        <w:t xml:space="preserve"> Значительно менее бесчестно</w:t>
        <w:t>е</w:t>
        <w:t>, но все ещё уклончиво</w:t>
        <w:t>е</w:t>
        <w:t xml:space="preserve"> стало</w:t>
        <w:t xml:space="preserve"> объяснение лейтенанта Дракера — единственного подсудимого, который действительно </w:t>
        <w:t xml:space="preserve">серьёзно </w:t>
        <w:t xml:space="preserve">пытался разрешить конфликт со своим прошлым отношением: </w:t>
      </w:r>
    </w:p>
    <w:p>
      <w:pPr>
        <w:pStyle w:val="Para 33"/>
      </w:pPr>
      <w:r>
        <w:t/>
      </w:r>
    </w:p>
    <w:p>
      <w:pPr>
        <w:pStyle w:val="Para 04"/>
      </w:pPr>
      <w:r>
        <w:t xml:space="preserve">«Я получал национал-социалистическую идеологическую тренировку только в рамках подготовки в </w:t>
        <w:t>Ш</w:t>
        <w:t xml:space="preserve">турмовые </w:t>
        <w:t>О</w:t>
        <w:t xml:space="preserve">тряды; какое-то влияние оказала и пропаганда того времени. </w:t>
        <w:t>Тогда</w:t>
        <w:t xml:space="preserve"> было желательно, чтобы </w:t>
        <w:t>командир</w:t>
        <w:t xml:space="preserve"> взвода состоял в партии, поэтому, будучи </w:t>
        <w:t>командиром</w:t>
        <w:t xml:space="preserve"> взвода, я вступил в неё незадолго до начала войны. Под влиянием времени моё отношение к евреям отмечалось некоторой антипатией. Но я не могу сказать, что я особенно ненавидел евреев </w:t>
      </w:r>
      <w:r>
        <w:rPr>
          <w:rStyle w:val="Text12"/>
        </w:rPr>
        <w:t>—</w:t>
      </w:r>
      <w:r>
        <w:t xml:space="preserve"> в любом случае, таково моё впечатление, что у меня было такое отношение».</w:t>
      </w:r>
      <w:hyperlink w:anchor="__478">
        <w:r>
          <w:rPr>
            <w:rStyle w:val="Text2"/>
          </w:rPr>
          <w:bookmarkStart w:id="557" w:name="478"/>
          <w:t>478</w:t>
          <w:bookmarkEnd w:id="557"/>
        </w:r>
      </w:hyperlink>
      <w:r>
        <w:rPr>
          <w:rStyle w:val="Text3"/>
        </w:rPr>
        <w:t xml:space="preserve"> </w:t>
      </w:r>
      <w:r>
        <w:t xml:space="preserve"> </w:t>
      </w:r>
    </w:p>
    <w:p>
      <w:pPr>
        <w:pStyle w:val="Para 02"/>
      </w:pPr>
      <w:r>
        <w:t/>
      </w:r>
    </w:p>
    <w:p>
      <w:pPr>
        <w:pStyle w:val="Para 02"/>
      </w:pPr>
      <w:r>
        <w:t xml:space="preserve">Немногочисленные случаи, когда полицейские в </w:t>
        <w:t>своих</w:t>
        <w:t xml:space="preserve"> показаниях рассказывали о жестокости и антисемитизме других, обычно исходили от рядовых и касались офицеров. С некоторой сдержанностью, к примеру, свидетель признавал, что Гн</w:t>
        <w:t>а</w:t>
        <w:t>д</w:t>
        <w:t>е</w:t>
        <w:t xml:space="preserve"> был бесчеловечным садистом и пьяницей, «убеждённым» нацистом и антисемитом. Так же стали предметом негативных комментариев в ряде показаний два сержанта. Рудольф Грун</w:t>
        <w:t xml:space="preserve">д, замещавший </w:t>
        <w:t>Бухмана после отказа последнего от участия в действиях против евреев, получил прозвище «ядовитый карлик», потому как он компенсировал свой низкий рост громкими криками на своих людей. Его характеризовали как «особенно сурового и громкого», «настоящего активиста» и «нациста на сто десять процентов», который «рвался выполнить долг».</w:t>
      </w:r>
      <w:hyperlink w:anchor="__479">
        <w:r>
          <w:rPr>
            <w:rStyle w:val="Text2"/>
          </w:rPr>
          <w:bookmarkStart w:id="558" w:name="479"/>
          <w:t>479</w:t>
          <w:bookmarkEnd w:id="558"/>
        </w:r>
      </w:hyperlink>
      <w:r>
        <w:rPr>
          <w:rStyle w:val="Text3"/>
        </w:rPr>
        <w:t xml:space="preserve"> </w:t>
      </w:r>
      <w:r>
        <w:t xml:space="preserve"> Генрих Бекемейер описывался как «очень неприятный человек», вс</w:t>
        <w:t>ё</w:t>
        <w:t xml:space="preserve"> время гордо носивший нацистские инсигнии. </w:t>
        <w:t>Своим</w:t>
        <w:t xml:space="preserve"> людям он не нравился, а поляки и евреи его </w:t>
        <w:t>в особенности</w:t>
        <w:t xml:space="preserve"> опасались</w:t>
        <w:t xml:space="preserve">, потому как к ним </w:t>
        <w:t xml:space="preserve">он </w:t>
        <w:t>был «бесчеловечен и жесток». Один из его людей вспоминал, как около Ломазы Бекемейер заставил группу евреев ползти через лужу грязи и одновременно с этим петь. Когда истощенный старик не выдержал и, моля о пощаде, потянул руки к Бекемейеру, сержант застрелил его в рот. Генрих Бекемейер, — заключил свидетель, — был «просто псом».</w:t>
      </w:r>
      <w:hyperlink w:anchor="__480">
        <w:r>
          <w:rPr>
            <w:rStyle w:val="Text2"/>
          </w:rPr>
          <w:bookmarkStart w:id="559" w:name="480"/>
          <w:t>480</w:t>
          <w:bookmarkEnd w:id="559"/>
        </w:r>
      </w:hyperlink>
      <w:r>
        <w:rPr>
          <w:rStyle w:val="Text3"/>
        </w:rPr>
        <w:t xml:space="preserve"> </w:t>
      </w:r>
      <w:r>
        <w:t xml:space="preserve"> Однако такое осуждение полицейскими, </w:t>
        <w:t>пусть и</w:t>
        <w:t xml:space="preserve"> непопулярного начальника, а тем более товарища, было случаем </w:t>
        <w:t xml:space="preserve">крайне </w:t>
        <w:t>редким.</w:t>
      </w:r>
    </w:p>
    <w:p>
      <w:pPr>
        <w:pStyle w:val="Para 02"/>
      </w:pPr>
      <w:r>
        <w:t xml:space="preserve">Диапазон взглядов по отношению к евреям раскрывался в менее прямых и более осторожных заявлениях, сделанных во время допросов. К примеру, когда спрашивали, а как они могли сказать разницу между поляком и евреем в сельской местности, </w:t>
        <w:t xml:space="preserve">то </w:t>
        <w:t>часть людей указывала на одежду, причёски и внешний вид в целом. Другие, однако, выбирали слова, все ещё отражающие нацистские стереотипы двадцатипятилетней давности: евреи были «грязными», «неопрятными» или «менее чистыми», чем поляки.</w:t>
      </w:r>
      <w:hyperlink w:anchor="__481">
        <w:r>
          <w:rPr>
            <w:rStyle w:val="Text2"/>
          </w:rPr>
          <w:bookmarkStart w:id="560" w:name="481"/>
          <w:t>481</w:t>
          <w:bookmarkEnd w:id="560"/>
        </w:r>
      </w:hyperlink>
      <w:r>
        <w:rPr>
          <w:rStyle w:val="Text3"/>
        </w:rPr>
        <w:t xml:space="preserve"> </w:t>
      </w:r>
      <w:r>
        <w:t xml:space="preserve"> Комментарии других полицейских отражали различную чувствительность к узнаванию в евреях пострадавших человеческих существ: они были изголодавшими и одетыми в лохмотья.</w:t>
      </w:r>
      <w:hyperlink w:anchor="__482">
        <w:r>
          <w:rPr>
            <w:rStyle w:val="Text2"/>
          </w:rPr>
          <w:bookmarkStart w:id="561" w:name="482"/>
          <w:t>482</w:t>
          <w:bookmarkEnd w:id="561"/>
        </w:r>
      </w:hyperlink>
      <w:r>
        <w:rPr>
          <w:rStyle w:val="Text3"/>
        </w:rPr>
        <w:t xml:space="preserve"> </w:t>
      </w:r>
      <w:r>
        <w:t xml:space="preserve"> </w:t>
      </w:r>
    </w:p>
    <w:p>
      <w:pPr>
        <w:pStyle w:val="Para 02"/>
      </w:pPr>
      <w:r>
        <w:t xml:space="preserve">Схожая дихотомия встречается в описании поведения евреев на местах расстрелов. Некоторые подчёркивали пассивность евреев, иногда в крайне объяснительной манере, подразумевая, что евреи «соучаствовали» в своей собственной смерти: </w:t>
        <w:t>н</w:t>
        <w:t xml:space="preserve">е было сопротивления или попыток к бегству; евреи принимали свою судьбу; они практически </w:t>
        <w:t xml:space="preserve">сами </w:t>
        <w:t>ложились и ждали, пока их застрелят без всякой команды на то.</w:t>
      </w:r>
      <w:hyperlink w:anchor="__483">
        <w:r>
          <w:rPr>
            <w:rStyle w:val="Text2"/>
          </w:rPr>
          <w:bookmarkStart w:id="562" w:name="483"/>
          <w:t>483</w:t>
          <w:bookmarkEnd w:id="562"/>
        </w:r>
      </w:hyperlink>
      <w:r>
        <w:rPr>
          <w:rStyle w:val="Text3"/>
        </w:rPr>
        <w:t xml:space="preserve"> </w:t>
      </w:r>
      <w:r>
        <w:t xml:space="preserve"> В других описаниях ударение чётко ставилось на достоинство жертв </w:t>
      </w:r>
      <w:r>
        <w:rPr>
          <w:rStyle w:val="Text0"/>
        </w:rPr>
        <w:t>—</w:t>
      </w:r>
      <w:r>
        <w:t xml:space="preserve"> их самообладание называли «поразительным» или «невероятным».</w:t>
      </w:r>
      <w:hyperlink w:anchor="__484">
        <w:r>
          <w:rPr>
            <w:rStyle w:val="Text2"/>
          </w:rPr>
          <w:bookmarkStart w:id="563" w:name="484"/>
          <w:t>484</w:t>
          <w:bookmarkEnd w:id="563"/>
        </w:r>
      </w:hyperlink>
      <w:r>
        <w:rPr>
          <w:rStyle w:val="Text3"/>
        </w:rPr>
        <w:t xml:space="preserve"> </w:t>
      </w:r>
      <w:r>
        <w:t xml:space="preserve"> </w:t>
      </w:r>
    </w:p>
    <w:p>
      <w:pPr>
        <w:pStyle w:val="Para 02"/>
      </w:pPr>
      <w:r>
        <w:t>Небольш</w:t>
        <w:t>о</w:t>
        <w:t xml:space="preserve">е количество показаний о сексуальных связях немцев и евреев дают картину, резко </w:t>
        <w:t>отличную</w:t>
        <w:t xml:space="preserve"> от запретных романов или случайных связей между немецкими полицейскими и польскими женщинами. Такие случаи были делом доминирования над беззащитным — изнасилований и вуайеризма. Один полицейски</w:t>
        <w:t>й</w:t>
        <w:t xml:space="preserve">, </w:t>
        <w:t>кого застали за</w:t>
        <w:t xml:space="preserve"> попытк</w:t>
        <w:t xml:space="preserve">ой </w:t>
        <w:t xml:space="preserve">изнасиловать </w:t>
        <w:t>еврейск</w:t>
        <w:t>ую</w:t>
        <w:t xml:space="preserve"> женщин</w:t>
        <w:t>у</w:t>
        <w:t xml:space="preserve">, был тем самым, кого впоследствии отвергла и сдала оккупационному правительству союзников его </w:t>
        <w:t xml:space="preserve">собственная </w:t>
        <w:t xml:space="preserve">жена. </w:t>
        <w:t>Его</w:t>
        <w:t xml:space="preserve"> экстрадировали в Польшу и судили вместе с Траппом, Бухманом и Каммером. Свидетель унтер-офицер не составлял рапорт на насильника.</w:t>
      </w:r>
      <w:hyperlink w:anchor="__485">
        <w:r>
          <w:rPr>
            <w:rStyle w:val="Text2"/>
          </w:rPr>
          <w:bookmarkStart w:id="564" w:name="485"/>
          <w:t>485</w:t>
          <w:bookmarkEnd w:id="564"/>
        </w:r>
      </w:hyperlink>
      <w:r>
        <w:rPr>
          <w:rStyle w:val="Text3"/>
        </w:rPr>
        <w:t xml:space="preserve"> </w:t>
      </w:r>
      <w:r>
        <w:t xml:space="preserve"> Второй случай </w:t>
        <w:t>касается</w:t>
        <w:t xml:space="preserve"> лейтенанта Питерса, который напивался водкой и по вечерам отправлялся в ночной патруль гетто. Одетый как «при параде», он входил в жилища евреев, срывал одеяла с женщин, смотрел и потом уходил. К утру трезвел.</w:t>
      </w:r>
      <w:hyperlink w:anchor="__486">
        <w:r>
          <w:rPr>
            <w:rStyle w:val="Text2"/>
          </w:rPr>
          <w:bookmarkStart w:id="565" w:name="486"/>
          <w:t>486</w:t>
          <w:bookmarkEnd w:id="565"/>
        </w:r>
      </w:hyperlink>
      <w:r>
        <w:rPr>
          <w:rStyle w:val="Text3"/>
        </w:rPr>
        <w:t xml:space="preserve"> </w:t>
      </w:r>
      <w:r>
        <w:t xml:space="preserve"> </w:t>
      </w:r>
    </w:p>
    <w:p>
      <w:pPr>
        <w:pStyle w:val="Para 02"/>
      </w:pPr>
      <w:r>
        <w:t xml:space="preserve">По большей части в показаниях немцев евреи оставались анонимным коллективом. Было два исключения. Первое, полицейские часто упоминали встреченных ими немецких евреев </w:t>
        <w:t>и</w:t>
        <w:t xml:space="preserve"> п</w:t>
        <w:t>очти всегда могли сказать из какого те города: награждённый ветеран из Бремена; мать и дочь из Касселя, владельцы кинотеатра в Гамбурге; глава еврейского совета Мюнхена. Раз он так сильно отпечатался у них в памяти, то такой опыт должно быть был неожиданным и вызывал диссонанс на ярком контрасте с обычным взглядом на евреев как на иностранных врагов.</w:t>
      </w:r>
    </w:p>
    <w:p>
      <w:pPr>
        <w:pStyle w:val="Para 02"/>
      </w:pPr>
      <w:r>
        <w:t>Другие еврейские жертвы, получившие персональность в глазах немецких полицейских — это те, кто работал на них, в частности на кухне. Один полицейский вспоминал закупку дополнительных рационов для еврейских рабочих под своим присмотром в Лукуве, потому что «евреи практически не получали еды, хоть они и работали на нас». Тот же человек утверждал, что позволил сбежать жене главы еврейской полиции гетто, когда то подверглось зачистке.</w:t>
      </w:r>
      <w:hyperlink w:anchor="__487">
        <w:r>
          <w:rPr>
            <w:rStyle w:val="Text2"/>
          </w:rPr>
          <w:bookmarkStart w:id="566" w:name="487"/>
          <w:t>487</w:t>
          <w:bookmarkEnd w:id="566"/>
        </w:r>
      </w:hyperlink>
      <w:r>
        <w:rPr>
          <w:rStyle w:val="Text3"/>
        </w:rPr>
        <w:t xml:space="preserve"> </w:t>
      </w:r>
      <w:r>
        <w:t xml:space="preserve"> В Мендзыжеце работник кухни во время </w:t>
        <w:t>облавы</w:t>
        <w:t xml:space="preserve"> умолял другого полицейского спасти его мать и сестру, так что </w:t>
        <w:t>тот</w:t>
        <w:t xml:space="preserve"> привёл их на кухню.</w:t>
      </w:r>
      <w:hyperlink w:anchor="__488">
        <w:r>
          <w:rPr>
            <w:rStyle w:val="Text2"/>
          </w:rPr>
          <w:bookmarkStart w:id="567" w:name="488"/>
          <w:t>488</w:t>
          <w:bookmarkEnd w:id="567"/>
        </w:r>
      </w:hyperlink>
      <w:r>
        <w:rPr>
          <w:rStyle w:val="Text3"/>
        </w:rPr>
        <w:t xml:space="preserve"> </w:t>
      </w:r>
      <w:r>
        <w:t xml:space="preserve"> Во время сентябрьских расстрелов в Коцке полицейский встретил плачущую еврейку и тоже отправил её на кухню.</w:t>
      </w:r>
      <w:hyperlink w:anchor="__489">
        <w:r>
          <w:rPr>
            <w:rStyle w:val="Text2"/>
          </w:rPr>
          <w:bookmarkStart w:id="568" w:name="489"/>
          <w:t>489</w:t>
          <w:bookmarkEnd w:id="568"/>
        </w:r>
      </w:hyperlink>
      <w:r>
        <w:rPr>
          <w:rStyle w:val="Text3"/>
        </w:rPr>
        <w:t xml:space="preserve"> </w:t>
      </w:r>
      <w:r>
        <w:t xml:space="preserve"> </w:t>
      </w:r>
    </w:p>
    <w:p>
      <w:pPr>
        <w:pStyle w:val="Para 02"/>
      </w:pPr>
      <w:r>
        <w:t>Тонкая связь, сформировавшаяся между полицейскими и их еврейскими работниками кухни, редко спасала жизни последним. Когда дв</w:t>
        <w:t>е</w:t>
        <w:t xml:space="preserve"> работни</w:t>
        <w:t>цы</w:t>
        <w:t xml:space="preserve"> не явились на </w:t>
        <w:t>смену</w:t>
        <w:t xml:space="preserve"> во время депортаций из Лукува, один полицейский пошёл на точку сбора. </w:t>
        <w:t>Там он н</w:t>
        <w:t xml:space="preserve">ашёл </w:t>
        <w:t xml:space="preserve">их </w:t>
        <w:t>об</w:t>
        <w:t>е</w:t>
        <w:t>и</w:t>
        <w:t xml:space="preserve">х, но ответственный член СС </w:t>
        <w:t>отпустил</w:t>
        <w:t xml:space="preserve"> лишь </w:t>
        <w:t>одну</w:t>
        <w:t xml:space="preserve">. Немного спустя забрали и </w:t>
        <w:t>её</w:t>
        <w:t>.</w:t>
      </w:r>
      <w:hyperlink w:anchor="__490">
        <w:r>
          <w:rPr>
            <w:rStyle w:val="Text2"/>
          </w:rPr>
          <w:bookmarkStart w:id="569" w:name="490"/>
          <w:t>490</w:t>
          <w:bookmarkEnd w:id="569"/>
        </w:r>
      </w:hyperlink>
      <w:r>
        <w:rPr>
          <w:rStyle w:val="Text3"/>
        </w:rPr>
        <w:t xml:space="preserve"> </w:t>
      </w:r>
      <w:r>
        <w:t xml:space="preserve"> </w:t>
      </w:r>
    </w:p>
    <w:p>
      <w:pPr>
        <w:pStyle w:val="Para 02"/>
      </w:pPr>
      <w:r>
        <w:t xml:space="preserve">Самыми яркими из всех воспоминаний для полицейских стали не </w:t>
        <w:t>те</w:t>
        <w:t xml:space="preserve"> случаи, где они спас</w:t>
        <w:t>а</w:t>
        <w:t xml:space="preserve">ли еврейских работников, но где им предстояло лично участвовать в казни. В Пулавы капитан Хоффман в свою спальню вызвал капрала Неринга*, дал в подарок хорошее вино и сказал отправиться на сельскохозяйственное поместье, которое тот ранее охранял, и застрелить рабочих-евреев. Неринг пожаловался на это назначение, потому как «лично знал» многих работников, но тщетно. Он и его отряд разделили ответственность с офицером Жандармерии и его четырьмя или пятью людьми, расположенными в Пулавы. Неринг поведал офицеру, что многие евреи были ему знакомы и он не мог принять участия в </w:t>
        <w:t>казни</w:t>
        <w:t>. Более любезный чем Хоффман, офицер отправил своих людей заниматься расстрелами самостоятельно, так что присутствовать Нерингу не пришлось.</w:t>
      </w:r>
      <w:hyperlink w:anchor="__491">
        <w:r>
          <w:rPr>
            <w:rStyle w:val="Text2"/>
          </w:rPr>
          <w:bookmarkStart w:id="570" w:name="491"/>
          <w:t>491</w:t>
          <w:bookmarkEnd w:id="570"/>
        </w:r>
      </w:hyperlink>
      <w:r>
        <w:rPr>
          <w:rStyle w:val="Text3"/>
        </w:rPr>
        <w:t xml:space="preserve"> </w:t>
      </w:r>
      <w:r>
        <w:t xml:space="preserve"> </w:t>
      </w:r>
    </w:p>
    <w:p>
      <w:pPr>
        <w:pStyle w:val="Para 02"/>
      </w:pPr>
      <w:r>
        <w:t xml:space="preserve">В Коцке две еврейские работницы кухни </w:t>
      </w:r>
      <w:r>
        <w:rPr>
          <w:rStyle w:val="Text0"/>
        </w:rPr>
        <w:t>—</w:t>
      </w:r>
      <w:r>
        <w:t xml:space="preserve"> Блюма и Рут, попросили помощи в побеге. Один полицейский сказал им что это «бессмысленно», однако другие помогли.</w:t>
      </w:r>
      <w:hyperlink w:anchor="__492">
        <w:r>
          <w:rPr>
            <w:rStyle w:val="Text2"/>
          </w:rPr>
          <w:bookmarkStart w:id="571" w:name="492"/>
          <w:t>492</w:t>
          <w:bookmarkEnd w:id="571"/>
        </w:r>
      </w:hyperlink>
      <w:r>
        <w:rPr>
          <w:rStyle w:val="Text3"/>
        </w:rPr>
        <w:t xml:space="preserve"> </w:t>
      </w:r>
      <w:r>
        <w:t xml:space="preserve"> Две недели спустя полицейские в одном убежище нашли Блюму и Рут вместе с дюжиной других евреев. Один </w:t>
        <w:t>полицейский</w:t>
        <w:t xml:space="preserve"> узнал их и попытался было уйти, так как знал что предстоит. Вместо этого ему приказали застрелить </w:t>
        <w:t>евреек</w:t>
        <w:t>, но он не подчинился и всё же ушёл, однако всех евреев убежища, включая бывших помощниц на кухне, расстреляли.</w:t>
      </w:r>
      <w:hyperlink w:anchor="__493">
        <w:r>
          <w:rPr>
            <w:rStyle w:val="Text2"/>
          </w:rPr>
          <w:bookmarkStart w:id="572" w:name="493"/>
          <w:t>493</w:t>
          <w:bookmarkEnd w:id="572"/>
        </w:r>
      </w:hyperlink>
      <w:r>
        <w:rPr>
          <w:rStyle w:val="Text3"/>
        </w:rPr>
        <w:t xml:space="preserve"> </w:t>
      </w:r>
      <w:r>
        <w:t xml:space="preserve"> </w:t>
      </w:r>
    </w:p>
    <w:p>
      <w:pPr>
        <w:pStyle w:val="Para 02"/>
      </w:pPr>
      <w:r>
        <w:t>В Комар</w:t>
        <w:t>у</w:t>
        <w:t xml:space="preserve">вке второй взвод второй роты Дракера имел в своём распоряжении двух работников кухни, известных как Ютта и Гарри. В один день Дракер </w:t>
        <w:t>объявил</w:t>
        <w:t>, что они больше не могут оставаться и ничего не остаётся, кроме как застрелить их. Несколько полицейских вывели Ютту в лес и поболтали с ней прежде чем застрелить со спины. Вскоре Гарри застрелили выстрелом в затылок из пистолета, пока тот собирал ягоды.</w:t>
      </w:r>
      <w:hyperlink w:anchor="__494">
        <w:r>
          <w:rPr>
            <w:rStyle w:val="Text2"/>
          </w:rPr>
          <w:bookmarkStart w:id="573" w:name="494"/>
          <w:t>494</w:t>
          <w:bookmarkEnd w:id="573"/>
        </w:r>
      </w:hyperlink>
      <w:r>
        <w:rPr>
          <w:rStyle w:val="Text3"/>
        </w:rPr>
        <w:t xml:space="preserve"> </w:t>
      </w:r>
      <w:r>
        <w:t xml:space="preserve"> Полицейские явно предпринимали дополнительные шаги для расстрела тех, кто готовил им еду и кого они знали по имени. По стандарту отношений немцев и евреев в 1942-</w:t>
        <w:t>м</w:t>
        <w:t xml:space="preserve"> быстрая смерть без </w:t>
        <w:t xml:space="preserve">мучительного </w:t>
        <w:t>ожидания считалась примером человеческого сострадания!</w:t>
      </w:r>
    </w:p>
    <w:p>
      <w:pPr>
        <w:pStyle w:val="Para 02"/>
      </w:pPr>
      <w:r>
        <w:t xml:space="preserve">Тогда как показания полицейских предоставляют скудную информацию об отношении немцев к полякам и евреям, они часто содержат весьма осуждающие комментарии об отношении </w:t>
        <w:t xml:space="preserve">самих </w:t>
        <w:t xml:space="preserve">поляков к евреям. Как минимум два </w:t>
        <w:t>фактора</w:t>
        <w:t xml:space="preserve"> следует держать в уме при оценке этих показаний. Перв</w:t>
        <w:t xml:space="preserve">ый </w:t>
        <w:t>фактор — это что</w:t>
        <w:t xml:space="preserve"> немецкая полиция естественным образом имела значительное количество контактов с польскими коллаборационистами </w:t>
      </w:r>
      <w:r>
        <w:rPr>
          <w:rStyle w:val="Text0"/>
        </w:rPr>
        <w:t>—</w:t>
      </w:r>
      <w:r>
        <w:t xml:space="preserve"> соучастниками </w:t>
        <w:t>Окончате</w:t>
        <w:t xml:space="preserve">льного Решении и помощниками в выслеживании евреев. Действительно, заработать расположение немецких оккупантов демонстрацией ярого антисемитизма </w:t>
        <w:t>пыталось множество поляков</w:t>
        <w:t xml:space="preserve">. Достаточно сказать, что те поляки, что помогали евреям, прикладывали все усилия для того, чтобы остаться </w:t>
        <w:t xml:space="preserve">для немцев </w:t>
        <w:t>неизвестными. Таким образом, имеется врождённая предвзятость в симпатиях и поведении поляков, с которыми общались немецкие полицейские.</w:t>
      </w:r>
    </w:p>
    <w:p>
      <w:pPr>
        <w:pStyle w:val="Para 02"/>
      </w:pPr>
      <w:r>
        <w:t xml:space="preserve">Подобная присущая однобокость, по-моему, ещё сильнее искажается вторым фактором. Можно сделать разумное предположение, что на немецкие комментарии о польском антисемитизме сильно повлияла проекция. Часто не желая делать обвинительные заявления о своих товарищах или говорить правду о себе, эти люди должно быть находили значительное психологическое утешение в разделении ответственности с поляками. Польские злодеяния озвучивались достаточно открыто, тогда как обсуждение немцев всегда проходило в защитной манере. </w:t>
        <w:t>Таким образом</w:t>
        <w:t>, чем больше вины лежало на польской стороне, тем меньше на немецкой. Рассматривая последующие показания, эти оговорки стоит держать в уме.</w:t>
      </w:r>
    </w:p>
    <w:p>
      <w:pPr>
        <w:pStyle w:val="Para 02"/>
      </w:pPr>
      <w:r>
        <w:t>Литания немецких обвинений против поляков началась — как и сами массовые убийства — с показаний о Юзефуве. Согласно одному полицейскому, польский мэр предоставил им фляги со шнапсом на рынке.</w:t>
      </w:r>
      <w:hyperlink w:anchor="__495">
        <w:r>
          <w:rPr>
            <w:rStyle w:val="Text2"/>
          </w:rPr>
          <w:bookmarkStart w:id="574" w:name="495"/>
          <w:t>495</w:t>
          <w:bookmarkEnd w:id="574"/>
        </w:r>
      </w:hyperlink>
      <w:r>
        <w:rPr>
          <w:rStyle w:val="Text3"/>
        </w:rPr>
        <w:t xml:space="preserve"> </w:t>
      </w:r>
      <w:r>
        <w:t xml:space="preserve"> Согласно другим, поляки помогали вытаскивать евреев из их домов и раскрывали их </w:t>
        <w:t xml:space="preserve">землянки </w:t>
        <w:t xml:space="preserve">в садах или </w:t>
        <w:t xml:space="preserve">укрытия </w:t>
        <w:t xml:space="preserve">за двойными стенами. Даже после завершения обыска немцами, поляки весь день продолжали приводить евреев на рынок. Они </w:t>
        <w:t>вламывались</w:t>
        <w:t xml:space="preserve"> и мародёрствовали в домах евреев сразу после того, как тех забирали, а после расстрела </w:t>
        <w:t>обирали</w:t>
        <w:t xml:space="preserve"> тела.</w:t>
      </w:r>
      <w:hyperlink w:anchor="__496">
        <w:r>
          <w:rPr>
            <w:rStyle w:val="Text2"/>
          </w:rPr>
          <w:bookmarkStart w:id="575" w:name="496"/>
          <w:t>496</w:t>
          <w:bookmarkEnd w:id="575"/>
        </w:r>
      </w:hyperlink>
      <w:r>
        <w:rPr>
          <w:rStyle w:val="Text3"/>
        </w:rPr>
        <w:t xml:space="preserve"> </w:t>
      </w:r>
      <w:r>
        <w:t xml:space="preserve"> </w:t>
      </w:r>
    </w:p>
    <w:p>
      <w:pPr>
        <w:pStyle w:val="Para 02"/>
      </w:pPr>
      <w:r>
        <w:t xml:space="preserve">Классическое обвинение сделал капитан Хоффман, человек, утверждавший, что не помнит абсолютно ничего о резне, учинённой его ротой в Коньсковоле. Следующее он помнил во всех деталях. После того как сняли внешний кордон и его третья рота выдвинулась в городской центр Юзефува, два польских студента пригласили его выпить водки в их доме. Молодые поляки обменивались с Хоффманом цитатами из греческой и латинской поэзии, </w:t>
        <w:t>и</w:t>
        <w:t xml:space="preserve"> не скрывали своих политических взглядов. «Оба были польскими националистами, которые злились на то, как с ними обходятся и думали, что у Гитлера есть лишь одна искупительная черта — ведь он освобождал их от евреев».</w:t>
      </w:r>
      <w:hyperlink w:anchor="__497">
        <w:r>
          <w:rPr>
            <w:rStyle w:val="Text2"/>
          </w:rPr>
          <w:bookmarkStart w:id="576" w:name="497"/>
          <w:t>497</w:t>
          <w:bookmarkEnd w:id="576"/>
        </w:r>
      </w:hyperlink>
      <w:r>
        <w:rPr>
          <w:rStyle w:val="Text3"/>
        </w:rPr>
        <w:t xml:space="preserve"> </w:t>
      </w:r>
      <w:r>
        <w:t xml:space="preserve"> </w:t>
      </w:r>
    </w:p>
    <w:p>
      <w:pPr>
        <w:pStyle w:val="Para 02"/>
      </w:pPr>
      <w:r>
        <w:t>Буквально никакие показания об «охоте на евреев» не скрывали тот факт, что укрытия и убежища по большей части раскрывали польские «агенты», «информаторы», «лесные бегуны» и раздражённые крестьяне. Но выбор полицейскими слов раскрывает больше, чем просто информацию о поведении поляков. Снова и снова они использовали слово «предательство» с несомненной коннотацией сильного морального осуждения.</w:t>
      </w:r>
      <w:hyperlink w:anchor="__498">
        <w:r>
          <w:rPr>
            <w:rStyle w:val="Text2"/>
          </w:rPr>
          <w:bookmarkStart w:id="577" w:name="498"/>
          <w:t>498</w:t>
          <w:bookmarkEnd w:id="577"/>
        </w:r>
      </w:hyperlink>
      <w:r>
        <w:rPr>
          <w:rStyle w:val="Text3"/>
        </w:rPr>
        <w:t xml:space="preserve"> </w:t>
      </w:r>
      <w:r>
        <w:t xml:space="preserve"> Самым прямым в этом отношении был Густав Майклсон: «В то время я находил очень беспокоящим, что польское население предавало тех евреев, </w:t>
        <w:t>которые</w:t>
        <w:t xml:space="preserve"> пытались спрятаться. Они хорошо себя маскировали в лесах, землянках или других убежищах и никогда бы не были найдены, если бы не были бы преданы польскими гражданами».</w:t>
      </w:r>
      <w:hyperlink w:anchor="__499">
        <w:r>
          <w:rPr>
            <w:rStyle w:val="Text2"/>
          </w:rPr>
          <w:bookmarkStart w:id="578" w:name="499"/>
          <w:t>499</w:t>
          <w:bookmarkEnd w:id="578"/>
        </w:r>
      </w:hyperlink>
      <w:r>
        <w:rPr>
          <w:rStyle w:val="Text3"/>
        </w:rPr>
        <w:t xml:space="preserve"> </w:t>
      </w:r>
      <w:r>
        <w:t xml:space="preserve"> Майклсон принадлежал к меньшинству «слабых» полицейских, которые никогда не стреляли и могли таким образом озвучивать моральную критику, </w:t>
        <w:t>не становясь полными лицемерами</w:t>
        <w:t xml:space="preserve">. Этого нельзя сказать о большинстве </w:t>
        <w:t>людей</w:t>
        <w:t xml:space="preserve">, </w:t>
        <w:t xml:space="preserve">обвиняющих поляков в «предательстве», </w:t>
        <w:t xml:space="preserve">но </w:t>
        <w:t xml:space="preserve">опускающих тот факт, что немецкая политика состояла в найме подобных людей и поощрении </w:t>
        <w:t>такого</w:t>
        <w:t xml:space="preserve"> поведения.</w:t>
      </w:r>
    </w:p>
    <w:p>
      <w:pPr>
        <w:pStyle w:val="Para 02"/>
      </w:pPr>
      <w:r>
        <w:t>И снова безжалостно честный Бруно Пробст предоставил более сбалансированную перспективу. Он отметил, что часто «охоту на евреев» провоцировала наводка польского информатора, но добавил: «Я так же помню, что в то время мы постепенно начали, более систематически чем до этого, стрелять поляков, предоставлявших жилье евреям. Почти всегда мы одновременно с этим сжигали их фермы».</w:t>
      </w:r>
      <w:hyperlink w:anchor="__500">
        <w:r>
          <w:rPr>
            <w:rStyle w:val="Text2"/>
          </w:rPr>
          <w:bookmarkStart w:id="579" w:name="500"/>
          <w:t>500</w:t>
          <w:bookmarkEnd w:id="579"/>
        </w:r>
      </w:hyperlink>
      <w:r>
        <w:rPr>
          <w:rStyle w:val="Text3"/>
        </w:rPr>
        <w:t xml:space="preserve"> </w:t>
      </w:r>
      <w:r>
        <w:t xml:space="preserve"> Кроме полицейского, который дал показания о польской женщине, сданной своим отцом и расстрелянной за укрытие евреев в подвале в Коцке, Пробст был единственным из 210 свидетелей, признавшим факт систематических расстрелов поляков за укрытие евреев.</w:t>
      </w:r>
    </w:p>
    <w:p>
      <w:pPr>
        <w:pStyle w:val="Para 02"/>
      </w:pPr>
      <w:r>
        <w:t xml:space="preserve">Пробст так же поведал другую историю. Однажды патруль лейтенанта Хоппнера обнаружил бункер с десятью евреями. Молодой человек вышел из него и сказал, что спрятался там, </w:t>
        <w:t>потому как хотел</w:t>
        <w:t xml:space="preserve"> побыть наедине со своей невестой. Хоппнер дал ему выбор — уйти или быть застреленным вместе со своей женой-еврейкой. Поляк остался и был застрелен. Пробст заключил, что Хоппнер </w:t>
        <w:t>вовсе</w:t>
        <w:t xml:space="preserve"> не предлагал это серьёзно. Поляка «точно» бы застрелили «при попытке к бегству», если бы тот решил уйти.</w:t>
      </w:r>
      <w:hyperlink w:anchor="__501">
        <w:r>
          <w:rPr>
            <w:rStyle w:val="Text2"/>
          </w:rPr>
          <w:bookmarkStart w:id="580" w:name="501"/>
          <w:t>501</w:t>
          <w:bookmarkEnd w:id="580"/>
        </w:r>
      </w:hyperlink>
      <w:r>
        <w:rPr>
          <w:rStyle w:val="Text3"/>
        </w:rPr>
        <w:t xml:space="preserve"> </w:t>
      </w:r>
      <w:r>
        <w:t xml:space="preserve"> </w:t>
      </w:r>
    </w:p>
    <w:p>
      <w:pPr>
        <w:pStyle w:val="Para 02"/>
      </w:pPr>
      <w:r>
        <w:t>Немецкие полицейские описывали и другие примеры соучастия поляков. В Коньсковоле к одному полицейскому в кордоне подошла женщина, одетая как польская крестьянка. Поляки рядом сказали, что она была переодетой еврейкой, но полицейский все же её пропустил.</w:t>
      </w:r>
      <w:hyperlink w:anchor="__502">
        <w:r>
          <w:rPr>
            <w:rStyle w:val="Text2"/>
          </w:rPr>
          <w:bookmarkStart w:id="581" w:name="502"/>
          <w:t>502</w:t>
          <w:bookmarkEnd w:id="581"/>
        </w:r>
      </w:hyperlink>
      <w:r>
        <w:rPr>
          <w:rStyle w:val="Text3"/>
        </w:rPr>
        <w:t xml:space="preserve"> </w:t>
      </w:r>
      <w:r>
        <w:t xml:space="preserve"> Значительное число полицейских рассказывало о поляках, что арестовывали и удерживали евреев до того, пока не прибудет немецкая полиция и не расстреляет их.</w:t>
      </w:r>
      <w:hyperlink w:anchor="__503">
        <w:r>
          <w:rPr>
            <w:rStyle w:val="Text2"/>
          </w:rPr>
          <w:bookmarkStart w:id="582" w:name="503"/>
          <w:t>503</w:t>
          <w:bookmarkEnd w:id="582"/>
        </w:r>
      </w:hyperlink>
      <w:r>
        <w:rPr>
          <w:rStyle w:val="Text3"/>
        </w:rPr>
        <w:t xml:space="preserve"> </w:t>
      </w:r>
      <w:r>
        <w:t xml:space="preserve"> Только один свидетель, однако, рассказал о польском полицейском, сопровождающем немецкий патруль и принимавшем участие в двух расстрелах.</w:t>
      </w:r>
      <w:hyperlink w:anchor="__504">
        <w:r>
          <w:rPr>
            <w:rStyle w:val="Text2"/>
          </w:rPr>
          <w:bookmarkStart w:id="583" w:name="504"/>
          <w:t>504</w:t>
          <w:bookmarkEnd w:id="583"/>
        </w:r>
      </w:hyperlink>
      <w:r>
        <w:rPr>
          <w:rStyle w:val="Text3"/>
        </w:rPr>
        <w:t xml:space="preserve"> </w:t>
      </w:r>
      <w:r>
        <w:t xml:space="preserve"> </w:t>
        <w:t xml:space="preserve"> К моменту прибытия полиции евреи часто оказывались уже побитыми.</w:t>
      </w:r>
      <w:hyperlink w:anchor="__505">
        <w:r>
          <w:rPr>
            <w:rStyle w:val="Text2"/>
          </w:rPr>
          <w:bookmarkStart w:id="584" w:name="505"/>
          <w:t>505</w:t>
          <w:bookmarkEnd w:id="584"/>
        </w:r>
      </w:hyperlink>
      <w:r>
        <w:rPr>
          <w:rStyle w:val="Text3"/>
        </w:rPr>
        <w:t xml:space="preserve"> </w:t>
      </w:r>
      <w:r>
        <w:t xml:space="preserve"> </w:t>
        <w:t xml:space="preserve"> Для сравнения, Тони Бентхейм вспоминал что случилось, когда польская полиция в Комар</w:t>
        <w:t>у</w:t>
        <w:t xml:space="preserve">вке доложила о захвате четверых евреев. Дракер приказал Бентхейму расстрелять их. После того как он отвёл евреев на кладбище, где планировал самостоятельно застрелить всех четверых, его пистолет-пулемёт заклинило, </w:t>
        <w:t>и</w:t>
        <w:t xml:space="preserve"> т</w:t>
        <w:t>огда он спросил польского полицейского: «не хочет ли он заняться этим. К моему удивлению, однако, он отказался». Бентхейм воспользовался пистолетом.</w:t>
      </w:r>
      <w:hyperlink w:anchor="__506">
        <w:r>
          <w:rPr>
            <w:rStyle w:val="Text2"/>
          </w:rPr>
          <w:bookmarkStart w:id="585" w:name="506"/>
          <w:t>506</w:t>
          <w:bookmarkEnd w:id="585"/>
        </w:r>
      </w:hyperlink>
      <w:r>
        <w:rPr>
          <w:rStyle w:val="Text3"/>
        </w:rPr>
        <w:t xml:space="preserve"> </w:t>
      </w:r>
      <w:r>
        <w:t xml:space="preserve"> </w:t>
      </w:r>
    </w:p>
    <w:p>
      <w:pPr>
        <w:pStyle w:val="Para 05"/>
      </w:pPr>
      <w:r>
        <w:t xml:space="preserve"> Немецкие описания польского соучастия не ложны. Трагично, но такое поведение, что они приписывали полякам, подтверждается в других показаниях и случалось слишком уж часто. Холокост, в конце концов, история с малым количеством героев, но с </w:t>
        <w:t>большѝм</w:t>
        <w:t xml:space="preserve"> количеством преступников и жертв. Что не так с немецкими описаниями, так это многогранное искажение перспективы. Почти все полицейские молчали о помощи поляками евреям и следовавшим за этим немецким наказанием . Почти ничего не было сказано о немецкой роли в подстегивании польского «предательства», которое полицейские так лицемерно осуждали. И никто не отметил тот факт, что большая часть кровавых вспомогательных отрядов — печально известных Хиви — не набиралась из польского населения, в отличии от других национальностей повсеместно антисемитской восточной Европы.</w:t>
      </w:r>
      <w:hyperlink w:anchor="__507">
        <w:r>
          <w:rPr>
            <w:rStyle w:val="Text2"/>
          </w:rPr>
          <w:bookmarkStart w:id="586" w:name="507"/>
          <w:t>507</w:t>
          <w:bookmarkEnd w:id="586"/>
        </w:r>
      </w:hyperlink>
      <w:r>
        <w:rPr>
          <w:rStyle w:val="Text3"/>
        </w:rPr>
        <w:t xml:space="preserve"> </w:t>
      </w:r>
      <w:r>
        <w:t xml:space="preserve"> </w:t>
        <w:t xml:space="preserve"> </w:t>
        <w:t>В каком-то смысле</w:t>
        <w:t>, тем самым, комментарии немецких полицейских раскрывают больше о них самих, чем о поляках.</w:t>
      </w:r>
      <w:r>
        <w:rPr>
          <w:rStyle w:val="Text7"/>
        </w:rPr>
        <w:t xml:space="preserve"> </w:t>
      </w:r>
    </w:p>
    <w:p>
      <w:pPr>
        <w:pStyle w:val="Heading 2"/>
      </w:pPr>
      <w:r>
        <w:bookmarkStart w:id="587" w:name="anchor40"/>
        <w:t/>
        <w:bookmarkEnd w:id="587"/>
        <w:t>Глава 18</w:t>
        <w:bookmarkStart w:id="588" w:name="anchor86"/>
        <w:t/>
        <w:bookmarkEnd w:id="588"/>
        <w:bookmarkStart w:id="589" w:name="anchor87"/>
        <w:t/>
        <w:bookmarkEnd w:id="589"/>
      </w:r>
    </w:p>
    <w:p>
      <w:pPr>
        <w:pStyle w:val="Para 11"/>
      </w:pPr>
      <w:r>
        <w:bookmarkStart w:id="590" w:name="anchor41"/>
        <w:t/>
        <w:bookmarkEnd w:id="590"/>
        <w:t>Обыкновенные люди</w:t>
      </w:r>
    </w:p>
    <w:p>
      <w:pPr>
        <w:pStyle w:val="Para 09"/>
      </w:pPr>
      <w:r>
        <w:t xml:space="preserve"> </w:t>
        <w:br w:clear="none"/>
      </w:r>
    </w:p>
    <w:p>
      <w:pPr>
        <w:pStyle w:val="Para 05"/>
      </w:pPr>
      <w:r>
        <w:rPr>
          <w:rStyle w:val="Text6"/>
        </w:rPr>
        <w:t/>
      </w:r>
      <w:r>
        <w:t xml:space="preserve">Почему большинство людей в Полицейском Резервном Батальоне 101 стали убийцами, тогда как лишь меньшинство — может быть десять процентов, </w:t>
        <w:t xml:space="preserve">но </w:t>
        <w:t xml:space="preserve">точно не </w:t>
        <w:t>больше</w:t>
        <w:t xml:space="preserve"> двадцати — не стали? Приведён целый ряд объяснений для такого поведения: ожесточение войной, расизм, разделение и рутинизация труда, специальный отбор людей, подчинение приказам, </w:t>
        <w:t>почтение к власти, идеологическая индоктринация и конформизм. В той или иной степени каждый из этих факторов применим, но все только с оговорками.</w:t>
      </w:r>
      <w:r>
        <w:rPr>
          <w:rStyle w:val="Text6"/>
        </w:rPr>
        <w:t xml:space="preserve"> </w:t>
      </w:r>
    </w:p>
    <w:p>
      <w:pPr>
        <w:pStyle w:val="Para 02"/>
      </w:pPr>
      <w:r>
        <w:t>Войны всегда сопровождались зверствами. Как писал Джон Доуэр в своей замечательной книге «Война без жалости: Раса и Власть в тихоокеанской войне»</w:t>
      </w:r>
      <w:hyperlink w:anchor="__508">
        <w:r>
          <w:rPr>
            <w:rStyle w:val="Text2"/>
          </w:rPr>
          <w:bookmarkStart w:id="591" w:name="508"/>
          <w:t>508</w:t>
          <w:bookmarkEnd w:id="591"/>
        </w:r>
      </w:hyperlink>
      <w:r>
        <w:rPr>
          <w:rStyle w:val="Text3"/>
        </w:rPr>
        <w:t xml:space="preserve"> </w:t>
      </w:r>
      <w:r>
        <w:t xml:space="preserve"> , „ненависть на войне“ стимулирует „военные преступления“</w:t>
      </w:r>
      <w:hyperlink w:anchor="__509">
        <w:r>
          <w:rPr>
            <w:rStyle w:val="Text2"/>
          </w:rPr>
          <w:bookmarkStart w:id="592" w:name="509"/>
          <w:t>509</w:t>
          <w:bookmarkEnd w:id="592"/>
        </w:r>
      </w:hyperlink>
      <w:r>
        <w:rPr>
          <w:rStyle w:val="Text3"/>
        </w:rPr>
        <w:t xml:space="preserve"> </w:t>
      </w:r>
      <w:r>
        <w:t xml:space="preserve"> . Главным образом, когда глубоко укоренившиеся негативные расовые стереотипы добавляют к ожесточению, присущему отправке вооружённых людей на убийство друг друга в огромных масштабах, хрупкая завеса военной конвенции и правил боя всё чаще и порочнее нарушаются всеми сторонами. Из чего вытекает разница между обычной войной — между Германией и Западными союзниками, к примеру — и «расовыми войнами» недавнего прошлого. От нацист</w:t>
        <w:t>с</w:t>
        <w:t xml:space="preserve">кой «войны на уничтожение» в </w:t>
        <w:t>В</w:t>
        <w:t xml:space="preserve">осточной </w:t>
        <w:t>Е</w:t>
        <w:t xml:space="preserve">вропе и «войны против евреев» к «войне без жалости» в тихом океане и недавней вьетнамской, солдаты слишком часто пытали и вырезали безоружных гражданских и беззащитных пленников и совершали неописуемое количество других зверств. Записи Доуэра о целых </w:t>
        <w:t>подразделениях</w:t>
        <w:t xml:space="preserve"> американцев в тихом океане, открыто хвастающихся политикой «пленных не берём» и повседневно собирающих части тел солдат Японии как боевые трофеи — леденящее кровь чтение для любого, кто самодовольно предполагает, что военные преступления — это монополия нацистского режима. </w:t>
      </w:r>
    </w:p>
    <w:p>
      <w:pPr>
        <w:pStyle w:val="Para 02"/>
      </w:pPr>
      <w:r>
        <w:t>Война, особенно расовая война, ведёт к ожесточению, что ведёт к зверствам. Эта общая черта, можно сказать, присуща всем от Бромберга</w:t>
      </w:r>
      <w:hyperlink w:anchor="__510">
        <w:r>
          <w:rPr>
            <w:rStyle w:val="Text2"/>
          </w:rPr>
          <w:bookmarkStart w:id="593" w:name="510"/>
          <w:t>510</w:t>
          <w:bookmarkEnd w:id="593"/>
        </w:r>
      </w:hyperlink>
      <w:r>
        <w:rPr>
          <w:rStyle w:val="Text3"/>
        </w:rPr>
        <w:t xml:space="preserve"> </w:t>
      </w:r>
      <w:r>
        <w:t xml:space="preserve"> и Бабьего Яра, до Новой Гвинеи и Манилы и Сонгми. Но если война, особенно расовая война, являлась незаменимым контекстом, в рамках которого действовал Полицейский Резервный Батальон 101 (что я действительно буду утверждать), как многое объясняет идея военного ожесточения в поведении полицейских в Юзефуве и после него? В частности, где провести грань различия между разными военными преступлениями или мышлением людей, совершающих их?</w:t>
      </w:r>
    </w:p>
    <w:p>
      <w:pPr>
        <w:pStyle w:val="Para 02"/>
      </w:pPr>
      <w:r>
        <w:t xml:space="preserve">Многие самые печально известные военные преступления — Орадур-сюр-Глан и Мальмеди, японские зверства в Маниле, американские казни заключённых и надругательства над трупами на множестве тихоокеанских островов, резня в Сонгми — включали в себя что-то вроде «боевого безумия». </w:t>
        <w:t>П</w:t>
        <w:t xml:space="preserve">риученные к насилию </w:t>
        <w:t>солдаты</w:t>
        <w:t xml:space="preserve">, выработавшие толерантность к отнятию человеческой жизни, озлобленные своими собственными потерями, расстроенные упорством коварного и кажущегося им «не человеком» врага — </w:t>
        <w:t>и</w:t>
        <w:t xml:space="preserve">ногда эта смесь взрывалась, </w:t>
        <w:t>а</w:t>
        <w:t xml:space="preserve"> иногда находила выход в виде мести при первой же возможности. Хотя злодеяния такого типа слишком часто игнорировались, одобрялись или тактично (</w:t>
        <w:t xml:space="preserve">а </w:t>
        <w:t>иногда открыто) поощрялись элементами командной структуры, они все же не становились частью официальной политики правительства.</w:t>
      </w:r>
      <w:hyperlink w:anchor="__511">
        <w:r>
          <w:rPr>
            <w:rStyle w:val="Text2"/>
          </w:rPr>
          <w:bookmarkStart w:id="594" w:name="511"/>
          <w:t>511</w:t>
          <w:bookmarkEnd w:id="594"/>
        </w:r>
      </w:hyperlink>
      <w:r>
        <w:rPr>
          <w:rStyle w:val="Text3"/>
        </w:rPr>
        <w:t xml:space="preserve"> </w:t>
      </w:r>
      <w:r>
        <w:t xml:space="preserve"> Несмотря на полную ненависти пропаганду каждой нации и экстремальную риторику многих лидеров и командиров, такие зверства все ещё представляют собой нарушения дисциплины и цепочки командования. Они не становились «стандартной процедурой оперирования».</w:t>
      </w:r>
    </w:p>
    <w:p>
      <w:pPr>
        <w:pStyle w:val="Para 02"/>
      </w:pPr>
      <w:r>
        <w:t xml:space="preserve">Зверства другого рода — без «боевого бешенства», но с полностью выраженным одобрением официальных представителей правительства </w:t>
      </w:r>
      <w:r>
        <w:rPr>
          <w:rStyle w:val="Text0"/>
        </w:rPr>
        <w:t>—</w:t>
      </w:r>
      <w:r>
        <w:t xml:space="preserve"> совершенно точно «стандартная процедура </w:t>
        <w:t>оперирования</w:t>
        <w:t xml:space="preserve">». Огненные бомбардировки немецких и японских городов, порабощение и убийственно жестокое обращение с иностранными рабочими в немецких лагерях и заводах или на железной дороге Сиам-Бурма, карательные расстрелы сотен гражданских за каждого убитого партизанами немецкого солдата в Югославии и восточной Европе в целом — всё это не было спонтанным проявлением </w:t>
        <w:t xml:space="preserve">накопленной ярости </w:t>
        <w:t>или жестокой местью огрубевших людей, но методично исполняемыми политиками государств.</w:t>
      </w:r>
    </w:p>
    <w:p>
      <w:pPr>
        <w:pStyle w:val="Para 02"/>
      </w:pPr>
      <w:r>
        <w:t xml:space="preserve">Оба этих вида преступлений совершались в контексте жестокостей войны, но люди, выполнявшие всё это в стиле «зверства как политика» имели совершенно </w:t>
        <w:t>иное</w:t>
        <w:t xml:space="preserve"> душевное состояние — </w:t>
        <w:t>о</w:t>
        <w:t>ни не действовали из бешенства, озлобления и расстройства, но с расчётом. Совершенно ясно, что члены Полицейского Резервного Батальона 101 в своей имплементации нацист</w:t>
        <w:t>с</w:t>
        <w:t xml:space="preserve">кой политики по уничтожению европейских евреев принадлежат ко второй категории. За исключением нескольких ветеранов Первой Мировой и нескольких переведённых из </w:t>
        <w:t>СССР</w:t>
        <w:t xml:space="preserve"> унтер-офицеров, люди батальона не видели ни одной битвы и не встречали </w:t>
        <w:t xml:space="preserve">ни одного </w:t>
        <w:t>врага. Большинство из них не стрелял</w:t>
        <w:t>о</w:t>
        <w:t xml:space="preserve"> из злости и не был</w:t>
        <w:t>о</w:t>
        <w:t xml:space="preserve"> под обстрелом, а тем более не терял</w:t>
        <w:t xml:space="preserve">о </w:t>
        <w:t xml:space="preserve">товарищей. Таким образом, огрубение войной через сражения не стало тем опытом, </w:t>
        <w:t xml:space="preserve">что повлиял </w:t>
        <w:t xml:space="preserve">на поведение полицейских в Юзефуве. Однако с началом убийств люди </w:t>
        <w:t>всё же</w:t>
        <w:t xml:space="preserve"> начали ожесточаться. Как и в боях, ужасы первого столкновения стали рутиной, </w:t>
        <w:t xml:space="preserve">а </w:t>
        <w:t>убийства давались всё легче. В этом смысле, огрубение не было причиной, но результатом поведения этих людей.</w:t>
      </w:r>
    </w:p>
    <w:p>
      <w:pPr>
        <w:pStyle w:val="Para 02"/>
      </w:pPr>
      <w:r>
        <w:t xml:space="preserve">Однако контекст войны точно стоит рассматривать </w:t>
        <w:t xml:space="preserve">и </w:t>
        <w:t xml:space="preserve">в более широком смысле, чем </w:t>
        <w:t xml:space="preserve">только </w:t>
        <w:t>лишь как основу вызванных битвами ожесточения и безумия. Война, борьба между «нашими» и «вашими», создаёт поляризованный мир, в котором «враг» легко объективизируется и исключается из человеческого сообщества и обязательств к нему. Война — это продуктивная среда, в которой правительство может принять «зверства как политику» и едва ли встретить препятствия в её имплементации. Как заметил Джон Доуэр: «</w:t>
        <w:t>О</w:t>
        <w:t>бесчеловечивание других вносит неоценимый вклад в психологические дистанцирование, что облегчает убийства».</w:t>
      </w:r>
      <w:hyperlink w:anchor="__512">
        <w:r>
          <w:rPr>
            <w:rStyle w:val="Text2"/>
          </w:rPr>
          <w:bookmarkStart w:id="595" w:name="512"/>
          <w:t>512</w:t>
          <w:bookmarkEnd w:id="595"/>
        </w:r>
      </w:hyperlink>
      <w:r>
        <w:rPr>
          <w:rStyle w:val="Text3"/>
        </w:rPr>
        <w:t xml:space="preserve"> </w:t>
      </w:r>
      <w:r>
        <w:t xml:space="preserve"> </w:t>
        <w:t xml:space="preserve"> Дистанцирование</w:t>
        <w:t xml:space="preserve">, </w:t>
        <w:t>а</w:t>
        <w:t xml:space="preserve"> не безумие и ожесточение — это один из главных ключей к пониманию поведения Полицейского Резервного Батальона 101. Война и негативные расовые стереотипы были взаимодополняющими факторами в этом дистанцировании.</w:t>
      </w:r>
    </w:p>
    <w:p>
      <w:pPr>
        <w:pStyle w:val="Para 02"/>
      </w:pPr>
      <w:r>
        <w:t xml:space="preserve">Многие исследователи Холокоста, </w:t>
        <w:t>в особенности</w:t>
        <w:t xml:space="preserve"> Рауль Хил</w:t>
        <w:t>ь</w:t>
        <w:t>берг, ставили акцент на бюрократическом и административном аспектах процесса разрушения.</w:t>
      </w:r>
      <w:hyperlink w:anchor="__513">
        <w:r>
          <w:rPr>
            <w:rStyle w:val="Text2"/>
          </w:rPr>
          <w:bookmarkStart w:id="596" w:name="513"/>
          <w:t>513</w:t>
          <w:bookmarkEnd w:id="596"/>
        </w:r>
      </w:hyperlink>
      <w:r>
        <w:rPr>
          <w:rStyle w:val="Text3"/>
        </w:rPr>
        <w:t xml:space="preserve"> </w:t>
      </w:r>
      <w:r>
        <w:t xml:space="preserve"> Этот подход подчёркивает степень, в которой современная бюрократическая жизнь воспитывает функциональное и психологическое дистанцирование в том же смысле, что и война и негативные расовые стереотипы продвигают психологическое дистанцирование между убийцей и жертвой. </w:t>
        <w:t>В действительности</w:t>
        <w:t xml:space="preserve"> многие соучастники Холокоста были так называемыми офисными убийцами, чья роль в массовом уничтожении значительно облегчалась бюрократической природой их участия. Их работа часто состояла из маленьких шагов в глобальном процессе убийств, и они выполняли её как рутину, никогда не видя своих жертв и как на тех влияют их действия. Разделённая, рутинизированная и деперсонализированная работа бюрократа или специалиста — неважно, будь то конфискация имущества, составление расписаний поездов, указов о призыве, отправка телеграм или составление списков — может быть выполнена без столкновения с реальностью массового убийцы. Люди Полицейского Резервного Батальона 101, конечно же, такой роскошью не располагали. Они буквально были покрыты кровью своих жертв от выстрелов в упор. Никто не сталкивался с реальностью массовых убийц сильнее, чем люди в лесу Юзефува. Сегментирование </w:t>
        <w:t>и</w:t>
        <w:t xml:space="preserve"> рутинизация — </w:t>
        <w:t xml:space="preserve">это </w:t>
        <w:t xml:space="preserve">обесчеловечивающие аспекты </w:t>
        <w:t>бюрократического убийства и не могут служить объяснением поведению батальона.</w:t>
      </w:r>
    </w:p>
    <w:p>
      <w:pPr>
        <w:pStyle w:val="Para 02"/>
      </w:pPr>
      <w:r>
        <w:t xml:space="preserve">Незначительным, однако, нельзя назвать облегчение психологической ноши разделением труда. </w:t>
        <w:t>Тогда как</w:t>
        <w:t xml:space="preserve"> члены батальона самостоятельно проводили расстрелы в Серокомле, Тальчине и Коцке, а в последствии и в многочисленных «охотах на евреев», большие операции включали себя совместную деятельность и разделение обязанностей. Полицейские всегда предоставляли кордон, а многие занимались </w:t>
        <w:t>отправкой</w:t>
        <w:t xml:space="preserve"> евреев из их домов на точки сбора и поезда смерти. Но на самые большие массовые расстрелы отправляли «специалистов» по убийству. В Ломазы Хиви сами бы выполнили казнь, если б не были слишком пьяны. В Майданеке и Понятове во время «фестиваля жатвы» стрелков предоставляла Полиция Безопасности. Депортации в Треблинку добавили психологическое преимущество </w:t>
      </w:r>
      <w:r>
        <w:rPr>
          <w:rStyle w:val="Text0"/>
        </w:rPr>
        <w:t>—</w:t>
      </w:r>
      <w:r>
        <w:t xml:space="preserve"> не только убийством </w:t>
        <w:t xml:space="preserve">теперь </w:t>
        <w:t xml:space="preserve">занимался кто-то другой, но и происходило где-то там, а не на глазах людей, </w:t>
        <w:t>которые</w:t>
        <w:t xml:space="preserve"> </w:t>
        <w:t>занимал</w:t>
        <w:t>ись</w:t>
        <w:t xml:space="preserve"> чистк</w:t>
        <w:t>ами</w:t>
        <w:t xml:space="preserve"> гетто и загоном евреев в поезда </w:t>
        <w:t>смерти</w:t>
        <w:t>. После откровенного ужаса Юзефува отстранённость полицейских, отсутствие чувства личного участия и ответственности за происходящее после выполнения своих обязанностей по чистке и охране — решительное свидетельство десенсибилизации от разделения труда.</w:t>
      </w:r>
    </w:p>
    <w:p>
      <w:pPr>
        <w:pStyle w:val="Para 02"/>
      </w:pPr>
      <w:r>
        <w:t xml:space="preserve">До какой степени, если </w:t>
        <w:t xml:space="preserve">до какой-либо </w:t>
        <w:t>вовсе</w:t>
        <w:t xml:space="preserve">, люди Полицейского Резервного Батальона 101 представляют собой результат специального отбора для имплементации </w:t>
        <w:t>Окончате</w:t>
        <w:t>льного Решения? Согласно недавнему исследованию немецкого историка Ганса Генриха Вильгельма, значительные время и силы были затрачены отделом персонала Главного Управления Имперской Безопасности Рейнхарда Гейдриха для отбора и назначения офицеров в Айнзацгруппы.</w:t>
      </w:r>
      <w:hyperlink w:anchor="__514">
        <w:r>
          <w:rPr>
            <w:rStyle w:val="Text2"/>
          </w:rPr>
          <w:bookmarkStart w:id="597" w:name="514"/>
          <w:t>514</w:t>
          <w:bookmarkEnd w:id="597"/>
        </w:r>
      </w:hyperlink>
      <w:r>
        <w:rPr>
          <w:rStyle w:val="Text3"/>
        </w:rPr>
        <w:t xml:space="preserve"> </w:t>
      </w:r>
      <w:r>
        <w:t xml:space="preserve"> Гиммлер, стремящийся назначить нужного человека на нужное место, также был аккуратен в отборе кандидатов на роль Глав Полиции и СС и других ключевых должностей. Отсюда вытекает его настойчивость в сохранении назначения неприятного Глобочника в Люблине, несмотря на его предыдущую историю коррупции и протесты этому назначению даже среди нацист</w:t>
        <w:t>с</w:t>
        <w:t>кой партии.</w:t>
      </w:r>
      <w:hyperlink w:anchor="__515">
        <w:r>
          <w:rPr>
            <w:rStyle w:val="Text2"/>
          </w:rPr>
          <w:bookmarkStart w:id="598" w:name="515"/>
          <w:t>515</w:t>
          <w:bookmarkEnd w:id="598"/>
        </w:r>
      </w:hyperlink>
      <w:r>
        <w:rPr>
          <w:rStyle w:val="Text3"/>
        </w:rPr>
        <w:t xml:space="preserve"> </w:t>
      </w:r>
      <w:r>
        <w:t xml:space="preserve"> В её книге «Во тьму» </w:t>
        <w:t>[</w:t>
        <w:t>Into th</w:t>
        <w:t>at</w:t>
        <w:t xml:space="preserve"> Darkness</w:t>
        <w:t>]</w:t>
        <w:t>, классическо</w:t>
        <w:t>м</w:t>
        <w:t xml:space="preserve"> исследовани</w:t>
        <w:t>и</w:t>
        <w:t xml:space="preserve"> Франца Штангля </w:t>
      </w:r>
      <w:r>
        <w:rPr>
          <w:rStyle w:val="Text0"/>
        </w:rPr>
        <w:t>—</w:t>
      </w:r>
      <w:r>
        <w:t xml:space="preserve"> к</w:t>
        <w:t xml:space="preserve">оменданта Треблинки, Гитта Серени заключила, что специальный отбор прошли лишь 96 из </w:t>
        <w:t>примерно</w:t>
        <w:t xml:space="preserve"> 400 людей, переведённых из программы по эвтаназии в Германию в лагеря смерти Польши.</w:t>
      </w:r>
      <w:hyperlink w:anchor="__516">
        <w:r>
          <w:rPr>
            <w:rStyle w:val="Text2"/>
          </w:rPr>
          <w:bookmarkStart w:id="599" w:name="516"/>
          <w:t>516</w:t>
          <w:bookmarkEnd w:id="599"/>
        </w:r>
      </w:hyperlink>
      <w:r>
        <w:rPr>
          <w:rStyle w:val="Text3"/>
        </w:rPr>
        <w:t xml:space="preserve"> </w:t>
      </w:r>
      <w:r>
        <w:t xml:space="preserve"> Схожий ли отбор </w:t>
      </w:r>
      <w:r>
        <w:rPr>
          <w:rStyle w:val="Text0"/>
        </w:rPr>
        <w:t>—</w:t>
      </w:r>
      <w:r>
        <w:t xml:space="preserve"> аккуратный выбор персонала особенно подходящего для массовых убийств, определил состав Полицейского Резервного Батальона 101?</w:t>
      </w:r>
    </w:p>
    <w:p>
      <w:pPr>
        <w:pStyle w:val="Para 02"/>
      </w:pPr>
      <w:r>
        <w:t xml:space="preserve">Относительно рядовых, ответ твёрдое «нет». По всем критериям, на самом деле, всё было наоборот. По возрасту, географическому и социальному происхождениям, люди Полицейского Резервного Батальона 101 были наименее подходящим материалом для создания будущих массовых убийц. На основе </w:t>
        <w:t>таких</w:t>
        <w:t xml:space="preserve"> критери</w:t>
        <w:t>ев</w:t>
        <w:t xml:space="preserve"> — средний возраст, большинство из рабочего класса, из Гамбурга — состав не представлял собой результат специального отбора, как и не представлял даже случайный. По всем признакам они прошли отрицательную селекцию для этой работы.</w:t>
      </w:r>
    </w:p>
    <w:p>
      <w:pPr>
        <w:pStyle w:val="Para 02"/>
      </w:pPr>
      <w:r>
        <w:t xml:space="preserve">В одном отношении, однако, могла пройти ранняя и более общая форма отбора. Большой процент </w:t>
        <w:t xml:space="preserve">(25%) </w:t>
        <w:t xml:space="preserve">членов партии среди рядовых батальона — непропорционально большой для людей из рабочего класса, предполагает, что первоначальный набор резервистов — задолго до того как они стали использоваться в качестве убийц </w:t>
        <w:t>Окончате</w:t>
        <w:t xml:space="preserve">льного Решения — не был полностью случайным. Если Гиммлер сначала думал о резервистах как о возможной структуре внутренней безопасности, когда большая часть </w:t>
        <w:t>профессиональной</w:t>
        <w:t xml:space="preserve"> полицейской силы находилась </w:t>
        <w:t>бы</w:t>
        <w:t xml:space="preserve"> за рубежом, логично предположить, что он подозрительно относился к набору людей с сомнительной политической надёжностью. Одним из решений мог бы стать призыв в большом количестве членов партии среднего возраста из всего населения. Однако существование такой идеи всего лишь предположение, никаких документов для подтверждения того, что членов партии намеренно вербовали в резервные отряды Полиции Порядка не существует.</w:t>
      </w:r>
    </w:p>
    <w:p>
      <w:pPr>
        <w:pStyle w:val="Para 02"/>
      </w:pPr>
      <w:r>
        <w:t>Ещё сложнее допустить наличие специального набора в офицеры. По стандартам СС майор Трапп был патриотичным немцем, но традиционалистом и слишком сентиментальным — что в нацист</w:t>
        <w:t>с</w:t>
        <w:t xml:space="preserve">кой Германии пренебрежительно считалось «слабостью» и «реакционизмом». Точно показательно, что несмотря на сознательные старания Гиммлера и Гейдриха по слиянию полиции и СС, и несмотря на то, что Трапп был награждённым ветераном Первой Мировой, профессиональным полицейским и </w:t>
      </w:r>
      <w:r>
        <w:rPr>
          <w:rStyle w:val="Text0"/>
        </w:rPr>
        <w:t>Alter Kämpfer</w:t>
      </w:r>
      <w:r>
        <w:t xml:space="preserve"> («старым бойцом»), вступившим в партию в 1932-</w:t>
        <w:t>м</w:t>
        <w:t xml:space="preserve">, его никогда не принимали в СС. Ему совершенно точно не дали командовать Полицейским Резервным Батальоном 101 и не специально назначали в </w:t>
        <w:t>округ</w:t>
        <w:t xml:space="preserve"> Люблина из-за его пригодности к роли массового убийцы.</w:t>
      </w:r>
    </w:p>
    <w:p>
      <w:pPr>
        <w:pStyle w:val="Para 02"/>
      </w:pPr>
      <w:r>
        <w:t>Остальные офицеры батальона тоже едва ли могут служить доказательством для существования специального отбора. Несмотря на безупречную службу партии, и Хоффман, и Волауф по стандартам карьеры в СС попали в тупик. Карьера Волауфа в Полиции Порядка в особенности отмечалась как посредственная, даже негативная. Иронично, но именно относительно старый (сорок восемь лет) лейтенант запаса Гн</w:t>
        <w:t>а</w:t>
        <w:t>д</w:t>
        <w:t>е</w:t>
        <w:t>, а не два молодых капитана СС, оказался самым безжалостным убийцей и садистом, человеком, получающим удовольствие от работы. И наконец, при отборе потенциальных убийц едва ли кому-либо могло прийти в голову назначение лейтенанта Бухмана.</w:t>
      </w:r>
    </w:p>
    <w:p>
      <w:pPr>
        <w:pStyle w:val="Para 02"/>
      </w:pPr>
      <w:r>
        <w:t xml:space="preserve">Говоря по-другому, Полицейский Резервный Батальон 101 послали в Люблин убивать евреев не потому, что он состоял из отобранных или пригодных для этого дела людей, наоборот </w:t>
      </w:r>
      <w:r>
        <w:rPr>
          <w:rStyle w:val="Text0"/>
        </w:rPr>
        <w:t>—</w:t>
      </w:r>
      <w:r>
        <w:t xml:space="preserve"> батальон был «отбросом» из доступного на той стадии войны кадрового резерва. Его назначили убивать евреев потому, что это был единственный отряд, доступный для действия так далеко от фронта. Более вероятно, </w:t>
        <w:t xml:space="preserve">что </w:t>
        <w:t xml:space="preserve">Глобочник предположил такую модель руководства, </w:t>
        <w:t xml:space="preserve">при </w:t>
        <w:t xml:space="preserve">которой какой угодно батальон ни подвернулся бы ему, тот и </w:t>
        <w:t>стал</w:t>
        <w:t xml:space="preserve"> бы подходящим для работы, независимо от </w:t>
        <w:t>своего</w:t>
        <w:t xml:space="preserve"> состава. Если так, </w:t>
        <w:t xml:space="preserve">то </w:t>
        <w:t>он возможно был разочарован последствиями Юзефува, но в перспективе оказался прав.</w:t>
      </w:r>
    </w:p>
    <w:p>
      <w:pPr>
        <w:pStyle w:val="Para 02"/>
      </w:pPr>
      <w:r>
        <w:t xml:space="preserve">Многие исследования нацистских убийц предлагали другую форму отбора, а именно самоотбор в партию и СС необычно склонными к насилию людьми. Вскоре после войны Теодор Адорно и другие разработали идею «авторитарной личности». Посчитав, что влияние ситуации и окружения уже были исследованы, они сконцентрировались на до этого мало исследованном психологическом факторе. Они начали с гипотезы, что определённые глубокие черты личности создавали «потенциально фашистских людей", особенно </w:t>
        <w:t xml:space="preserve">сильно </w:t>
        <w:t>подверженных антидемократической пропаганде.</w:t>
      </w:r>
      <w:hyperlink w:anchor="__517">
        <w:r>
          <w:rPr>
            <w:rStyle w:val="Text2"/>
          </w:rPr>
          <w:bookmarkStart w:id="600" w:name="517"/>
          <w:t>517</w:t>
          <w:bookmarkEnd w:id="600"/>
        </w:r>
      </w:hyperlink>
      <w:r>
        <w:rPr>
          <w:rStyle w:val="Text3"/>
        </w:rPr>
        <w:t xml:space="preserve"> </w:t>
      </w:r>
      <w:r>
        <w:t xml:space="preserve"> Их </w:t>
        <w:t>изучение</w:t>
        <w:t xml:space="preserve"> привел</w:t>
        <w:t>о</w:t>
        <w:t xml:space="preserve"> их к составлению списка важных черт (тестируемых так называемой F-шкалой) «авторитарной личности»: жёсткая приверженность к общепринятым ценностям; </w:t>
        <w:t xml:space="preserve">покорность </w:t>
        <w:t xml:space="preserve">перед </w:t>
        <w:t>авторитетной фигур</w:t>
        <w:t>ой</w:t>
        <w:t>; агрессивность по отношению к тем, кто не состоит в их группе; противостояние самоанализу, рефлексии и креативности; склонность к стереотипизации и суевериям; деструктивность и цинизм; озабоченность властью и демонстрируемой силой; проекция (склонность верить, что мир дик и опасен, а так же проекция вовне подсознательных эмоциональных импульсов); раздутая озабоченность сексуальностью. Они заключили, что антидемократичный человек «имеет в основе сильные агрессивные импульсы» и фашистское движение позволяет ему проецировать агрессию через санкционированное насилие против идеологически противопоставленной группы.</w:t>
      </w:r>
      <w:hyperlink w:anchor="__518">
        <w:r>
          <w:rPr>
            <w:rStyle w:val="Text2"/>
          </w:rPr>
          <w:bookmarkStart w:id="601" w:name="518"/>
          <w:t>518</w:t>
          <w:bookmarkEnd w:id="601"/>
        </w:r>
      </w:hyperlink>
      <w:r>
        <w:rPr>
          <w:rStyle w:val="Text3"/>
        </w:rPr>
        <w:t xml:space="preserve"> </w:t>
      </w:r>
      <w:r>
        <w:t xml:space="preserve"> Зигмунт Бауман так суммировал этот подход: «Нацизм был жесток потому что нацисты были жестоки; и нацисты были жестоки, потому что жестокие люди склонны становиться нацистами».</w:t>
      </w:r>
      <w:hyperlink w:anchor="__519">
        <w:r>
          <w:rPr>
            <w:rStyle w:val="Text2"/>
          </w:rPr>
          <w:bookmarkStart w:id="602" w:name="519"/>
          <w:t>519</w:t>
          <w:bookmarkEnd w:id="602"/>
        </w:r>
      </w:hyperlink>
      <w:r>
        <w:rPr>
          <w:rStyle w:val="Text3"/>
        </w:rPr>
        <w:t xml:space="preserve"> </w:t>
      </w:r>
      <w:r>
        <w:t xml:space="preserve"> Он сильно критиковал методологию Адорно и его коллег, которые пренебрегли социальным влиянием, и выводимой </w:t>
        <w:t xml:space="preserve">из теории </w:t>
        <w:t>идеи, что обыкновенные люди не совершали зверства фашистов.</w:t>
      </w:r>
    </w:p>
    <w:p>
      <w:pPr>
        <w:pStyle w:val="Para 02"/>
      </w:pPr>
      <w:r>
        <w:t>Последующие защитники психологического объяснения модифицировали подход Адорно, более открыто соединив психологические и ситуационные (социальные, культурные и институциональные) факторы. Изучая группу люде</w:t>
        <w:t xml:space="preserve">й, </w:t>
        <w:t xml:space="preserve">добровольно вступивших </w:t>
        <w:t>в СС, Джон Штайнер заключил, что «процесс самоотбора к жестокости, судя по всему, существует».</w:t>
      </w:r>
      <w:hyperlink w:anchor="__520">
        <w:r>
          <w:rPr>
            <w:rStyle w:val="Text2"/>
          </w:rPr>
          <w:bookmarkStart w:id="603" w:name="520"/>
          <w:t>520</w:t>
          <w:bookmarkEnd w:id="603"/>
        </w:r>
      </w:hyperlink>
      <w:r>
        <w:rPr>
          <w:rStyle w:val="Text3"/>
        </w:rPr>
        <w:t xml:space="preserve"> </w:t>
      </w:r>
      <w:r>
        <w:t xml:space="preserve"> Он предложил идею «спящих» — определённых личностных характеристик, обычное не используемых, но существующих в склонных к насилию индивидуум</w:t>
        <w:t>ах</w:t>
        <w:t xml:space="preserve">, которые могут быть активированы при некоторых условиях. В хаосе после </w:t>
        <w:t>П</w:t>
        <w:t xml:space="preserve">ервой </w:t>
        <w:t>М</w:t>
        <w:t xml:space="preserve">ировой войны в Германии люди, высоко оценённые по F-шкале, были в непропорциональных количествах привлечены к национал-социализму, как к «субкультуре насилия», </w:t>
        <w:t xml:space="preserve">и </w:t>
        <w:t xml:space="preserve">в особенности </w:t>
        <w:t>к</w:t>
        <w:t xml:space="preserve"> СС, которые предоставляли стимулы и поддержку для полной реализации их насильственного потенциала. После </w:t>
        <w:t>В</w:t>
        <w:t xml:space="preserve">торой </w:t>
        <w:t>М</w:t>
        <w:t xml:space="preserve">ировой такие люди вернулись к законопослушному поведению. </w:t>
        <w:t>Из этого</w:t>
        <w:t xml:space="preserve"> Штайнер заключ</w:t>
        <w:t>ает</w:t>
        <w:t xml:space="preserve">, что «ситуация выступает в качестве </w:t>
        <w:t>непосредственного</w:t>
        <w:t xml:space="preserve"> определителя</w:t>
        <w:t xml:space="preserve"> поведения СС» </w:t>
        <w:t>при</w:t>
        <w:t xml:space="preserve"> включении «спящего».</w:t>
      </w:r>
    </w:p>
    <w:p>
      <w:pPr>
        <w:pStyle w:val="Para 02"/>
      </w:pPr>
      <w:r>
        <w:t>Эрвин Стауб согласен с идеей, что «некоторые люди становятся соучастниками из-за своих личностей; они „выбирают сами себя“». Но он делает вывод, что «спящие» Штайнера — крайне распространённая черта, и в исключительных ситуациях большинство людей имеет способности к экстремальному насилию и разрушению человеческой жизни.</w:t>
      </w:r>
      <w:hyperlink w:anchor="__521">
        <w:r>
          <w:rPr>
            <w:rStyle w:val="Text2"/>
          </w:rPr>
          <w:bookmarkStart w:id="604" w:name="521"/>
          <w:t>521</w:t>
          <w:bookmarkEnd w:id="604"/>
        </w:r>
      </w:hyperlink>
      <w:r>
        <w:rPr>
          <w:rStyle w:val="Text3"/>
        </w:rPr>
        <w:t xml:space="preserve"> </w:t>
      </w:r>
      <w:r>
        <w:t xml:space="preserve"> </w:t>
        <w:t xml:space="preserve"> В самом деле, </w:t>
        <w:t>Стауб решительно подчёркивал, что «обыкновенный психологический процесс и нормальные, общие человеческие мотивации и некоторые базовые, но неизбежные склонности в человеческих мыслях и чувствах» являются «главным источнико</w:t>
        <w:t>м»</w:t>
        <w:t xml:space="preserve"> способности людей к массовому уничтожению человеческих жизней. «Зло, растущее из обычных мыслей и совершаемое обычными людьми, является нормой, а не исключением».</w:t>
      </w:r>
      <w:hyperlink w:anchor="__522">
        <w:r>
          <w:rPr>
            <w:rStyle w:val="Text2"/>
          </w:rPr>
          <w:bookmarkStart w:id="605" w:name="522"/>
          <w:t>522</w:t>
          <w:bookmarkEnd w:id="605"/>
        </w:r>
      </w:hyperlink>
      <w:r>
        <w:rPr>
          <w:rStyle w:val="Text3"/>
        </w:rPr>
        <w:t xml:space="preserve"> </w:t>
      </w:r>
      <w:r>
        <w:t xml:space="preserve"> </w:t>
      </w:r>
    </w:p>
    <w:p>
      <w:pPr>
        <w:pStyle w:val="Para 02"/>
      </w:pPr>
      <w:r>
        <w:t>Если Стауб делает «спящих» Штайнера неисключительными, Зигмунт Бауман идёт ещё дальше и отрицает их как «метафизический костыль». По Бауману «жестокость социальная по своей природе больше, чем она характерологическая».</w:t>
      </w:r>
      <w:hyperlink w:anchor="__523">
        <w:r>
          <w:rPr>
            <w:rStyle w:val="Text2"/>
          </w:rPr>
          <w:bookmarkStart w:id="606" w:name="523"/>
          <w:t>523</w:t>
          <w:bookmarkEnd w:id="606"/>
        </w:r>
      </w:hyperlink>
      <w:r>
        <w:rPr>
          <w:rStyle w:val="Text3"/>
        </w:rPr>
        <w:t xml:space="preserve"> </w:t>
      </w:r>
      <w:r>
        <w:t xml:space="preserve"> Бауман заявляет, что большинство людей «проваливаются» в нишу, предоставляемую </w:t>
        <w:t xml:space="preserve">им </w:t>
        <w:t>обществом, и он очень критичен о любых намёках на то, что в людской жестокости виноваты «испорченные личности». Для него исключения — настоящие «спящие» — редкие индивидуумы, владеющие способностью сопротивляться авторитету и сохранять свою моральную автономию, и это не проявится пока не настанет время.</w:t>
      </w:r>
    </w:p>
    <w:p>
      <w:pPr>
        <w:pStyle w:val="Para 02"/>
      </w:pPr>
      <w:r>
        <w:t>Те, кто ставит ударение на относительном или абсолютном превосходстве ситуационных факторов над индивидуальными психологическими характеристиками неизменно ссылаются на Стэндфордский эксперимент Филипа Зимбардо.</w:t>
      </w:r>
      <w:hyperlink w:anchor="__524">
        <w:r>
          <w:rPr>
            <w:rStyle w:val="Text2"/>
          </w:rPr>
          <w:bookmarkStart w:id="607" w:name="524"/>
          <w:t>524</w:t>
          <w:bookmarkEnd w:id="607"/>
        </w:r>
      </w:hyperlink>
      <w:r>
        <w:rPr>
          <w:rStyle w:val="Text3"/>
        </w:rPr>
        <w:t xml:space="preserve"> </w:t>
      </w:r>
      <w:r>
        <w:t xml:space="preserve"> Отсеяв всех, кто отклонялся от нормы градом психологических тестов, включая те, что измеряли «жёсткую приверженность общепринятым нормам и подчинённое, некритичное отношение к власти» (к примеру, F-шкала на «авторитарную личность»), Зимбардо случайным образом разделил гомогенную «нормальную» тестовую группу на охранников и заключённых, поместив их в симуляцию тюрьмы. Хотя физическое насилие было под запретом, в течении шести дней сложилась присущая тюремной жизни структура — в </w:t>
        <w:t>ней</w:t>
        <w:t xml:space="preserve"> охранники оперировали сменами по три человека и были вынуждены изобретать пути контроля более многочисленной группы заключённых — </w:t>
        <w:t>и э</w:t>
        <w:t>то привело к эскалации жестокости, унижения и обесчеловечивания. «Самым драматичным и беспокоящим для нас наблюдением стало то, с какой лёгкостью садистское поведение может быть выявлено в тех, кто не принадлежал к „</w:t>
        <w:t>с</w:t>
        <w:t>адистскому типажу“». Зимбардо заключил, что одной лишь ситуации с тюрьмой было «достаточно для создания аномального, антисоциального поведения».</w:t>
      </w:r>
    </w:p>
    <w:p>
      <w:pPr>
        <w:pStyle w:val="Para 02"/>
      </w:pPr>
      <w:r>
        <w:t>Возможно наиболее подходящим к этому исследованию Полицейского Резервного Батальона 101 является спектр поведений, открытый Зимбардо в его выборке одиннадцати охранников. Около трети оказалась «</w:t>
        <w:t xml:space="preserve">жёсткими и </w:t>
        <w:t xml:space="preserve">жестокими» — </w:t>
        <w:t>о</w:t>
        <w:t xml:space="preserve">ни постоянно изобретали новые способы домогательств и наслаждались своей полученной властью заниматься жестокостью и самодурством. Треть охранников была «жёсткой, но справедливой» — </w:t>
        <w:t>о</w:t>
        <w:t>ни «играли по правилам» и старались не обходиться плохо с заключёнными. Только двое (то есть меньше 20%) оказались «хорошими охранниками», не наказывавшими заключённых и даже оказывавшими им маленькие услуги.</w:t>
      </w:r>
      <w:hyperlink w:anchor="__525">
        <w:r>
          <w:rPr>
            <w:rStyle w:val="Text2"/>
          </w:rPr>
          <w:bookmarkStart w:id="608" w:name="525"/>
          <w:t>525</w:t>
          <w:bookmarkEnd w:id="608"/>
        </w:r>
      </w:hyperlink>
      <w:r>
        <w:rPr>
          <w:rStyle w:val="Text3"/>
        </w:rPr>
        <w:t xml:space="preserve"> </w:t>
      </w:r>
      <w:r>
        <w:t xml:space="preserve"> </w:t>
      </w:r>
    </w:p>
    <w:p>
      <w:pPr>
        <w:pStyle w:val="Para 02"/>
      </w:pPr>
      <w:r>
        <w:t>Спектр поведения охранников Зимбардо имеет неестественную схожесть с группами, выделившимися из Полицейского Резервного Батальона 101: ядро всё более увлечённых убийц, добровольно участвующи</w:t>
        <w:t>х</w:t>
        <w:t xml:space="preserve"> в расстрельных командах и «охоте на евреев»; большая группа полицейских, выполнявших расстрелы и чистки гетто, но не ищущих возможности убивать (и в некоторых случаях даже воздерживающихся, вопреки приказам и когда никто не видел); малая группа (меньше 20%) отказников и уклонистов.</w:t>
      </w:r>
    </w:p>
    <w:p>
      <w:pPr>
        <w:pStyle w:val="Para 02"/>
      </w:pPr>
      <w:r>
        <w:t xml:space="preserve">В дополнение к этому </w:t>
        <w:t>заметному</w:t>
        <w:t xml:space="preserve"> сходству между охранниками Зимбардо и полицейскими батальона 101, один фактор следует учесть при определении значимости «самоотбора» на основе психологической предрасположенности. Батальон состоял из лейтенантов запаса и тех людей, кого просто призвали после начала войны. Унтер-офицеры присоединились к Полиции Порядка до войны потому </w:t>
        <w:t xml:space="preserve">как </w:t>
        <w:t xml:space="preserve">надеялись на карьеру в полиции (в данном случае столичной полиции Гамбурга, а не политической полиции или Гестапо) или избежать призыва в армию. При таких обстоятельствах сложно представить какой-либо механизм «самоотбора», через который резервные батальоны Полиции Порядка могли бы привлечь необычно высокую концентрацию склонных к насилию людей. </w:t>
        <w:t xml:space="preserve">И </w:t>
        <w:t>действительно</w:t>
        <w:t>, если нацистская Германия предоставляла целый ряд карьерных путей, на которых насилие было санкционировано и поощрялось, то случайный набор из оставшегося населения — уже лишённого самых склонных к насилию индивидуумов — должен по идее предоставить ещё меньший чем в среднем процент «авторитарных личностей». Самоотбор на основе личностных характеристик, другими словами, мало что предоставляет для объяснения поведения людей Полицейского Резервного Батальона 101.</w:t>
      </w:r>
    </w:p>
    <w:p>
      <w:pPr>
        <w:pStyle w:val="Para 02"/>
      </w:pPr>
      <w:r>
        <w:t xml:space="preserve">Если специальный отбор сыграл малую роль и самоотбор, судя по всему, никакую, что насчёт интересов и карьеризма? Признавшие своё участие в расстрельных командах не оправдывали свой выбор основываясь на карьере. Наоборот, вопрос карьеры лучше всего был артикулирован рядом тех, кто не стрелял. Лейтенант Бухман и Густав Майклсон в объяснении своего исключительного поведения отмечали, что в отличии от </w:t>
        <w:t>своих</w:t>
        <w:t xml:space="preserve"> коллег, офицеров и товарищей, они имели вполне обустроенную гражданскую карьеру, к которой планировали вернуться, так что не беспокоились о негативных последствиях для дальнейшей полицейской карьеры.</w:t>
      </w:r>
      <w:hyperlink w:anchor="__526">
        <w:r>
          <w:rPr>
            <w:rStyle w:val="Text2"/>
          </w:rPr>
          <w:bookmarkStart w:id="609" w:name="526"/>
          <w:t>526</w:t>
          <w:bookmarkEnd w:id="609"/>
        </w:r>
      </w:hyperlink>
      <w:r>
        <w:rPr>
          <w:rStyle w:val="Text3"/>
        </w:rPr>
        <w:t xml:space="preserve"> </w:t>
      </w:r>
      <w:r>
        <w:t xml:space="preserve"> Бухман явно не желал, чтобы сторона обвинения использовала его поведение против защитников, так что он мог подчёркивать фактор карьеры как менее морально обвинительный для тех, кто действовал иначе чем он. Но на показания Майклсона подобный расчёт или сдержанность не влияли.</w:t>
      </w:r>
    </w:p>
    <w:p>
      <w:pPr>
        <w:pStyle w:val="Para 02"/>
      </w:pPr>
      <w:r>
        <w:t xml:space="preserve">Помимо показаний тех, кто не задумывался о карьере, есть те, для кого это было важно. Капитан Хоффман </w:t>
      </w:r>
      <w:r>
        <w:rPr>
          <w:rStyle w:val="Text0"/>
        </w:rPr>
        <w:t>—</w:t>
      </w:r>
      <w:r>
        <w:t xml:space="preserve"> классический пример человека-карьериста. Лишенный трудоспособности психосоматическими болями в животе. вызванными, хотя бы отчасти </w:t>
        <w:t>и</w:t>
        <w:t xml:space="preserve"> если не полностью, кровавой деятельностью батальона — он упорно старался скрыть своё заболевание от старших по званию, вместо попытки использовать его для уклонения от обязанностей. Он рисковал открытым подозрением своих людей в трусости в отчаянной попытке сохранить командование ротой. Когда он наконец был отстранён, он озлоблено протестовал такому развитию событий, угрожавшему его карьере. С учётом количества людей из Полицейского Резервного Батальона 101, оставшихся в полиции после войны, карьерные амбиции могли играть существенную роль для многих из них.</w:t>
      </w:r>
    </w:p>
    <w:p>
      <w:pPr>
        <w:pStyle w:val="Para 02"/>
      </w:pPr>
      <w:r>
        <w:t>Среди соучастников, конечно же, приказы традиционно были самым частым объяснением собственного поведения людей. Авторитарная политическая культура нацист</w:t>
        <w:t>с</w:t>
        <w:t>кой диктатуры, свирепо нетерпим</w:t>
        <w:t>ая</w:t>
        <w:t xml:space="preserve"> к открытому несогласию, вместе с</w:t>
        <w:t>о</w:t>
        <w:t xml:space="preserve"> стандартной военной необходимостью подчинения приказам и безжалостное насаждение дисциплины — </w:t>
        <w:t xml:space="preserve">всё это </w:t>
        <w:t>создавало ситуацию, в которой индивидуум «не имел выбора». Приказ есть приказ, они настаивали, и никто не ожидал неподчинения в этом политическом климате. Неподчинение точно означало концентрационный лагерь, если не мгновенную казнь, возможно и их семей тоже. Преступники нашли себя в ситуации невозможного «принуждения», так что не могут быть ответственными за свои действия. Так суд за судом говорили обвиняемые в послевоенной Германии.</w:t>
      </w:r>
    </w:p>
    <w:p>
      <w:pPr>
        <w:pStyle w:val="Para 02"/>
      </w:pPr>
      <w:r>
        <w:t>Однако есть проблема с этим объяснением. По-простому, за последние сорок пять лет ни один адвокат защиты или обвиняемый ни в каком из сотен послевоенных судов не смогли документально подтвердить хотя бы один случай, когда отказ от выполнения приказа об убийстве невооружённого гражданского привёл к якобы неизбежному страшному наказанию.</w:t>
      </w:r>
      <w:hyperlink w:anchor="__527">
        <w:r>
          <w:rPr>
            <w:rStyle w:val="Text2"/>
          </w:rPr>
          <w:bookmarkStart w:id="610" w:name="527"/>
          <w:t>527</w:t>
          <w:bookmarkEnd w:id="610"/>
        </w:r>
      </w:hyperlink>
      <w:r>
        <w:rPr>
          <w:rStyle w:val="Text3"/>
        </w:rPr>
        <w:t xml:space="preserve"> </w:t>
      </w:r>
      <w:r>
        <w:t xml:space="preserve"> Наказание или порицание за такое иногда возникали, но никогда не были сопоставимы с тяжестью преступлений, которых людей просили совершить.</w:t>
      </w:r>
    </w:p>
    <w:p>
      <w:pPr>
        <w:pStyle w:val="Para 02"/>
      </w:pPr>
      <w:r>
        <w:t xml:space="preserve">Вариация </w:t>
        <w:t>оправдания</w:t>
        <w:t xml:space="preserve"> неотвратимым приказом — это «предполагаемое принуждение»</w:t>
      </w:r>
      <w:hyperlink w:anchor="__528">
        <w:r>
          <w:rPr>
            <w:rStyle w:val="Text2"/>
          </w:rPr>
          <w:bookmarkStart w:id="611" w:name="528"/>
          <w:t>528</w:t>
          <w:bookmarkEnd w:id="611"/>
        </w:r>
      </w:hyperlink>
      <w:r>
        <w:rPr>
          <w:rStyle w:val="Text3"/>
        </w:rPr>
        <w:t xml:space="preserve"> </w:t>
      </w:r>
      <w:r>
        <w:t xml:space="preserve"> . Даже если последствия неподчинения могли быть не такими и страшными, подчинившиеся люди могли в то время этого не знать. Они могли искренне верить, что у них не было выбора перед лицом приказа «убить». Несомненно, во многих отрядах ревностные офицеры запугивали своих людей зловещими угрозами. В Полицейском Резервном Батальоне 101, как мы видели, некоторые офицеры и унтер-офицеры, </w:t>
        <w:t xml:space="preserve">такие </w:t>
        <w:t xml:space="preserve">как Дракер и Гергерт, пытались заставить стрелять всех, даже если потом освобождали тех, кто не мог продолжать. Другие офицеры и унтер-офицеры, </w:t>
        <w:t xml:space="preserve">такие </w:t>
        <w:t>как Хоппнер и Остман, выбирали тех, кто был известен как «не стреляющий» и принуждали их к убийствам, иногда успешно.</w:t>
      </w:r>
    </w:p>
    <w:p>
      <w:pPr>
        <w:pStyle w:val="Para 02"/>
      </w:pPr>
      <w:r>
        <w:t xml:space="preserve">Но, как правило, даже предполагаемое принуждение не работало </w:t>
        <w:t xml:space="preserve">в качестве оправдания </w:t>
        <w:t>для Полицейского Резервного Батальона 101. С того времени как майор Трапп, сдавленным голосом и со слезами на глазах, предложил извинить тех, кто «не был готов» в Юзефуве и защитил от гнева капитана Хоффмана первого человека, принявшего предложение, ситуация предполагаемого принуждения в батальоне не существовала. Последующее поведение Траппа, не только в освобождении лейтенанта Бухмана от участия в действиях против евреев, но и открытая защита человека, не делавшего секретом своё несогласие, лишь делает всё яснее. В батальоне появился набор неписаных «базовых правил». Для небольших расстрелов стрелки набирались либо из волонтёров, либо из тех, кто был известен как готовый убивать, либо из тех, кто просто не прилагал никаких усилий для сохранения безопасной дистанции в момент набора. На больших операциях те, кто не стал бы убивать, принуждению не подвергались. Даже офицерские попытки заставить кого-нибудь «не стреляющего» убивать могли встретить отказ, так как люди знали, что за офицерами стоит майор Трапп.</w:t>
      </w:r>
    </w:p>
    <w:p>
      <w:pPr>
        <w:pStyle w:val="Para 02"/>
      </w:pPr>
      <w:r>
        <w:t xml:space="preserve">Все, кроме самых открытых критиков </w:t>
        <w:t xml:space="preserve">вроде </w:t>
        <w:t>Бухман</w:t>
        <w:t>а</w:t>
        <w:t xml:space="preserve">, участвовали в кордонах и захватах, но и в таких случаях каждый мог делать сам свой выбор </w:t>
      </w:r>
      <w:r>
        <w:rPr>
          <w:rStyle w:val="Text0"/>
        </w:rPr>
        <w:t>—</w:t>
      </w:r>
      <w:r>
        <w:t xml:space="preserve"> стрелять или нет. Показания наполнены историями людей, кто отказался подчиняться существующему приказу во время чистки и не стрелял в младенцев и пытающихся сбежать или спрятаться. Даже признавшие своё участие в расстрельных командах утверждали, что не стреляли в замешательстве и не шли в рукопашную во время чисток гетто или патрулей, когда никто не мог пронаблюдать их действия.</w:t>
      </w:r>
    </w:p>
    <w:p>
      <w:pPr>
        <w:pStyle w:val="Para 02"/>
      </w:pPr>
      <w:r>
        <w:t xml:space="preserve">Если подчинение приказам из страха жуткого наказания — </w:t>
        <w:t xml:space="preserve">это </w:t>
        <w:t>невалидное объяснение, то что насчёт «подчинение авторитету» в более общем смысле, как его описывал Стенли Милгрэм — уважение просто как продукт социализации и эволюции, «глубоко укоренённая склонность в поведении» подчиняться указам тех, кто стоит выше в иерархии, даже до той поры, где приходится выполнять отвратительные действия в нарушение «общепризнанных» моральных норм.</w:t>
      </w:r>
      <w:hyperlink w:anchor="__529">
        <w:r>
          <w:rPr>
            <w:rStyle w:val="Text2"/>
          </w:rPr>
          <w:bookmarkStart w:id="612" w:name="529"/>
          <w:t>529</w:t>
          <w:bookmarkEnd w:id="612"/>
        </w:r>
      </w:hyperlink>
      <w:r>
        <w:rPr>
          <w:rStyle w:val="Text3"/>
        </w:rPr>
        <w:t xml:space="preserve"> </w:t>
      </w:r>
      <w:r>
        <w:t xml:space="preserve"> В серии его известных экспериментов Милгрэм тестировал способность индивидуума сопротивляться авторитету, который не поддерживался никакой угрозой </w:t>
        <w:t>или</w:t>
        <w:t xml:space="preserve"> принуждени</w:t>
        <w:t>ем</w:t>
        <w:t xml:space="preserve">. </w:t>
        <w:t>Ничего не подозревающие</w:t>
        <w:t xml:space="preserve"> волонтёры получали инструкции </w:t>
        <w:t>от «</w:t>
        <w:t>научн</w:t>
        <w:t>ого</w:t>
        <w:t xml:space="preserve"> авторитет</w:t>
        <w:t>а»</w:t>
        <w:t xml:space="preserve"> в якобы эксперименте по обучению, </w:t>
        <w:t>в котором</w:t>
        <w:t xml:space="preserve"> по актёрам-жертвам </w:t>
        <w:t xml:space="preserve"> </w:t>
        <w:t xml:space="preserve">наносились </w:t>
        <w:t xml:space="preserve">ненастоящие, </w:t>
        <w:t>но</w:t>
        <w:t xml:space="preserve"> вс</w:t>
        <w:t>ё</w:t>
        <w:t xml:space="preserve"> усиливающиеся </w:t>
        <w:t xml:space="preserve">электрические удары. </w:t>
        <w:t>Актёры</w:t>
        <w:t xml:space="preserve"> отвечали с аккуратно составленной «голосовой ответной реакцией» — растущей серией жалоб, криков о боли, просьб о помощи, и, наконец, роковой тишиной. В стандартном тесте с голосовой реакцией две трети испытуемых Милгрэма были «послушны», доходя </w:t>
        <w:t>вплоть</w:t>
        <w:t xml:space="preserve"> до момента причинения экстремальной боли.</w:t>
      </w:r>
      <w:hyperlink w:anchor="__530">
        <w:r>
          <w:rPr>
            <w:rStyle w:val="Text2"/>
          </w:rPr>
          <w:bookmarkStart w:id="613" w:name="530"/>
          <w:t>530</w:t>
          <w:bookmarkEnd w:id="613"/>
        </w:r>
      </w:hyperlink>
      <w:r>
        <w:rPr>
          <w:rStyle w:val="Text3"/>
        </w:rPr>
        <w:t xml:space="preserve"> </w:t>
      </w:r>
      <w:r>
        <w:t xml:space="preserve"> </w:t>
      </w:r>
    </w:p>
    <w:p>
      <w:pPr>
        <w:pStyle w:val="Para 02"/>
      </w:pPr>
      <w:r>
        <w:t xml:space="preserve">Вариации эксперимента производили значительно разные результаты. Если актёр-жертва был закрыт так, что испытуемый не мог видеть или слышать ответа, подчинение было значительно выше. Если субъект мог и видеть, и слышать результат своих действий, согласие на экстремальные меры падало до 40%. Если субъекту приходилось трогать жертву-актёра, заставляя того прикасаться к электрической панели бившей током, подчинение падало до 30%. Если приказ отдавал человек не являющийся авторитетом, подчинение было нулевым. Если наивный тестируемый выполнял дополнительную или второстепенную задачу и лично не вызывал удары током, подчинение было практически полным. Для сравнения, если субъект был частью группы актёров, которые играли тщательно проработанный план по отказу от дальнейшего подчинения авторитетной фигуре, большинство субъектов </w:t>
        <w:t>(</w:t>
        <w:t>90%</w:t>
        <w:t>)</w:t>
        <w:t xml:space="preserve"> присоединялись к этой искусственной группе и также выражали желание отказа. Если субъекту давали использовать электрошок на своё усмотрение, все, кроме нескольких садистов, использовали только минимальный ток. Находясь вне прямого надсмотра учёных, многие тестируемые «</w:t>
        <w:t>мухлевали»</w:t>
      </w:r>
      <w:hyperlink w:anchor="__531">
        <w:r>
          <w:rPr>
            <w:rStyle w:val="Text2"/>
          </w:rPr>
          <w:bookmarkStart w:id="614" w:name="531"/>
          <w:t>531</w:t>
          <w:bookmarkEnd w:id="614"/>
        </w:r>
      </w:hyperlink>
      <w:r>
        <w:rPr>
          <w:rStyle w:val="Text3"/>
        </w:rPr>
        <w:t xml:space="preserve"> </w:t>
      </w:r>
      <w:r>
        <w:t xml:space="preserve"> </w:t>
        <w:t>, используя меньшую мощность, чем им указывали, даже если не были способны открыто выступить против авторитета и покинуть эксперимент.</w:t>
      </w:r>
      <w:hyperlink w:anchor="__532">
        <w:r>
          <w:rPr>
            <w:rStyle w:val="Text2"/>
          </w:rPr>
          <w:bookmarkStart w:id="615" w:name="532"/>
          <w:t>532</w:t>
          <w:bookmarkEnd w:id="615"/>
        </w:r>
      </w:hyperlink>
      <w:r>
        <w:rPr>
          <w:rStyle w:val="Text3"/>
        </w:rPr>
        <w:t xml:space="preserve"> </w:t>
      </w:r>
      <w:r>
        <w:t xml:space="preserve"> </w:t>
      </w:r>
    </w:p>
    <w:p>
      <w:pPr>
        <w:pStyle w:val="Para 02"/>
      </w:pPr>
      <w:r>
        <w:t xml:space="preserve">Милгрэм привёл ряд факторов, которые следует учитывать для понимания неожиданно высокой степени убийственного подчинения не принуждающему авторитету. Эволюция благоприятствует выживанию людей, способных адаптироваться к иерархической структуре и организованной социальной активности. Социализация семьёй, школой и военной службой, а также целое множество </w:t>
        <w:t>вознаграждений</w:t>
        <w:t xml:space="preserve"> и наказаний в социуме, подкрепляют и интернализируют склонность к подчинению. Вроде бы добровольное участие в системе власти, «выглядящей» легитимной, создаёт сильное чувство долга. Те, кто внутри иерархии принимают перспективу авторитета или «оценку ситуации» (в этом случае, важный научный эксперимент, а не причинение боли или пытка). Идея «верность, долг, дисциплина» требует компетентного исполнения в глазах авторитета и становится моральным императивом, переписывающим любое соотнесение себя с жертвой. Нормальные индивидуумы входили в «состояние агента» выполнения чужой воли — </w:t>
        <w:t xml:space="preserve">в </w:t>
        <w:t>таком состоянии они больше не ощущали персональной ответственности за последствия своих действий, а только за то, как хорошо они их выполняли.</w:t>
      </w:r>
      <w:hyperlink w:anchor="__533">
        <w:r>
          <w:rPr>
            <w:rStyle w:val="Text2"/>
          </w:rPr>
          <w:bookmarkStart w:id="616" w:name="533"/>
          <w:t>533</w:t>
          <w:bookmarkEnd w:id="616"/>
        </w:r>
      </w:hyperlink>
      <w:r>
        <w:rPr>
          <w:rStyle w:val="Text3"/>
        </w:rPr>
        <w:t xml:space="preserve"> </w:t>
      </w:r>
      <w:r>
        <w:t xml:space="preserve"> </w:t>
      </w:r>
    </w:p>
    <w:p>
      <w:pPr>
        <w:pStyle w:val="Para 02"/>
      </w:pPr>
      <w:r>
        <w:t xml:space="preserve">Попав в такую ситуацию люди сталкивались с серией «связывающих факторов» или «цементирующих механизмов», которые делали неподчинение или отказ ещё более сложными, а инерция процесса затрудняла любые новые или противоположные инициативы. «Ситуационное обязательство» или этикет заставляли отказ выглядеть неподходящим, грубым или даже аморальным нарушением обязательств, а </w:t>
        <w:t>социальная</w:t>
        <w:t xml:space="preserve"> трево</w:t>
        <w:t>жность</w:t>
        <w:t xml:space="preserve"> из-за</w:t>
        <w:t xml:space="preserve"> возможно</w:t>
        <w:t>го</w:t>
        <w:t xml:space="preserve"> наказании за неподчинение служила дополнительным сдерживающим фактором.</w:t>
      </w:r>
      <w:hyperlink w:anchor="__534">
        <w:r>
          <w:rPr>
            <w:rStyle w:val="Text2"/>
          </w:rPr>
          <w:bookmarkStart w:id="617" w:name="534"/>
          <w:t>534</w:t>
          <w:bookmarkEnd w:id="617"/>
        </w:r>
      </w:hyperlink>
      <w:r>
        <w:rPr>
          <w:rStyle w:val="Text3"/>
        </w:rPr>
        <w:t xml:space="preserve"> </w:t>
      </w:r>
      <w:r>
        <w:t xml:space="preserve"> </w:t>
      </w:r>
    </w:p>
    <w:p>
      <w:pPr>
        <w:pStyle w:val="Para 02"/>
      </w:pPr>
      <w:r>
        <w:t>Милгрэм делал прямую отсылку на схожесть между поведением людей в его эксперименте и под нацистским режимом. Он заключил: «Людей легко привести к убийству».</w:t>
      </w:r>
      <w:hyperlink w:anchor="__535">
        <w:r>
          <w:rPr>
            <w:rStyle w:val="Text2"/>
          </w:rPr>
          <w:bookmarkStart w:id="618" w:name="535"/>
          <w:t>535</w:t>
          <w:bookmarkEnd w:id="618"/>
        </w:r>
      </w:hyperlink>
      <w:r>
        <w:rPr>
          <w:rStyle w:val="Text3"/>
        </w:rPr>
        <w:t xml:space="preserve"> </w:t>
      </w:r>
      <w:r>
        <w:t xml:space="preserve"> Однако Милгрэм знал о значительных различиях в этих двух ситуациях. Довольно открыто он признал, что субъекты его эксперимента были убеждены в том, что результатом их действий не станет необратимый физический вред. Испытуемые не находились под угрозой или принуждением. И наконец, актёры-жертвы не были объектом «упорного обесценивания» через систематическую индоктринацию субъектов. Убийцы в Третьем Рейхе же, наоборот, жили в полицейском государстве, где последствия неподчинения могли бы значительными, и где они были подвержены интенсивной индоктринации, но они так же знали, что они не просто причиняли боль, но и разрушали жизни людей.</w:t>
      </w:r>
      <w:hyperlink w:anchor="__536">
        <w:r>
          <w:rPr>
            <w:rStyle w:val="Text2"/>
          </w:rPr>
          <w:bookmarkStart w:id="619" w:name="536"/>
          <w:t>536</w:t>
          <w:bookmarkEnd w:id="619"/>
        </w:r>
      </w:hyperlink>
      <w:r>
        <w:rPr>
          <w:rStyle w:val="Text3"/>
        </w:rPr>
        <w:t xml:space="preserve"> </w:t>
      </w:r>
      <w:r>
        <w:t xml:space="preserve"> </w:t>
      </w:r>
    </w:p>
    <w:p>
      <w:pPr>
        <w:pStyle w:val="Para 02"/>
      </w:pPr>
      <w:r>
        <w:t xml:space="preserve">Была ли резня в Юзефуве каким-то радикальным видом эксперимента Милгрэма, что происходил в польском лесу с настоящими убийцами и </w:t>
        <w:t xml:space="preserve">настоящими </w:t>
        <w:t xml:space="preserve">жертвами, а не в лаборатории социальной психологии с наивными испытуемыми и актёрами-жертвами? Объясняются ли действия Полицейского Резервного Батальона 101 наблюдениями и заключениями Милгрэма? Есть сложности в объяснении случая в Юзефуве почтением к авторитету, так как никакие экспериментальные вариации Милгрэма нельзя сравнивать </w:t>
        <w:t>с</w:t>
        <w:t xml:space="preserve"> исторической ситуацией в Юзефуве, а соответствующие различия имеют слишком много переменных для заключения какого-либо научного вывода. Тем не менее, многие открытия Милгрэма находят наглядное подтверждение в поведении и показаниях людей Полицейского Резервного Батальона 101.</w:t>
      </w:r>
    </w:p>
    <w:p>
      <w:pPr>
        <w:pStyle w:val="Para 02"/>
      </w:pPr>
      <w:r>
        <w:t>В Юзефуве система власти, в которой находились люди, был</w:t>
        <w:t>а</w:t>
        <w:t xml:space="preserve"> довольно сложна, в отличии от лабораторной ситуации. Майор Трапп представлял </w:t>
        <w:t>собой</w:t>
        <w:t xml:space="preserve"> не сильную, а крайне слабую авторитетную фигуру. Он плача признал пугающую природу задачи на руках и пригласил старших полицейских запаса отказаться. Если Трапп был непосредственно слабой фигурой, он вс</w:t>
        <w:t>ё</w:t>
        <w:t xml:space="preserve"> же представлял отдалённую, но систему власти. Какую угодно, но не слабую. Приказы к резне пришли из самых верхов, </w:t>
        <w:t xml:space="preserve">как </w:t>
        <w:t>он заявил. Сам Трапп и батальон как отряд были связаны приказами этой отдалённой власти, даже если забота Траппа о своих людях освобождала отдельных полицейских.</w:t>
      </w:r>
    </w:p>
    <w:p>
      <w:pPr>
        <w:pStyle w:val="Para 02"/>
      </w:pPr>
      <w:r>
        <w:t>На что же отвечал</w:t>
        <w:t>и</w:t>
        <w:t xml:space="preserve"> большинство людей Траппа, когда решил</w:t>
        <w:t>и</w:t>
        <w:t xml:space="preserve"> не выходить вперёд? Был</w:t>
        <w:t>а ли это власть,</w:t>
        <w:t xml:space="preserve"> представленн</w:t>
        <w:t>ая</w:t>
        <w:t xml:space="preserve"> Траппом или его начальством? Реагировали ли они на Траппа не как на авторитетную фигуру, а как на личность — популярного и любимого офицера, которого они бы не оставили в беде? Что насчёт других факторов? Сам Милгрэм отмечал, что люди чаще объясняют своё поведение авторитетом, а не конформизмом, так как только первое избавляет их от личной ответственности. «Люди отрицают конформизм и </w:t>
      </w:r>
      <w:r>
        <w:rPr>
          <w:rStyle w:val="Text0"/>
        </w:rPr>
        <w:t>принимают</w:t>
      </w:r>
      <w:r>
        <w:t xml:space="preserve"> подчинение как оправдание своих действий».</w:t>
      </w:r>
      <w:hyperlink w:anchor="__537">
        <w:r>
          <w:rPr>
            <w:rStyle w:val="Text2"/>
          </w:rPr>
          <w:bookmarkStart w:id="620" w:name="537"/>
          <w:t>537</w:t>
          <w:bookmarkEnd w:id="620"/>
        </w:r>
      </w:hyperlink>
      <w:r>
        <w:rPr>
          <w:rStyle w:val="Text3"/>
        </w:rPr>
        <w:t xml:space="preserve"> </w:t>
      </w:r>
      <w:r>
        <w:t xml:space="preserve"> И вс</w:t>
        <w:t>ё</w:t>
        <w:t xml:space="preserve"> же многие полицейские признались, что приняли решение, основываясь на конформизме — как они будут выглядеть в глазах товарищей? </w:t>
      </w:r>
      <w:r>
        <w:rPr>
          <w:rStyle w:val="Text0"/>
        </w:rPr>
        <w:t>—</w:t>
      </w:r>
      <w:r>
        <w:t xml:space="preserve"> а не авторитете. По мнению Милгрэма, такое признание лишь верхушка айсберга, и должно быть этот фактор намного более важен, чем люди готовы были признать в показаниях.</w:t>
      </w:r>
    </w:p>
    <w:p>
      <w:pPr>
        <w:pStyle w:val="Para 02"/>
      </w:pPr>
      <w:r>
        <w:t>Милгрэм тестировал эффект социального давления, подстёгивая способность индивидуума сопротивляться авторитету. Когда сбегал актёр-</w:t>
        <w:t>коллаборант</w:t>
        <w:t xml:space="preserve">, </w:t>
        <w:t xml:space="preserve">то </w:t>
        <w:t>наивному субъекту было легче последовать. Милгрэм пробовал тестировать и обратное, то есть роль конформизма в раздувании рамок дозволенности в причинении боли.</w:t>
      </w:r>
      <w:hyperlink w:anchor="__538">
        <w:r>
          <w:rPr>
            <w:rStyle w:val="Text2"/>
          </w:rPr>
          <w:bookmarkStart w:id="621" w:name="538"/>
          <w:t>538</w:t>
          <w:bookmarkEnd w:id="621"/>
        </w:r>
      </w:hyperlink>
      <w:r>
        <w:rPr>
          <w:rStyle w:val="Text3"/>
        </w:rPr>
        <w:t xml:space="preserve"> </w:t>
      </w:r>
      <w:r>
        <w:t xml:space="preserve"> Три субъекта </w:t>
      </w:r>
      <w:r>
        <w:rPr>
          <w:rStyle w:val="Text0"/>
        </w:rPr>
        <w:t>—</w:t>
      </w:r>
      <w:r>
        <w:t xml:space="preserve"> два </w:t>
        <w:t>коллаборанта</w:t>
        <w:t xml:space="preserve"> и один наивный — получили инструкции учёным/авторитетом на нанесение боли минимального уровня любому на их выбор. Когда наивный субъект действовал один и имел возможность использовать электрошок на своё усмотрение, почти всегда он использовал минимальный уровень. Однако когда два коллабората, почти всегда действующие первыми, предлагали шаг за шагом повышать мощность электрошока, наивные субъекты начинали действовать под сильным влиянием. Хотя каждый отдельный случай весьма отличался, средний результат был посередине между «не увеличиваем мощность» и «увеличиваем шаг за шагом». Этого теста </w:t>
        <w:t xml:space="preserve">явно </w:t>
        <w:t xml:space="preserve">недостаточно для определения социального давления как компенсатора недостатков слабого авторитета. Плача не было, но был любимый учёный, приглашающий субъект уйти от пульта, пока остальные — те, с кем субъект имел ощущение товарищества и перед кеми, таким образом, мог быть склонен показать себя мужественным и хладнокровным — останутся и продолжат причинять болезненные удары током. </w:t>
        <w:t>В действительности,</w:t>
        <w:t xml:space="preserve"> почти невозможно составить эксперимент для теста сценария, в котором наивный субъект будет иметь настоящее чувство товарищества по отношению к актёрам-</w:t>
        <w:t>коллаборантам</w:t>
        <w:t>. Тем не менее, взаимное подкрепление авторитета и конформизма, судя по всему, Милгрэмом ясно продемонстрировано.</w:t>
      </w:r>
    </w:p>
    <w:p>
      <w:pPr>
        <w:pStyle w:val="Para 02"/>
      </w:pPr>
      <w:r>
        <w:t>Если между многоликой природой власти в Юзефуве и ключевой ролью конформизма среди полицейских не</w:t>
        <w:t>льзя</w:t>
        <w:t xml:space="preserve"> провести </w:t>
        <w:t xml:space="preserve">чёткую </w:t>
        <w:t>параллель к эксперимент</w:t>
        <w:t>ам</w:t>
        <w:t xml:space="preserve"> Милгрэма, они тем не менее предоставляют неплохую поддержку его выводам, а некоторые наблюдения явно подтверждены. Непосредственная близость к ужасам убийства значительно увеличивала количество людей, которые отказывались подчиняться. С другой стороны, вместе с разделением труда и перенесением самого процесса убийства в лагеря смерти, люди едва ли чувствовали ответственность за свои действия. Как и в эксперименте Милгрэма без прямого надсмотра, многие полицейские отказывались выполнять приказ без прямого надзора. Они смягчали своё поведение, когда могли сделать это без риска для себя, но не могли открыто отказаться от участия в деятельности батальона.</w:t>
      </w:r>
    </w:p>
    <w:p>
      <w:pPr>
        <w:pStyle w:val="Para 02"/>
      </w:pPr>
      <w:r>
        <w:t xml:space="preserve">Один фактор, стоит признать, не был фокусом эксперимента Милгрэма — индоктринация, </w:t>
        <w:t>а д</w:t>
        <w:t>ругой — конформизм, был затронут лишь частично, оба требуют дальнейшего расследования. Милгрэм предусмотрел «определяющую ситуацию» или идеологию, котор</w:t>
        <w:t>ая</w:t>
        <w:t xml:space="preserve"> давал</w:t>
        <w:t xml:space="preserve">а </w:t>
        <w:t>слаженность и смысл социальному взаимодействию — прелюди</w:t>
        <w:t xml:space="preserve">и </w:t>
        <w:t xml:space="preserve">к уступке </w:t>
        <w:t>власти</w:t>
        <w:t xml:space="preserve">. Контроль манеры, в которой люди интерпретируют мир — один из путей контроля поведения, утверждает Милгрэм. Если они принимают идеологию власти, </w:t>
        <w:t xml:space="preserve">то </w:t>
        <w:t>их последующие действия добровольны и логичны. Отсюда и «идеологическое оправдан</w:t>
        <w:t>ие</w:t>
        <w:t xml:space="preserve"> — ключ к получению добровольного подчинения, потому как позволяет человеку видеть своё поведение как служение на благо желаемой цели».</w:t>
      </w:r>
      <w:hyperlink w:anchor="__539">
        <w:r>
          <w:rPr>
            <w:rStyle w:val="Text2"/>
          </w:rPr>
          <w:bookmarkStart w:id="622" w:name="539"/>
          <w:t>539</w:t>
          <w:bookmarkEnd w:id="622"/>
        </w:r>
      </w:hyperlink>
      <w:r>
        <w:rPr>
          <w:rStyle w:val="Text3"/>
        </w:rPr>
        <w:t xml:space="preserve"> </w:t>
      </w:r>
      <w:r>
        <w:t xml:space="preserve"> </w:t>
      </w:r>
    </w:p>
    <w:p>
      <w:pPr>
        <w:pStyle w:val="Para 02"/>
      </w:pPr>
      <w:r>
        <w:t>В эксперименте Милгрэма, «всеохватывающее идеологическое объяснение» присутствовало в форме молчаливой и неоспариваемой веры в добро науки и её участию в прогрессе. Но не было систематических попыток «обесценить» актёра-жертву или насадить субъекту какую-либо идеологию. Милгрэм выдвинул гипотезу, что разрушительное поведение людей в нацист</w:t>
        <w:t>с</w:t>
        <w:t xml:space="preserve">кой Германии, </w:t>
        <w:t>при</w:t>
        <w:t xml:space="preserve"> намного меньшим надсмотре (чем в эксперименте), было последствием интернализации власти, достигнутой «через относительно </w:t>
        <w:t>длительный</w:t>
        <w:t xml:space="preserve"> процесс индоктринации, которая невозможна за лабораторный час».</w:t>
      </w:r>
      <w:hyperlink w:anchor="__540">
        <w:r>
          <w:rPr>
            <w:rStyle w:val="Text2"/>
          </w:rPr>
          <w:bookmarkStart w:id="623" w:name="540"/>
          <w:t>540</w:t>
          <w:bookmarkEnd w:id="623"/>
        </w:r>
      </w:hyperlink>
      <w:r>
        <w:rPr>
          <w:rStyle w:val="Text3"/>
        </w:rPr>
        <w:t xml:space="preserve"> </w:t>
      </w:r>
      <w:r>
        <w:t xml:space="preserve"> </w:t>
      </w:r>
    </w:p>
    <w:p>
      <w:pPr>
        <w:pStyle w:val="Para 02"/>
      </w:pPr>
      <w:r>
        <w:t>До какой степени тогда сознательное насаждение нацист</w:t>
        <w:t>с</w:t>
        <w:t xml:space="preserve">кой доктрины сформировало поведение членов Полицейского Резервного Батальона 101? Подверглись ли они такой бомбардировке умной и коварной пропаганды, что они потеряли способность </w:t>
        <w:t xml:space="preserve">независимо </w:t>
        <w:t>мыслить и нести ответственность за себя? Были ли обесценивание евреев и призывы к их убийству центральными идеями этой индоктринации?</w:t>
      </w:r>
    </w:p>
    <w:p>
      <w:pPr>
        <w:pStyle w:val="Para 02"/>
      </w:pPr>
      <w:r>
        <w:t xml:space="preserve">Популярное название для интенсивной индоктринации и психологической манипуляции, появившееся из опыта некоторых захваченных солдат в Корейской войне </w:t>
      </w:r>
      <w:r>
        <w:rPr>
          <w:rStyle w:val="Text0"/>
        </w:rPr>
        <w:t>—</w:t>
      </w:r>
      <w:r>
        <w:t xml:space="preserve"> это промывка мозгов. Были ли эти убийцы в каком-то смысле с «промытыми мозгами»?</w:t>
      </w:r>
    </w:p>
    <w:p>
      <w:pPr>
        <w:pStyle w:val="Para 02"/>
      </w:pPr>
      <w:r>
        <w:t>Несомненно, Гиммлер задал высокую планку идеологической индоктринации для членов СС и полиции. Они должны были быть не просто эффективными солдатами и полицейскими, но и идеологически мотивированными во</w:t>
        <w:t>и</w:t>
        <w:t xml:space="preserve">нами </w:t>
        <w:t>в крестовом походе</w:t>
        <w:t xml:space="preserve"> против политических и расовых врагов Третьего Рейха.</w:t>
      </w:r>
      <w:hyperlink w:anchor="__541">
        <w:r>
          <w:rPr>
            <w:rStyle w:val="Text2"/>
          </w:rPr>
          <w:bookmarkStart w:id="624" w:name="541"/>
          <w:t>541</w:t>
          <w:bookmarkEnd w:id="624"/>
        </w:r>
      </w:hyperlink>
      <w:r>
        <w:rPr>
          <w:rStyle w:val="Text3"/>
        </w:rPr>
        <w:t xml:space="preserve"> </w:t>
      </w:r>
      <w:r>
        <w:t xml:space="preserve"> Усилия по индоктринации приняли не только элитные организации СС, но и Полиция Порядка, распространяя её даже на самые низкие чины полицейских запаса, хоть </w:t>
        <w:t>резервисты</w:t>
        <w:t xml:space="preserve"> едва ли подходили под идею Гиммлера о нацист</w:t>
        <w:t>с</w:t>
        <w:t>кой расовой аристократии. К примеру, членство в СС требовало доказательство родословной, не запятнанной кровью евреев в пяти поколениях. В сравнении, даже «Мишлинги первой степени»</w:t>
      </w:r>
      <w:hyperlink w:anchor="__542">
        <w:r>
          <w:rPr>
            <w:rStyle w:val="Text2"/>
          </w:rPr>
          <w:bookmarkStart w:id="625" w:name="542"/>
          <w:t>542</w:t>
          <w:bookmarkEnd w:id="625"/>
        </w:r>
      </w:hyperlink>
      <w:r>
        <w:rPr>
          <w:rStyle w:val="Text3"/>
        </w:rPr>
        <w:t xml:space="preserve"> </w:t>
      </w:r>
      <w:r>
        <w:t xml:space="preserve"> и их супруги не попадали под запрет службы в полиции запаса до октября 1942 </w:t>
        <w:t>г</w:t>
        <w:t>. «Мишлинги второй степени»</w:t>
      </w:r>
      <w:hyperlink w:anchor="__543">
        <w:r>
          <w:rPr>
            <w:rStyle w:val="Text2"/>
          </w:rPr>
          <w:bookmarkStart w:id="626" w:name="543"/>
          <w:t>543</w:t>
          <w:bookmarkEnd w:id="626"/>
        </w:r>
      </w:hyperlink>
      <w:r>
        <w:rPr>
          <w:rStyle w:val="Text3"/>
        </w:rPr>
        <w:t xml:space="preserve"> </w:t>
      </w:r>
      <w:r>
        <w:t xml:space="preserve"> и их супруги не попадали до апреля 1943 </w:t>
        <w:t>г</w:t>
        <w:t>.</w:t>
      </w:r>
      <w:hyperlink w:anchor="__544">
        <w:r>
          <w:rPr>
            <w:rStyle w:val="Text2"/>
          </w:rPr>
          <w:bookmarkStart w:id="627" w:name="544"/>
          <w:t>544</w:t>
          <w:bookmarkEnd w:id="627"/>
        </w:r>
      </w:hyperlink>
      <w:r>
        <w:rPr>
          <w:rStyle w:val="Text3"/>
        </w:rPr>
        <w:t xml:space="preserve"> </w:t>
      </w:r>
      <w:r>
        <w:t xml:space="preserve"> </w:t>
      </w:r>
    </w:p>
    <w:p>
      <w:pPr>
        <w:pStyle w:val="Para 02"/>
      </w:pPr>
      <w:r>
        <w:t xml:space="preserve">23 января 1940 </w:t>
        <w:t>года</w:t>
        <w:t xml:space="preserve"> Главное Управление Полиции Порядка в методических рекомендациях постановило, что в дополнение к физической </w:t>
        <w:t>тренировке</w:t>
        <w:t xml:space="preserve">, </w:t>
        <w:t>оружейной подготовке</w:t>
        <w:t xml:space="preserve"> и полицейским </w:t>
        <w:t>техникам</w:t>
        <w:t>, все батальоны Полиции Порядка должны быть укреплены характером и идеологией.</w:t>
      </w:r>
      <w:hyperlink w:anchor="__545">
        <w:r>
          <w:rPr>
            <w:rStyle w:val="Text2"/>
          </w:rPr>
          <w:bookmarkStart w:id="628" w:name="545"/>
          <w:t>545</w:t>
          <w:bookmarkEnd w:id="628"/>
        </w:r>
      </w:hyperlink>
      <w:r>
        <w:rPr>
          <w:rStyle w:val="Text3"/>
        </w:rPr>
        <w:t xml:space="preserve"> </w:t>
      </w:r>
      <w:r>
        <w:t xml:space="preserve"> Базовая подготовка включала одномесячный раздел «идеологического образования». Тема первой недели </w:t>
        <w:t>являлась</w:t>
        <w:t xml:space="preserve"> «расовая основа нашего мировоззрения», </w:t>
        <w:t xml:space="preserve">а </w:t>
        <w:t>второй недели — «поддержание чистоты крови».</w:t>
      </w:r>
      <w:hyperlink w:anchor="__546">
        <w:r>
          <w:rPr>
            <w:rStyle w:val="Text2"/>
          </w:rPr>
          <w:bookmarkStart w:id="629" w:name="546"/>
          <w:t>546</w:t>
          <w:bookmarkEnd w:id="629"/>
        </w:r>
      </w:hyperlink>
      <w:r>
        <w:rPr>
          <w:rStyle w:val="Text3"/>
        </w:rPr>
        <w:t xml:space="preserve"> </w:t>
      </w:r>
      <w:r>
        <w:t xml:space="preserve"> Помимо базовой подготовки полицейские батальоны — и активные, и запаса продолжали получать военную и идеологическую тренировки от своих офицеров.</w:t>
      </w:r>
      <w:hyperlink w:anchor="__547">
        <w:r>
          <w:rPr>
            <w:rStyle w:val="Text2"/>
          </w:rPr>
          <w:bookmarkStart w:id="630" w:name="547"/>
          <w:t>547</w:t>
          <w:bookmarkEnd w:id="630"/>
        </w:r>
      </w:hyperlink>
      <w:r>
        <w:rPr>
          <w:rStyle w:val="Text3"/>
        </w:rPr>
        <w:t xml:space="preserve"> </w:t>
      </w:r>
      <w:r>
        <w:t xml:space="preserve"> От </w:t>
        <w:t xml:space="preserve">последних </w:t>
        <w:t xml:space="preserve">требовалось </w:t>
        <w:t>посещать</w:t>
        <w:t xml:space="preserve"> недельный симпозиум, включавший один час идеологических инструкций для подчинённых.</w:t>
      </w:r>
      <w:hyperlink w:anchor="__548">
        <w:r>
          <w:rPr>
            <w:rStyle w:val="Text2"/>
          </w:rPr>
          <w:bookmarkStart w:id="631" w:name="548"/>
          <w:t>548</w:t>
          <w:bookmarkEnd w:id="631"/>
        </w:r>
      </w:hyperlink>
      <w:r>
        <w:rPr>
          <w:rStyle w:val="Text3"/>
        </w:rPr>
        <w:t xml:space="preserve"> </w:t>
      </w:r>
      <w:r>
        <w:t xml:space="preserve"> Учебный план в пяти частях в январе 1941-</w:t>
        <w:t>го</w:t>
        <w:t xml:space="preserve"> включал </w:t>
        <w:t xml:space="preserve">такие </w:t>
        <w:t xml:space="preserve">подсекции </w:t>
        <w:t xml:space="preserve">как </w:t>
        <w:t>«Понимание расы как базиса нашего взгляда на мир», «Еврейский Вопрос в Германии» и «Поддержание чистоты немецкой крови».</w:t>
      </w:r>
      <w:hyperlink w:anchor="__549">
        <w:r>
          <w:rPr>
            <w:rStyle w:val="Text2"/>
          </w:rPr>
          <w:bookmarkStart w:id="632" w:name="549"/>
          <w:t>549</w:t>
          <w:bookmarkEnd w:id="632"/>
        </w:r>
      </w:hyperlink>
      <w:r>
        <w:rPr>
          <w:rStyle w:val="Text3"/>
        </w:rPr>
        <w:t xml:space="preserve"> </w:t>
      </w:r>
      <w:r>
        <w:t xml:space="preserve"> </w:t>
      </w:r>
    </w:p>
    <w:p>
      <w:pPr>
        <w:pStyle w:val="Para 02"/>
      </w:pPr>
      <w:r>
        <w:t xml:space="preserve">Подробные инструкции в том же духе и с той же частотой раздавали во время всей идеологической </w:t>
        <w:t>подготовки</w:t>
        <w:t>, в котор</w:t>
        <w:t>о</w:t>
        <w:t>й мировоззрение национал-социализма должно было быть «выровнено». Каждый день, или хотя бы через день, людей следовало информировать о текущих событиях и их правильно</w:t>
        <w:t>м</w:t>
        <w:t xml:space="preserve"> значени</w:t>
        <w:t>и</w:t>
        <w:t xml:space="preserve"> в идеологической перспективе. Каждую неделю офицеры должны были собирать тридцати или сорока минутную сессию, в которой давали короткую лекцию или читали назидательные выдержки из предложенных книг или предоставленных СС </w:t>
        <w:t>брошюр</w:t>
        <w:t>. Офицерам следовало выбирать темы — верность, товарищество, готовность к бою — через которые достигались цели национал-социалистического обучения. Ежемесячные сессии посвящались наиболее важным темам того времени и могли быть устроены офицерами и образовательным штатом СС и партии.</w:t>
      </w:r>
      <w:hyperlink w:anchor="__550">
        <w:r>
          <w:rPr>
            <w:rStyle w:val="Text2"/>
          </w:rPr>
          <w:bookmarkStart w:id="633" w:name="550"/>
          <w:t>550</w:t>
          <w:bookmarkEnd w:id="633"/>
        </w:r>
      </w:hyperlink>
      <w:r>
        <w:rPr>
          <w:rStyle w:val="Text3"/>
        </w:rPr>
        <w:t xml:space="preserve"> </w:t>
      </w:r>
      <w:r>
        <w:t xml:space="preserve"> </w:t>
      </w:r>
    </w:p>
    <w:p>
      <w:pPr>
        <w:pStyle w:val="Para 02"/>
      </w:pPr>
      <w:r>
        <w:t>Очевидно, что офицеры Полицейского Резервного Батальона 101 подчинялись директивам идеологического образования. В декабре 1942-</w:t>
        <w:t>го</w:t>
        <w:t xml:space="preserve"> капитаны Хоффман, Волауф и лейтенант Гн</w:t>
        <w:t>а</w:t>
        <w:t>д</w:t>
        <w:t>е</w:t>
        <w:t xml:space="preserve"> получили признание за свои заслуги «в области идеологической подготовки и заботе о солдатах». Каждого наградил книгой их командующий офицер.</w:t>
      </w:r>
      <w:hyperlink w:anchor="__551">
        <w:r>
          <w:rPr>
            <w:rStyle w:val="Text2"/>
          </w:rPr>
          <w:bookmarkStart w:id="634" w:name="551"/>
          <w:t>551</w:t>
          <w:bookmarkEnd w:id="634"/>
        </w:r>
      </w:hyperlink>
      <w:r>
        <w:rPr>
          <w:rStyle w:val="Text3"/>
        </w:rPr>
        <w:t xml:space="preserve"> </w:t>
      </w:r>
      <w:r>
        <w:t xml:space="preserve"> Однако </w:t>
        <w:t>о</w:t>
        <w:t xml:space="preserve">тложив несомненные намерения Гиммлера и взглянув на сам материал, использовавшийся для индоктринации Полицейского Резервного Батальона 101, появляются сильные сомнения </w:t>
        <w:t>в</w:t>
        <w:t xml:space="preserve"> адекватности индоктринации СС как объяснения трансформации людей в убийц.</w:t>
      </w:r>
    </w:p>
    <w:p>
      <w:pPr>
        <w:pStyle w:val="Para 02"/>
      </w:pPr>
      <w:r>
        <w:t xml:space="preserve">В Федеральном Архиве Германии </w:t>
        <w:t>[</w:t>
        <w:t>Bundersarchiv</w:t>
        <w:t>]</w:t>
        <w:t xml:space="preserve"> в Кобленце содержится два вида образовательных материалов для Полиции Порядка. Первая и вторая серии циркуляров, выпущенных департаментом для «идеологического образования» Полиции Порядка между 1940 и 1944 </w:t>
        <w:t>гг</w:t>
        <w:t>.</w:t>
      </w:r>
      <w:hyperlink w:anchor="__552">
        <w:r>
          <w:rPr>
            <w:rStyle w:val="Text2"/>
          </w:rPr>
          <w:bookmarkStart w:id="635" w:name="552"/>
          <w:t>552</w:t>
          <w:bookmarkEnd w:id="635"/>
        </w:r>
      </w:hyperlink>
      <w:r>
        <w:rPr>
          <w:rStyle w:val="Text3"/>
        </w:rPr>
        <w:t xml:space="preserve"> </w:t>
      </w:r>
      <w:r>
        <w:t xml:space="preserve"> Несколько главных артиклей были написаны такими нацистскими светилами и идеологическими пропагандистами как Джозеф Геббельс, Альфред Розенберг (министр Гитлера на оккупированной </w:t>
        <w:t xml:space="preserve">территории </w:t>
        <w:t>Республик Советского Союза</w:t>
        <w:t>) и Уолтер Гросс (глава офиса партии по расовой политике). Общая расистская перспектива конечно превалировала. Тем не менее, суммарно где-то в двухстах выпусках, относительно мало места посвящалось конкретно антисемитизму и Еврейскому Вопросу. Один выпуск — «Еврейство и Криминальность» — особенно неуклюжий даже по невысоким стандартам серии — заключил, что якобы еврейские характеристики, такие как «несдержанность», «тщеславие», «любопытство», «уход от реальности», «бездушность», «глупость», «зловредность» и «жестокость» являлись точными характеристиками «идеального преступника».</w:t>
      </w:r>
      <w:hyperlink w:anchor="__553">
        <w:r>
          <w:rPr>
            <w:rStyle w:val="Text2"/>
          </w:rPr>
          <w:bookmarkStart w:id="636" w:name="553"/>
          <w:t>553</w:t>
          <w:bookmarkEnd w:id="636"/>
        </w:r>
      </w:hyperlink>
      <w:r>
        <w:rPr>
          <w:rStyle w:val="Text3"/>
        </w:rPr>
        <w:t xml:space="preserve"> </w:t>
      </w:r>
      <w:r>
        <w:t xml:space="preserve"> Такая проза загоняла читателя в сон, но точно не превращала в убийцу.</w:t>
      </w:r>
    </w:p>
    <w:p>
      <w:pPr>
        <w:pStyle w:val="Para 02"/>
      </w:pPr>
      <w:r>
        <w:t xml:space="preserve">Единственный артикль, полностью посвящённый Еврейскому Вопросу, сделан на обратной стороне страницы в декабре 1941 </w:t>
        <w:t>года</w:t>
        <w:t xml:space="preserve">. Озаглавлен «Цель этой войны: Европа свободная от евреев». Там зловеще описано «слово Фюрера, сейчас ведётся начатая евреями новая война, но она не приведёт к коллапсу антисемитской Германии, но наоборот, к концу евреев». «Окончательное решение Еврейского вопроса, </w:t>
        <w:t xml:space="preserve">то есть </w:t>
        <w:t xml:space="preserve">не только лишение их власти, но удаление этого паразитического элемента из семьи европейских людей» было неизбежно. Что казалось невозможным два года назад, теперь шаг за шагом становилось реальностью: к концу войны будет существовать свободная от евреев </w:t>
        <w:t>Е</w:t>
        <w:t>вропа.</w:t>
      </w:r>
      <w:hyperlink w:anchor="__554">
        <w:r>
          <w:rPr>
            <w:rStyle w:val="Text2"/>
          </w:rPr>
          <w:bookmarkStart w:id="637" w:name="554"/>
          <w:t>554</w:t>
          <w:bookmarkEnd w:id="637"/>
        </w:r>
      </w:hyperlink>
      <w:r>
        <w:rPr>
          <w:rStyle w:val="Text3"/>
        </w:rPr>
        <w:t xml:space="preserve"> </w:t>
      </w:r>
      <w:r>
        <w:t xml:space="preserve"> </w:t>
      </w:r>
    </w:p>
    <w:p>
      <w:pPr>
        <w:pStyle w:val="Para 02"/>
      </w:pPr>
      <w:r>
        <w:t xml:space="preserve">Упоминание пророчества Гитлера и взывание к его авторитету в сочетании с конечной целью «свободной от евреев Европы» было, конечно, характерно для индоктринационных материалов СС. Такое же послание распространялось и среди широкой публики. Как мало эти материалы были нацелены на «промывание мозгов» полиции запаса и превращении их в массовых убийц, тем не менее, можно увидеть из единственного из двух серий артикля о полиции запаса от 20 сентября 1942 </w:t>
        <w:t>года</w:t>
        <w:t xml:space="preserve">. Закаливая их далеко не на то, что бы быть сверхлюдьми для выполнения задачи, артикль предполагал, что полиция запаса не занимается ничем таким важным. Для защиты их морали, предположительно от скуки, «стариков резерва» убеждали, что неважно, что их работа выглядит невинной, </w:t>
        <w:t>ведь</w:t>
        <w:t xml:space="preserve"> в тотальной войне «важен каждый».</w:t>
      </w:r>
      <w:hyperlink w:anchor="__555">
        <w:r>
          <w:rPr>
            <w:rStyle w:val="Text2"/>
          </w:rPr>
          <w:bookmarkStart w:id="638" w:name="555"/>
          <w:t>555</w:t>
          <w:bookmarkEnd w:id="638"/>
        </w:r>
      </w:hyperlink>
      <w:r>
        <w:rPr>
          <w:rStyle w:val="Text3"/>
        </w:rPr>
        <w:t xml:space="preserve"> </w:t>
      </w:r>
      <w:r>
        <w:t xml:space="preserve"> К этому времени «старики запаса» Полицейского Резервного Батальона 101 уже провели расстрелы в Юзефуве и Ломазы, а так же первичные депортации из Парчева и Мендзыжеца. Они стояли на пороге их пика </w:t>
        <w:t xml:space="preserve">деятельности </w:t>
        <w:t>— шестинедельного кровавого нападения на гетто Люблина. Маловероятно, что кто-то из них находил артикль подходящим, а тем более вдохновляющим.</w:t>
      </w:r>
    </w:p>
    <w:p>
      <w:pPr>
        <w:pStyle w:val="Para 02"/>
      </w:pPr>
      <w:r>
        <w:t xml:space="preserve">Серия специальных </w:t>
        <w:t>брошюр</w:t>
        <w:t xml:space="preserve"> (от четырёх до шести за год) «для идеологического образования Полиции Порядка» составляла вторую группу индоктринационных материалов. В 1941 </w:t>
        <w:t xml:space="preserve">году </w:t>
        <w:t>один выпуск покрывал темы «Кровное сообщество немецких народов» и «Великая Германская Империя».</w:t>
      </w:r>
      <w:hyperlink w:anchor="__556">
        <w:r>
          <w:rPr>
            <w:rStyle w:val="Text2"/>
          </w:rPr>
          <w:bookmarkStart w:id="639" w:name="556"/>
          <w:t>556</w:t>
          <w:bookmarkEnd w:id="639"/>
        </w:r>
      </w:hyperlink>
      <w:r>
        <w:rPr>
          <w:rStyle w:val="Text3"/>
        </w:rPr>
        <w:t xml:space="preserve"> </w:t>
      </w:r>
      <w:r>
        <w:t xml:space="preserve"> В 1942-</w:t>
        <w:t>м</w:t>
        <w:t xml:space="preserve"> издание</w:t>
        <w:t xml:space="preserve"> был</w:t>
        <w:t>о</w:t>
        <w:t xml:space="preserve"> озаглавле</w:t>
        <w:t>но</w:t>
        <w:t xml:space="preserve"> «Германия реорганизует Европу», и „специальный выпуск“ называвшийся «Человек СС и Вопрос Крови».</w:t>
      </w:r>
      <w:hyperlink w:anchor="__557">
        <w:r>
          <w:rPr>
            <w:rStyle w:val="Text2"/>
          </w:rPr>
          <w:bookmarkStart w:id="640" w:name="557"/>
          <w:t>557</w:t>
          <w:bookmarkEnd w:id="640"/>
        </w:r>
      </w:hyperlink>
      <w:r>
        <w:rPr>
          <w:rStyle w:val="Text3"/>
        </w:rPr>
        <w:t xml:space="preserve"> </w:t>
      </w:r>
      <w:r>
        <w:t xml:space="preserve"> Большой объединённый выпуск в 1943-</w:t>
        <w:t>м</w:t>
        <w:t xml:space="preserve"> посвящался «Политике Расы»</w:t>
      </w:r>
      <w:hyperlink w:anchor="__558">
        <w:r>
          <w:rPr>
            <w:rStyle w:val="Text2"/>
          </w:rPr>
          <w:bookmarkStart w:id="641" w:name="558"/>
          <w:t>558</w:t>
          <w:bookmarkEnd w:id="641"/>
        </w:r>
      </w:hyperlink>
      <w:r>
        <w:rPr>
          <w:rStyle w:val="Text3"/>
        </w:rPr>
        <w:t xml:space="preserve"> </w:t>
      </w:r>
      <w:r>
        <w:t xml:space="preserve"> </w:t>
      </w:r>
      <w:r>
        <w:rPr>
          <w:rStyle w:val="Text0"/>
        </w:rPr>
        <w:t xml:space="preserve"> —</w:t>
      </w:r>
      <w:r>
        <w:t xml:space="preserve"> он входил в издаваемые с 1942-</w:t>
        <w:t>го</w:t>
        <w:t xml:space="preserve"> специальные объединённые издания о вопросе крови. С той поры к радикальной доктрине и Еврейскому Вопросу подходили очень серьёзно и систематически. Немецкие «люди» </w:t>
        <w:t>[</w:t>
        <w:t>Volk</w:t>
        <w:t>]</w:t>
        <w:t xml:space="preserve"> или «Сообщество крови» </w:t>
        <w:t>[</w:t>
        <w:t>Blutsgemeinschaft</w:t>
        <w:t>]</w:t>
        <w:t xml:space="preserve"> состояли из шести близкородственных рас Европы, в большинстве (50-60 процентов) из нордической расы. Сформированные суровым северном климатов, безжалостно удалявшим слабые элементы, нордическая раса превосходила все остальные в мире, как можно было увидеть из немецких культурных и военных достижений. Немецкие </w:t>
      </w:r>
      <w:r>
        <w:rPr>
          <w:rStyle w:val="Text0"/>
        </w:rPr>
        <w:t>Volk</w:t>
      </w:r>
      <w:r>
        <w:t xml:space="preserve"> стояли перед лицом постоянной борьбы за выживание, предопределённой природой </w:t>
        <w:t>и</w:t>
        <w:t xml:space="preserve"> согласно законам которой «все слабые и низшие уничтожались», и «только сильные и могучие продолжали размножаться». Для победы в этой борьбе, </w:t>
      </w:r>
      <w:r>
        <w:rPr>
          <w:rStyle w:val="Text0"/>
        </w:rPr>
        <w:t>Volk</w:t>
      </w:r>
      <w:r>
        <w:t xml:space="preserve"> должны были сделать две вещи: завоевать место для дальнейшего роста населения и сохранить чистоту немецкой крови. Судьбу людей, не расширявших территории и не сохранявших расовую чистоту, можно увидеть на примере Спарты или Рима.</w:t>
      </w:r>
    </w:p>
    <w:p>
      <w:pPr>
        <w:pStyle w:val="Para 02"/>
      </w:pPr>
      <w:r>
        <w:t>Главная угроза здоровому знанию о необходимости территориальной экспансии и расовой чистоты приходила из доктрин, распространявших неотъемлемое равенство всего человечества. Первой такой доктриной было Христианство, что распространил еврей Пол (Апостол Павел). Второй доктриной был либерализм, возникший из французской революции — «восстание расово низших» — устроенной еврейским масонством. Третьей и величайшей угрозой был Марксизм/Большевизм, за авторством еврея Карла Маркса.</w:t>
      </w:r>
    </w:p>
    <w:p>
      <w:pPr>
        <w:pStyle w:val="Para 02"/>
      </w:pPr>
      <w:r>
        <w:t xml:space="preserve">«Евреи — расовая смесь, которая в отличии от других народов и рас, сохраняет свои характеристики в первую очередь за счёт паразитизма». Не обращая внимания на последовательность или логику, </w:t>
        <w:t>брошюра</w:t>
        <w:t xml:space="preserve"> доказывал</w:t>
        <w:t>а</w:t>
        <w:t>, что евреи сохраняли свою расовую чистоту, ставя под угрозу существование расы носителя при помощи смешения рас. Между расово сознательными людьми и евреями сосуществование невозможно, лишь борьба, которая будет выиграна, когда «последний еврей покинет нашу часть земли». Текущая война была этой борьбой, она определит судьбу Европы. «С уничтожением евреев» последняя угроза коллапса Европы будет устранена.</w:t>
      </w:r>
    </w:p>
    <w:p>
      <w:pPr>
        <w:pStyle w:val="Para 02"/>
      </w:pPr>
      <w:r>
        <w:t xml:space="preserve">Для какой цели писались эти </w:t>
        <w:t>брошюры</w:t>
        <w:t xml:space="preserve">? К каким заключениям этот обзор базовых принципов национал-социалистической расы приводил читателя? Ни «Вопрос крови», ни «Политика расы» не заканчивались призывами к уничтожению расового врага — </w:t>
        <w:t>в</w:t>
        <w:t>место этого они увещевали рожать больше немцев. Расовая битва была частью битвы демографической, определяемой законами «плодовитости» и «отбора». Война была «контротбором в чистой форме», так как лучшие не только гибли в битвах, но и умирали до того как родили больше детей. „Победа оружием“ требовала „победы детьми“. Так как СС представлял собой выборку преимущественно нордических элементов среди немецкого народа, члены СС имели обязательство рано жениться на молодых, расово чистых и плодовитых девушках и иметь много детей.</w:t>
      </w:r>
    </w:p>
    <w:p>
      <w:pPr>
        <w:pStyle w:val="Para 02"/>
      </w:pPr>
      <w:r>
        <w:t xml:space="preserve">Таким образом, следует держать в уме ряд факторов в оценке индоктринации полиции запаса через подобные </w:t>
        <w:t>брошюры</w:t>
        <w:t xml:space="preserve">. Во-первых, наиболее детальные и подробные </w:t>
        <w:t>брошюры</w:t>
        <w:t xml:space="preserve"> не выпускались до 1943-</w:t>
        <w:t>го</w:t>
        <w:t xml:space="preserve">, </w:t>
        <w:t xml:space="preserve">то есть </w:t>
        <w:t xml:space="preserve">после того, как северная часть </w:t>
        <w:t>округа</w:t>
        <w:t xml:space="preserve"> Люблина уже была сделана буквально «свободной от евреев» Полицейски</w:t>
        <w:t>м</w:t>
        <w:t xml:space="preserve"> Резервным Батальоном 101. Они вышли слишком поздно, чтобы сыграть свою роль в индоктринации и становления людей батальона в качестве массовых убийств. Во-вторых, </w:t>
        <w:t>брошюра</w:t>
        <w:t xml:space="preserve"> 1942 </w:t>
        <w:t>года</w:t>
        <w:t xml:space="preserve"> явно был</w:t>
        <w:t>а</w:t>
        <w:t xml:space="preserve"> направлен</w:t>
        <w:t>а</w:t>
        <w:t xml:space="preserve"> на семейные ценности молодых членов СС и не особо подходил</w:t>
        <w:t>а</w:t>
        <w:t xml:space="preserve"> для резервистов среднего возраста, которые уже давно выбрали супругов и приняли решение о численности семьи. Таким образом, хоть тема и была доступна, она не выглядит подходящей для еженедельных или ежемесячных сессий </w:t>
        <w:t>по</w:t>
        <w:t xml:space="preserve"> индоктринации батальона.</w:t>
      </w:r>
    </w:p>
    <w:p>
      <w:pPr>
        <w:pStyle w:val="Para 02"/>
      </w:pPr>
      <w:r>
        <w:t xml:space="preserve">В-третьих, возраст людей влияет на их чувствительность к индоктринации и другим способом. Многие нацистские преступники были молодыми людьми. Они выросли в мире, где нацистские ценности были единственной известной им «моральной нормой». Можно выдвинуть аргумент, что такие молодые люди, воспитанные в условиях только лишь нацистского диктаторства, просто не знали ничего другого. Убийство евреев не вступало в конфликт с системой ценности, с которой они выросли, так что и индоктринация работала более эффективно. Какими бы ни были достоинства этого аргумента, он явно не работает для преимущественно возрастного состава Полицейского Резервного Батальона 101. </w:t>
        <w:t>Его члены</w:t>
        <w:t xml:space="preserve"> получили </w:t>
        <w:t>образование</w:t>
        <w:t xml:space="preserve"> и сформировались как личности в период до 1933-</w:t>
        <w:t>го</w:t>
        <w:t xml:space="preserve">. Многие вышли из социальной среды, не очень чувствительной к национал-социализму. Они были полностью в курсе моральных норм немецкого общества до нацизма, </w:t>
        <w:t xml:space="preserve">у них были </w:t>
        <w:t>были ранние стандарты, с которыми можно было сравнить нацистскую политику, прежде чем приводить её в исполнение.</w:t>
      </w:r>
    </w:p>
    <w:p>
      <w:pPr>
        <w:pStyle w:val="Para 02"/>
      </w:pPr>
      <w:r>
        <w:t xml:space="preserve">В-четвёртых, идеологические трактаты как те, что подготавливали для Полиции Порядка, отражали более широкую атмосферу </w:t>
        <w:t>подготовок</w:t>
        <w:t xml:space="preserve"> и инструкций полицейских запаса, а так же политическую культуру, в которой те жили последнее десятилетие. Лейтенант Дракер, чрезвычайно преуменьшив, сказал: «Под влиянием времени, моё отношение к евреям отмечалось некоторым отвращением». Клевета на </w:t>
        <w:t>е</w:t>
        <w:t>вреев и провозглашение немецкого расового превосходства были так постоянны, всепроникающи, безжалостны, что должны были сформировать общее поведение масс людей в Германии, включая обычных полицейских запаса.</w:t>
      </w:r>
    </w:p>
    <w:p>
      <w:pPr>
        <w:pStyle w:val="Para 02"/>
      </w:pPr>
      <w:r>
        <w:t xml:space="preserve">В-пятых, </w:t>
        <w:t>брошюр</w:t>
        <w:t xml:space="preserve">ы и материалы, посвящённые евреям, оправдывали необходимость </w:t>
      </w:r>
      <w:r>
        <w:rPr>
          <w:rStyle w:val="Text0"/>
        </w:rPr>
        <w:t>judenfrei</w:t>
      </w:r>
      <w:r>
        <w:t xml:space="preserve"> Европы, ища поддержку и симпатии этой цели, но они не призывали к личному участию в её достижении через убийство евреев. Это стоит отметить, потому как часть инструкций и рекомендаций Полиции Порядка касающихся партизанской войны открыто заявляли, что каждый человек должен быть достаточно твёрд, чтобы убивать партизан и, что самое главное, «подозреваемых».</w:t>
      </w:r>
    </w:p>
    <w:p>
      <w:pPr>
        <w:pStyle w:val="Para 33"/>
      </w:pPr>
      <w:r>
        <w:t/>
      </w:r>
    </w:p>
    <w:p>
      <w:pPr>
        <w:pStyle w:val="Para 04"/>
      </w:pPr>
      <w:r>
        <w:t xml:space="preserve">«Сопротивление партизан </w:t>
      </w:r>
      <w:r>
        <w:rPr>
          <w:rStyle w:val="Text12"/>
        </w:rPr>
        <w:t>—</w:t>
      </w:r>
      <w:r>
        <w:t xml:space="preserve"> сопротивление Большевизма, это не народное движение ... Враг должен быть </w:t>
      </w:r>
      <w:r>
        <w:rPr>
          <w:rStyle w:val="Text0"/>
        </w:rPr>
        <w:t>полностью уничтожен</w:t>
      </w:r>
      <w:r>
        <w:t xml:space="preserve">. Даже для самых крепких солдат вопрос жизни и смерти, постоянно ставящийся партизанами, очень </w:t>
        <w:t>сложен</w:t>
        <w:t>. Но это должно быть сделано. Ведёт себя правильно тот, кто отбрасывает свои личные чувства и стремления, выполняет задачу твердо и безжалостно».</w:t>
      </w:r>
      <w:hyperlink w:anchor="__559">
        <w:r>
          <w:rPr>
            <w:rStyle w:val="Text2"/>
          </w:rPr>
          <w:bookmarkStart w:id="642" w:name="559"/>
          <w:t>559</w:t>
          <w:bookmarkEnd w:id="642"/>
        </w:r>
      </w:hyperlink>
      <w:r>
        <w:rPr>
          <w:rStyle w:val="Text3"/>
        </w:rPr>
        <w:t xml:space="preserve"> </w:t>
      </w:r>
      <w:r>
        <w:t xml:space="preserve"> </w:t>
      </w:r>
    </w:p>
    <w:p>
      <w:pPr>
        <w:pStyle w:val="Para 33"/>
      </w:pPr>
      <w:r>
        <w:t/>
      </w:r>
    </w:p>
    <w:p>
      <w:pPr>
        <w:pStyle w:val="Para 02"/>
      </w:pPr>
      <w:r>
        <w:t xml:space="preserve">Во всех сохранившихся материалах индоктринации Полиции Порядка отсутствуют рекомендации о том, как полицейским следует убивать безоружных евреек и детей. Совершенно ясно, что в </w:t>
        <w:t>СССР</w:t>
        <w:t xml:space="preserve"> множество евреев убили как «подозреваемых» во время поиска партизан. Однако на территории Польши под юрисдикцией Полицейского Резервного Батальона 101 в 1942 </w:t>
        <w:t>году</w:t>
        <w:t xml:space="preserve"> операции по убийству евреев и партизан не пересекались между собой. Хотя бы для этого отряда, нельзя объяснить убийство евреев суровым призывом к убийству партизан и «подозреваемых».</w:t>
      </w:r>
    </w:p>
    <w:p>
      <w:pPr>
        <w:pStyle w:val="Para 02"/>
      </w:pPr>
      <w:r>
        <w:t xml:space="preserve">Есть одно уместное сравнение. До того как Айнзацгруппы вошли на территорию советов, они прошло двухмесячную подготовку. Она включала в себя визиты и речи разных светил СС, которые «воодушевляющими разговорами» подготавливали к «войне на уничтожение». За четыре дня до вторжения офицеров вызвали в Берлин на встречу с самим Гейдрихом. </w:t>
        <w:t>Если коротко</w:t>
        <w:t xml:space="preserve">, </w:t>
        <w:t>то</w:t>
        <w:t xml:space="preserve"> людей старались подготовить к их роли массовых убийц. Даже люди полицейских батальонов, последовавших за Айнзацгруппами в </w:t>
        <w:t>Советский Союз</w:t>
        <w:t xml:space="preserve"> летом 1941, хотя бы частично, но были готовы к тому, что предстоит. Их проинформировали о секретных приказах о казни захваченных коммунистов («приказ о комиссарах») и рекомендациях </w:t>
        <w:t>п</w:t>
        <w:t>о работе с гражданскими. Подобно Далюге и Гиммлеру, своим войскам давали вдохновляющие речи и некоторые командующие батальонами. Однако для людей Полицейского Батальона 101 вс</w:t>
        <w:t>ё</w:t>
        <w:t xml:space="preserve"> было наоборот — они были не готовы и </w:t>
        <w:t xml:space="preserve">были </w:t>
        <w:t>исключительно удивлены лежащей перед ними задаче.</w:t>
      </w:r>
    </w:p>
    <w:p>
      <w:pPr>
        <w:pStyle w:val="Para 02"/>
      </w:pPr>
      <w:r>
        <w:t>Суммируя, как и остальное общество Германии, члены Полицейского Резервного Батальона 101 были погружены в поток расистской и антисемитской пропаганды. Более того, Полиция Порядка подвергалась индоктринации и при базовой подготовке, и на постоянной основе. Непрекращающийся ливень пропаганды должен был значительно укрепить идею немецкого расового превосходства и «некоторого отвращения» к евреям. Однако большинство материалов явно не предназначалось для старых резервистов, а в отдельных случаях даже совсем не подходило. Среди сохранившейся документации подозрительно отсутствуют материалы специально составленные для закаливания полицейских на убийства. Надо быть очень убеждённым в силе «промывания мозгов» индоктринацией, чтобы поверить, что эти материалы смогли избавить людей батальона от способности самостоятельно мыслить. Нет сомнений, что им навязывали чувства собственного превосходства и расового родства, а также идеи неполноценности евреев и других, но явной подготовки к убийствам у них не было.</w:t>
      </w:r>
    </w:p>
    <w:p>
      <w:pPr>
        <w:pStyle w:val="Para 02"/>
      </w:pPr>
      <w:r>
        <w:t>Совместно с идеологической индоктринацией, важным фактором стал конформизм, который затронул, но не раскрыл до конца эксперимент Милгрэма. Батальону приказали убивать евреев, но это делал не каждый. 80 или 90 процентов выполнили приказ, но почти все из них, особенно в начале, ужасались и испытывали отвращение к содеянному. Нарушить субординацию и выйти вперёд, принять открыто нонконформистское поведение для большинства оказалось невозможным. Проще было стрелять.</w:t>
      </w:r>
    </w:p>
    <w:p>
      <w:pPr>
        <w:pStyle w:val="Para 02"/>
      </w:pPr>
      <w:r>
        <w:t xml:space="preserve">Почему? Во-первых, нарушая субординацию и выходя из строя, они перекладывали «грязную работу» на своих товарищей. Отказ стрелять — отказ от неприятной коллективной обязанности </w:t>
      </w:r>
      <w:r>
        <w:rPr>
          <w:rStyle w:val="Text0"/>
        </w:rPr>
        <w:t>—</w:t>
      </w:r>
      <w:r>
        <w:t xml:space="preserve"> батальон должен стрелять, даже если отдельные люди откажутся. В каком-то роде они сталкивались в асоциальном акте лицом к лицу со своими товарищами. Отказавшиеся рисковали изоляцией, непринятием, остракизмом </w:t>
      </w:r>
      <w:r>
        <w:rPr>
          <w:rStyle w:val="Text0"/>
        </w:rPr>
        <w:t>—</w:t>
      </w:r>
      <w:r>
        <w:t xml:space="preserve"> крайне неприятной перспективой в тесных условиях боевого братства на враждебной территории. Человеку буквально негде было бы искать поддержки и контакта.</w:t>
      </w:r>
    </w:p>
    <w:p>
      <w:pPr>
        <w:pStyle w:val="Para 02"/>
      </w:pPr>
      <w:r>
        <w:t>Выход из строя мог выглядеть как заявление, что вышедший «слишком хорош» для такого, тем самым подставив себя под моральные упрёки товарищей и повысив вероятность своей изоляции. Большинство отказников, хоть и не все, старались размыть такую возможную критику товарищей заявлением, что они «слишком слабы» для убийства, а не «слишком хороши».</w:t>
      </w:r>
    </w:p>
    <w:p>
      <w:pPr>
        <w:pStyle w:val="Para 02"/>
      </w:pPr>
      <w:r>
        <w:t xml:space="preserve">Подобная позиция не бросала вызов самооценке товарищей, а даже наоборот, легитимизировала и поддерживала их мысли о себе как о «крепких» и высшего качества людях. Это так же добавляло преимущество в отсутствии морального вызова кровавому режиму. Однако </w:t>
        <w:t xml:space="preserve">одновременно </w:t>
        <w:t>ставило новую проблему — ведь есть большая разница между «слабаком» и «трусом». Отсюда и отмеченное одним полицейском различие — в Юзефуве выйти сразу он не решился, но вышел из своей расстрельной команды после. Одно дело струсить и даже не попытаться, а совсем другое попытаться разделить бремя, но оказаться слишком слабым для него.</w:t>
      </w:r>
      <w:hyperlink w:anchor="__560">
        <w:r>
          <w:rPr>
            <w:rStyle w:val="Text2"/>
          </w:rPr>
          <w:bookmarkStart w:id="643" w:name="560"/>
          <w:t>560</w:t>
          <w:bookmarkEnd w:id="643"/>
        </w:r>
      </w:hyperlink>
      <w:r>
        <w:rPr>
          <w:rStyle w:val="Text3"/>
        </w:rPr>
        <w:t xml:space="preserve"> </w:t>
      </w:r>
      <w:r>
        <w:t xml:space="preserve"> </w:t>
      </w:r>
    </w:p>
    <w:p>
      <w:pPr>
        <w:pStyle w:val="Para 02"/>
      </w:pPr>
      <w:r>
        <w:t>Так что коварным образом, но отказники лишь поддерживали «мачо» достоинства большинства — согласно которым способность убить безоружного, гражданского, женщин</w:t>
        <w:t>у</w:t>
        <w:t xml:space="preserve">, </w:t>
        <w:t>ребёнка</w:t>
        <w:t xml:space="preserve"> якобы положительная черта — одновременно с этим не разрушая </w:t>
        <w:t xml:space="preserve">чувства </w:t>
        <w:t xml:space="preserve">товарищества в их расистском и враждебном мире. Многие пытались разрешить противоречие между своей совестью и нормами батальона: они не расстреливали младенцев на месте, но отправляли их на точку сбора; не устраивали расстрелы </w:t>
        <w:t>в</w:t>
        <w:t xml:space="preserve"> патрулях, если среди них не находилось особенно рьяного товарища; приводили евреев на расстрел, но сознательно промахивались. Только особенно выдающиеся индивидуумы остались безразличны к упрёкам товарищей в «слабости» и смогли жить с тем фактом, что их не считают за «</w:t>
        <w:t>мужиков</w:t>
        <w:t>».</w:t>
      </w:r>
      <w:hyperlink w:anchor="__561">
        <w:r>
          <w:rPr>
            <w:rStyle w:val="Text2"/>
          </w:rPr>
          <w:bookmarkStart w:id="644" w:name="561"/>
          <w:t>561</w:t>
          <w:bookmarkEnd w:id="644"/>
        </w:r>
      </w:hyperlink>
      <w:r>
        <w:rPr>
          <w:rStyle w:val="Text3"/>
        </w:rPr>
        <w:t xml:space="preserve"> </w:t>
      </w:r>
      <w:r>
        <w:t xml:space="preserve"> </w:t>
      </w:r>
    </w:p>
    <w:p>
      <w:pPr>
        <w:pStyle w:val="Para 02"/>
      </w:pPr>
      <w:r>
        <w:t>Мы прошли полный круг взаимоусиливающего эффекта войны и расизма в сочетании с постоянными пропагандой и индоктринаци</w:t>
        <w:t>ей</w:t>
        <w:t>, отмеченного Джоном Доуэром. Для полицейских задачу по соответствию нормам ближайшего окружения (батальона) и общества в целом (нацист</w:t>
        <w:t>с</w:t>
        <w:t xml:space="preserve">кой Германии) упрощал повсеместный расизм и результирующее исключение еврейских жертв из «человечества». Здесь сошлись годы антисемитской пропаганды (а до нацистов десятилетия немецкого национализма) и поляризующий эффект войны. Центральная для нацистской идеологии дихотомия расового превосходства немцев и расово неполноценных евреев могла легко слиться с картиной осаждённой врагами Германии. Сомнительно, что большинство полицейских понимало или принимало теоретические основы нацизма на примере </w:t>
        <w:t>брошюр</w:t>
        <w:t xml:space="preserve"> индоктринации СС, как </w:t>
        <w:t>и</w:t>
        <w:t xml:space="preserve"> сомнительно, что у них был иммунитет к «влиянию времени» (снова используя выражение Дракера), постоянному декларированию немецкого превосходства и разжиганию презрения и ненависти к врагам-евреям. Ничто не помогало нацистам вести расовую войну, как сама война. В военное время, когда враг легко перестаёт быть человеком и теряет все соответствующие права, </w:t>
        <w:t xml:space="preserve">стало </w:t>
        <w:t xml:space="preserve">легко включить евреев в «образ врага», или </w:t>
      </w:r>
      <w:r>
        <w:rPr>
          <w:rStyle w:val="Text0"/>
        </w:rPr>
        <w:t>Feindbild</w:t>
      </w:r>
      <w:r>
        <w:t>.</w:t>
      </w:r>
    </w:p>
    <w:p>
      <w:pPr>
        <w:pStyle w:val="Para 02"/>
      </w:pPr>
      <w:r>
        <w:t xml:space="preserve">Примо Леви в свою последнюю книгу «Утонувшие и спасённые» включил эссе, озаглавленное «Серая Зона» </w:t>
      </w:r>
      <w:r>
        <w:rPr>
          <w:rStyle w:val="Text0"/>
        </w:rPr>
        <w:t>—</w:t>
      </w:r>
      <w:r>
        <w:t xml:space="preserve"> в</w:t>
        <w:t>озможно его самое глубокое и крайне волнующее размышление о Холокосте.</w:t>
      </w:r>
      <w:hyperlink w:anchor="__562">
        <w:r>
          <w:rPr>
            <w:rStyle w:val="Text2"/>
          </w:rPr>
          <w:bookmarkStart w:id="645" w:name="562"/>
          <w:t>562</w:t>
          <w:bookmarkEnd w:id="645"/>
        </w:r>
      </w:hyperlink>
      <w:r>
        <w:rPr>
          <w:rStyle w:val="Text3"/>
        </w:rPr>
        <w:t xml:space="preserve"> </w:t>
      </w:r>
      <w:r>
        <w:t xml:space="preserve"> Он писал, что несмотря на наше врождённое желание чётко проводить грань между вещами, история «не может быть упрощена до двух лагерей — жертв и преступников». Леви громко заявлял: «Наивно, абсурдно и исторически неверно верить, что адские системы, подобные национал-социализму, чтят своих жертв; наоборот, они деградируют их, заставляют стать похожими на себя». Пришло время посмотреть на обитателей «Серой Зоны» не как на упрощённый манихейский образ жертвы и насильника. Леви концентрировался на «серой зоне коррупции и коллаборации», расцветающей среди самых разных жертв: от «карикатурной мании» низкоранговых исполнителей, пользующихся своей мизерной властью над заключёнными, до по-настоящему привилегированных рабочих Капо, свободных «совершать худшие злодеяния» просто по желанию, до ужасной судьбы зондеркоманд, что продлевали свои жизни, отправляя других в газовые камеры и крематории (</w:t>
        <w:t>с</w:t>
        <w:t xml:space="preserve">оздание и организация Зондеркоманд, по мнению Леви, было «наиболее дьявольским преступлением»). Леви в своём фокусе на «серой зоне» у жертв осмелился предложить, что такая зона покрывает и преступников. Даже такой человек СС, как Мюсфельдт из крематориев Освенцима — чей «дневной рацион усеян самодурством и капризностью изобретаемых им жестокостями» </w:t>
      </w:r>
      <w:r>
        <w:rPr>
          <w:rStyle w:val="Text0"/>
        </w:rPr>
        <w:t>—</w:t>
      </w:r>
      <w:r>
        <w:t xml:space="preserve"> не был «монолитом». Столкнувшись с шестнадцатилетней девочкой, чудесным образом пережившей газовую камеру, он ненадолго поколебался. В конце концов он вс</w:t>
        <w:t>ё</w:t>
        <w:t xml:space="preserve"> же отдал приказ казнить её, но ушёл до того, как казнь привели в исполнение. Одно «мгновение жалости» недостаточно для «искупления» Мюсфельдта, заслуженно повешенного в 1947-</w:t>
        <w:t>м</w:t>
        <w:t xml:space="preserve">. И всё же это «хоть и на самую границу, но поставило его в серую зону, зону неопределённости, так </w:t>
        <w:t>отличающуюся</w:t>
        <w:t xml:space="preserve"> от свойственных режиму террор</w:t>
        <w:t>а</w:t>
        <w:t xml:space="preserve"> и подобострасти</w:t>
        <w:t>я</w:t>
        <w:t>». Идею Леви о серой зоне, охватывающей и преступников, и жертв, необходимо воспринимать с осторожной оговоркой. Убийцы и жертвы в серой зоне не отражение друг друга. Преступники не становились жертвами (как многие впоследствии заявили) в том же смысле, в каком жертвы становились соучастниками преступников. Отношения между ними не симметричны, а возможность выбора для этих групп полностью различается.</w:t>
      </w:r>
    </w:p>
    <w:p>
      <w:pPr>
        <w:pStyle w:val="Para 02"/>
      </w:pPr>
      <w:r>
        <w:t>Тем не менее, спектр серой зоны Леви кажется применимым к Полицейскому Резервному Батальону 101. В н</w:t>
        <w:t>ё</w:t>
        <w:t>м точно было достаточно людей на «крайней границ</w:t>
        <w:t>е</w:t>
        <w:t>» этой зоны. Приходит в голову Лейтенант Гн</w:t>
        <w:t>а</w:t>
        <w:t>д</w:t>
        <w:t>е</w:t>
        <w:t xml:space="preserve">, кто торопился увести своих людей от казней в Минске </w:t>
      </w:r>
      <w:r>
        <w:rPr>
          <w:rStyle w:val="Text0"/>
        </w:rPr>
        <w:t>—</w:t>
      </w:r>
      <w:r>
        <w:t xml:space="preserve"> тот же человек, что потом научился наслаждаться ими. Как и многие другие полицейские, находившиеся в полном ужасе в лесах Юзефува, чтобы потом становиться добровольцами в расстрельные команды и «охоту на евреев». Они, как и Мюнсфельдт, судя по всему, испытывали «моменты жалости», но не поддавались им. На другой границе серой зоны даже такой ярый и открытый критик кровавых действий батальона как лейтенант Бухман, споткнулся минимум один раз. Незадолго до своего перевода, без защиты майора Траппа и получив прямой приказ местной Полиции Безопасности Лукува, он также повёл своих людей на место казни. В самом центре зоны стоит жалкая фигура самого Траппа, «рыдавшего как ребёнок», отправляя своих людей убивать евреев, и прикованный к постели капитан Хоффман, чьё тело восстало против страшных деяний его разума.</w:t>
      </w:r>
    </w:p>
    <w:p>
      <w:pPr>
        <w:pStyle w:val="Para 02"/>
      </w:pPr>
      <w:r>
        <w:t xml:space="preserve">Поведение любого человека конечно же очень сложный феномен, а попытки историков «объяснить» его всегда несколько надменны. Попытку подвести какую-то черту под коллективное поведение пятисот человек сложно назвать чем-то </w:t>
        <w:t>иным</w:t>
        <w:t xml:space="preserve">, кроме </w:t>
        <w:t xml:space="preserve">как </w:t>
        <w:t>авантюр</w:t>
        <w:t>ой</w:t>
        <w:t xml:space="preserve">. Что же тогда можно заключить? История Полицейского Резервного </w:t>
        <w:t>Б</w:t>
        <w:t xml:space="preserve">атальона </w:t>
        <w:t xml:space="preserve">101 </w:t>
        <w:t>вызывает сильное беспокойство. Это история обыкновенных людей, но не всех людей. Полицейские запас</w:t>
        <w:t>а</w:t>
        <w:t xml:space="preserve"> столкнулись с выбором, и многие выбрали совершить ужасное. Но убийцы не могут быть оправданы идеей, что любой на их месте поступил бы так же, ведь даже среди них были те, кто отказался сразу или одумался потом. Ответственность человека в конце концов — личная ответственность каждого отдельного человека.</w:t>
      </w:r>
    </w:p>
    <w:p>
      <w:pPr>
        <w:pStyle w:val="Para 02"/>
      </w:pPr>
      <w:r>
        <w:t>Однако коллективное поведение Полицейского Резервного Батальона 101 в тоже время имеет глубоко тревожащие последствия. Множество социумов «заражены» традициями расизма, угрозами войны или ощущением нахождения в осаде среди врагов. Каждое общество ставит людям в условие уважение и подчинение авторитету, и по-другому вряд ли общество может функционировать. Люди повсеместно ищут возможности для продвижения по службе. Сложность современного социума и вытекающая из него бюрократизация и специализация легко снимают с человека чувство личной ответственности за имплементацию различных политик. Буквально в каждом коллективе ближайшее окружение влияет на поведение каждого из его членов и устанавливает моральные нормы. Если люди Полицейского Резервного Батальона могут стать убийцами в таких условиях, то кто не может?</w:t>
      </w:r>
    </w:p>
    <w:p>
      <w:pPr>
        <w:pStyle w:val="Para 02"/>
      </w:pPr>
      <w:r>
        <w:t/>
      </w:r>
    </w:p>
    <w:p>
      <w:pPr>
        <w:pStyle w:val="Para 13"/>
      </w:pPr>
      <w:r>
        <w:bookmarkStart w:id="646" w:name="anchor42"/>
        <w:t/>
        <w:bookmarkEnd w:id="646"/>
        <w:t>Послесловие</w:t>
        <w:bookmarkStart w:id="647" w:name="anchor88"/>
        <w:t/>
        <w:bookmarkEnd w:id="647"/>
        <w:bookmarkStart w:id="648" w:name="anchor89"/>
        <w:t/>
        <w:bookmarkEnd w:id="648"/>
      </w:r>
    </w:p>
    <w:p>
      <w:pPr>
        <w:pStyle w:val="Para 09"/>
      </w:pPr>
      <w:r>
        <w:t xml:space="preserve"> </w:t>
        <w:br w:clear="none"/>
      </w:r>
    </w:p>
    <w:p>
      <w:pPr>
        <w:pStyle w:val="Para 05"/>
      </w:pPr>
      <w:r>
        <w:rPr>
          <w:rStyle w:val="Text6"/>
        </w:rPr>
        <w:t/>
      </w:r>
      <w:r>
        <w:t xml:space="preserve">С момента выхода книги «Обыкновенные люди» шесть лет назад, её без перерыва разбирал и критиковал другой автор — Дэниэл Джона Голдхаген. Он не только писал на ту же тему — мотивацию </w:t>
        <w:t>о</w:t>
        <w:t xml:space="preserve">быкновенных» немцев, ставших соучастниками Холокоста — но так же отчасти основывал свои работы на тех же документах об убийцах в Холокосте, к примеру, </w:t>
        <w:t>послевоенных судебных допросах членов Полицейского Резервного Батальона 101.</w:t>
      </w:r>
      <w:hyperlink w:anchor="__563">
        <w:r>
          <w:rPr>
            <w:rStyle w:val="Text2"/>
          </w:rPr>
          <w:bookmarkStart w:id="649" w:name="563"/>
          <w:t>563</w:t>
          <w:bookmarkEnd w:id="649"/>
        </w:r>
      </w:hyperlink>
      <w:r>
        <w:rPr>
          <w:rStyle w:val="Text3"/>
        </w:rPr>
        <w:t xml:space="preserve"> </w:t>
      </w:r>
      <w:r>
        <w:t xml:space="preserve"> </w:t>
        <w:t xml:space="preserve"> Конечно же, нет ничего необычного в том, что разные учёные задают разные вопросы, применяют разные методологии и приходят к разным выводам, даже работая с одними и теми же источниками. Однако редко когда так резко и состязательно спорят о различиях. Так же крайне редко, когда академическая работа становится межнациональным бестселлером, одновременно получая отзывы от крайне позитивных, до крайне негативных.</w:t>
      </w:r>
      <w:hyperlink w:anchor="__564">
        <w:r>
          <w:rPr>
            <w:rStyle w:val="Text2"/>
          </w:rPr>
          <w:bookmarkStart w:id="650" w:name="564"/>
          <w:t>564</w:t>
          <w:bookmarkEnd w:id="650"/>
        </w:r>
      </w:hyperlink>
      <w:r>
        <w:rPr>
          <w:rStyle w:val="Text3"/>
        </w:rPr>
        <w:t xml:space="preserve"> </w:t>
      </w:r>
      <w:r>
        <w:t xml:space="preserve"> </w:t>
        <w:t xml:space="preserve"> Так критичный о моей работе профессор Голдхаген сам в итоге стал «мишенью». Если коротко, то критика Голдхагена моей работы и последующая полемика вокруг его собственной заслуживает своего «послесловия» в последующих изданиях книги «Обыкновенные люди».</w:t>
      </w:r>
      <w:r>
        <w:rPr>
          <w:rStyle w:val="Text6"/>
        </w:rPr>
        <w:t xml:space="preserve"> </w:t>
      </w:r>
    </w:p>
    <w:p>
      <w:pPr>
        <w:pStyle w:val="Para 02"/>
      </w:pPr>
      <w:r>
        <w:t xml:space="preserve">Мы с Голдхагеном соглашаемся по нескольким пунктам: </w:t>
        <w:t>во-первых</w:t>
        <w:t xml:space="preserve">, в участии многочисленных «обыкновенных» немцев в массовом убийстве евреев; </w:t>
        <w:t>во-вторых</w:t>
        <w:t>, высокий уровень добровольного участия этих «обыкновенных». Большинство убийц не отобран</w:t>
        <w:t>ы</w:t>
        <w:t xml:space="preserve"> целенаправленно, но взяты из среза всего немецкого общества; </w:t>
        <w:t>о</w:t>
        <w:t xml:space="preserve">ни не убивали из-за принуждения или угрозы страшного наказания за отказ. Однако ни одно из этих заключений не ново в исследовании Холокоста — </w:t>
        <w:t>э</w:t>
        <w:t xml:space="preserve">то одни из фундаментальных выводов авторитетного и новаторского исследования «Уничтожение евреев Европы» 1961 года за авторством Рауля Хильберга. Преступники «не отличались моральными ценностями от остального населения </w:t>
      </w:r>
      <w:r>
        <w:rPr>
          <w:rStyle w:val="Text0"/>
        </w:rPr>
        <w:t>—</w:t>
      </w:r>
      <w:r>
        <w:t xml:space="preserve"> «Нет ничего особенного в немецких соучастниках [Холокоста]». Соучастники представляли </w:t>
        <w:t xml:space="preserve">собой </w:t>
        <w:t>«примечательный срез немецкого населения» и машину уничтожения, «структурно не отличимую от организации немецкого общества».</w:t>
      </w:r>
      <w:hyperlink w:anchor="__565">
        <w:r>
          <w:rPr>
            <w:rStyle w:val="Text2"/>
          </w:rPr>
          <w:bookmarkStart w:id="651" w:name="565"/>
          <w:t>565</w:t>
          <w:bookmarkEnd w:id="651"/>
        </w:r>
      </w:hyperlink>
      <w:r>
        <w:rPr>
          <w:rStyle w:val="Text3"/>
        </w:rPr>
        <w:t xml:space="preserve"> </w:t>
      </w:r>
      <w:r>
        <w:t xml:space="preserve"> Именно немецкий учёный Герберг Ягер</w:t>
      </w:r>
      <w:hyperlink w:anchor="__566">
        <w:r>
          <w:rPr>
            <w:rStyle w:val="Text2"/>
          </w:rPr>
          <w:bookmarkStart w:id="652" w:name="566"/>
          <w:t>566</w:t>
          <w:bookmarkEnd w:id="652"/>
        </w:r>
      </w:hyperlink>
      <w:r>
        <w:rPr>
          <w:rStyle w:val="Text3"/>
        </w:rPr>
        <w:t xml:space="preserve"> </w:t>
      </w:r>
      <w:r>
        <w:t xml:space="preserve"> и немецкий прокурор в 1960-</w:t>
        <w:t>м</w:t>
        <w:t xml:space="preserve"> твердо установили, что нет ни одного документального подтверждения тому, что немцы за отказ убивать невооружённых гражданских сталкивались со страшными последствиями. Голдхаген отдаёт должное за это Ягеру и прокурору, но совершенно пренебрегает Хильбергом.</w:t>
      </w:r>
    </w:p>
    <w:p>
      <w:pPr>
        <w:pStyle w:val="Para 02"/>
      </w:pPr>
      <w:r>
        <w:t>Кроме как в стиле описания Холокоста и отношению к другим исследователям этой темы, мы с Голдхагеном значительно расходимся в интерпретации двух исторических областей. Во-первых, мы даём разную оценку роли антисемитизма в немецкой истории, включая эру национал-социализма. Во-вторых, по-разному смотрим на мотивацию(-ии) «обыкновенных» немецких людей, ставших убийцами в Холокосте. Эти две темы мне бы хотелось раскрыть поподробнее.</w:t>
      </w:r>
    </w:p>
    <w:p>
      <w:pPr>
        <w:pStyle w:val="Para 02"/>
      </w:pPr>
      <w:r>
        <w:t>В своей книге «Добровольные Палачи Гитлера» Дэниэл утверждает, что антисемитизм «более или менее главенствовал в идейной жизни гражданского общества» в донацистской Германии</w:t>
      </w:r>
      <w:hyperlink w:anchor="__567">
        <w:r>
          <w:rPr>
            <w:rStyle w:val="Text2"/>
          </w:rPr>
          <w:bookmarkStart w:id="653" w:name="567"/>
          <w:t>567</w:t>
          <w:bookmarkEnd w:id="653"/>
        </w:r>
      </w:hyperlink>
      <w:r>
        <w:rPr>
          <w:rStyle w:val="Text3"/>
        </w:rPr>
        <w:t xml:space="preserve"> </w:t>
      </w:r>
      <w:r>
        <w:t xml:space="preserve"> , и когда немцы «выбрали»</w:t>
        <w:t>(</w:t>
      </w:r>
      <w:r>
        <w:rPr>
          <w:rStyle w:val="Text0"/>
        </w:rPr>
        <w:t>sic!</w:t>
      </w:r>
      <w:r>
        <w:t>) Гитлера, «центральная роль антисемитизма в мировоззрении, программах и риторике ... отражало саму немецкую культуру».</w:t>
      </w:r>
      <w:hyperlink w:anchor="__568">
        <w:r>
          <w:rPr>
            <w:rStyle w:val="Text2"/>
          </w:rPr>
          <w:bookmarkStart w:id="654" w:name="568"/>
          <w:t>568</w:t>
          <w:bookmarkEnd w:id="654"/>
        </w:r>
      </w:hyperlink>
      <w:r>
        <w:rPr>
          <w:rStyle w:val="Text3"/>
        </w:rPr>
        <w:t xml:space="preserve"> </w:t>
      </w:r>
      <w:r>
        <w:t xml:space="preserve"> Потому </w:t>
        <w:t>как</w:t>
        <w:t xml:space="preserve"> Гитлер и немцы были «на одной волне» в вопросе о евреях, тот просто «освободил» или «спустил с поводка» </w:t>
        <w:t>их</w:t>
        <w:t xml:space="preserve"> «существовавший, накопленный» антисемитизм для совершения Холокоста.</w:t>
      </w:r>
      <w:hyperlink w:anchor="__569">
        <w:r>
          <w:rPr>
            <w:rStyle w:val="Text2"/>
          </w:rPr>
          <w:bookmarkStart w:id="655" w:name="569"/>
          <w:t>569</w:t>
          <w:bookmarkEnd w:id="655"/>
        </w:r>
      </w:hyperlink>
      <w:r>
        <w:rPr>
          <w:rStyle w:val="Text3"/>
        </w:rPr>
        <w:t xml:space="preserve"> </w:t>
      </w:r>
      <w:r>
        <w:t xml:space="preserve"> </w:t>
      </w:r>
    </w:p>
    <w:p>
      <w:pPr>
        <w:pStyle w:val="Para 02"/>
      </w:pPr>
      <w:r>
        <w:t>Для поддержки своего взгляда, что нацистский режим следует рассматривать лишь как позволивший или слегка подтолкнувший немцев к тому, что они и так хотели сделать, а не сформировавший немецкое поведение после 1933-</w:t>
        <w:t>го</w:t>
        <w:t>, Голдхаген сформулировал тезис и назвал его «новым» в исследовании антисемитизма. Антисемитизм «не появляется, исчезает, а затем вновь появляется в обществе. Он присутствует всегда, проявляясь сильнее или слабее». Не сам антисемитизм, а его «проявление», «более слабое и</w:t>
        <w:t>ли</w:t>
        <w:t xml:space="preserve"> сильное», </w:t>
        <w:t>в зависимости от меняющихся условий</w:t>
        <w:t>.</w:t>
      </w:r>
      <w:hyperlink w:anchor="__570">
        <w:r>
          <w:rPr>
            <w:rStyle w:val="Text2"/>
          </w:rPr>
          <w:bookmarkStart w:id="656" w:name="570"/>
          <w:t>570</w:t>
          <w:bookmarkEnd w:id="656"/>
        </w:r>
      </w:hyperlink>
      <w:r>
        <w:rPr>
          <w:rStyle w:val="Text3"/>
        </w:rPr>
        <w:t xml:space="preserve"> </w:t>
      </w:r>
      <w:r>
        <w:t xml:space="preserve"> </w:t>
      </w:r>
    </w:p>
    <w:p>
      <w:pPr>
        <w:pStyle w:val="Para 02"/>
      </w:pPr>
      <w:r>
        <w:t>Затем, согласно Голдхагену, картина всегда лежаще</w:t>
        <w:t>го</w:t>
        <w:t xml:space="preserve"> в основе и лишь поверхностного изменяющегося антисемитизма резко меняется после 1945 </w:t>
        <w:t>г</w:t>
        <w:t>. Всепоглощающий и элиминаторский</w:t>
      </w:r>
      <w:hyperlink w:anchor="__571">
        <w:r>
          <w:rPr>
            <w:rStyle w:val="Text2"/>
          </w:rPr>
          <w:bookmarkStart w:id="657" w:name="571"/>
          <w:t>571</w:t>
          <w:bookmarkEnd w:id="657"/>
        </w:r>
      </w:hyperlink>
      <w:r>
        <w:rPr>
          <w:rStyle w:val="Text3"/>
        </w:rPr>
        <w:t xml:space="preserve"> </w:t>
      </w:r>
      <w:r>
        <w:t xml:space="preserve"> немецкий антисемитизм, который был единственной и достаточной мотивацией для убийц Холокоста, внезапно исчезает. С учётом переобучения, изменения публичной повестки, законов </w:t>
        <w:t>против</w:t>
        <w:t xml:space="preserve"> антисемитизм</w:t>
        <w:t>а</w:t>
        <w:t xml:space="preserve"> и отсутстви</w:t>
        <w:t>я</w:t>
        <w:t xml:space="preserve"> подкрепления со стороны институтов немецкая культура, столетиями под властью антисемитизма, неожиданно трансформируется.</w:t>
      </w:r>
      <w:hyperlink w:anchor="__572">
        <w:r>
          <w:rPr>
            <w:rStyle w:val="Text2"/>
          </w:rPr>
          <w:bookmarkStart w:id="658" w:name="572"/>
          <w:t>572</w:t>
          <w:bookmarkEnd w:id="658"/>
        </w:r>
      </w:hyperlink>
      <w:r>
        <w:rPr>
          <w:rStyle w:val="Text3"/>
        </w:rPr>
        <w:t xml:space="preserve"> </w:t>
      </w:r>
      <w:r>
        <w:t xml:space="preserve"> И теперь нам говорят, что немцы такие же, как и мы.</w:t>
      </w:r>
    </w:p>
    <w:p>
      <w:pPr>
        <w:pStyle w:val="Para 02"/>
      </w:pPr>
      <w:r>
        <w:t xml:space="preserve">Я могу легко согласиться и поддержать две идеи: </w:t>
        <w:t>во-первых</w:t>
        <w:t>, антисемитизм был значительной частью немецкой политической культуры до 1945-</w:t>
        <w:t>го</w:t>
        <w:t xml:space="preserve">; </w:t>
        <w:t>во-вторых</w:t>
        <w:t xml:space="preserve">, немецкая политическая культура теперь совсем </w:t>
        <w:t>иная</w:t>
        <w:t xml:space="preserve"> и </w:t>
        <w:t xml:space="preserve">значительно </w:t>
        <w:t xml:space="preserve">менее антисемитская. Однако если </w:t>
        <w:t>она</w:t>
        <w:t xml:space="preserve"> в целом и конкретно антисемитизм могли быть трансформированы после 1945-</w:t>
        <w:t>го</w:t>
        <w:t xml:space="preserve"> изменениями в образовании, общественной дискуссии, законах и институтах, как предлагает Голдхаген, то логично предположить, что точно так же за три или четыре десятилетия они могли быть трансформированы и до 1945-</w:t>
        <w:t>го</w:t>
        <w:t>, особенно за двенадцать лет нацистского правления.</w:t>
      </w:r>
    </w:p>
    <w:p>
      <w:pPr>
        <w:pStyle w:val="Para 02"/>
      </w:pPr>
      <w:r>
        <w:t xml:space="preserve">В своей вступительной главе Голдхаген предоставляет полезную трёхстороннюю модель анализа антисемитизма, </w:t>
        <w:t>о</w:t>
        <w:t xml:space="preserve">днако, в последующих главах он эту модель не использует. Антисемитизм, он утверждает, варьируется от источника к источнику и от случая к случаю (к примеру, расы, религии, культуры или окружения) </w:t>
        <w:t xml:space="preserve">и </w:t>
        <w:t xml:space="preserve">предполагаемых еврейских отрицательных черт. </w:t>
        <w:t>И дополнительно</w:t>
        <w:t xml:space="preserve"> варьируется от степени опасности или «ощущаемой» антисемитами опасности.</w:t>
      </w:r>
      <w:hyperlink w:anchor="__573">
        <w:r>
          <w:rPr>
            <w:rStyle w:val="Text2"/>
          </w:rPr>
          <w:bookmarkStart w:id="659" w:name="573"/>
          <w:t>573</w:t>
          <w:bookmarkEnd w:id="659"/>
        </w:r>
      </w:hyperlink>
      <w:r>
        <w:rPr>
          <w:rStyle w:val="Text3"/>
        </w:rPr>
        <w:t xml:space="preserve"> </w:t>
      </w:r>
      <w:r>
        <w:t xml:space="preserve"> Вариативность антисемитизма в распространённости и интенсивности в зависимости от ощущаемой еврейской угрозы предполагает, что антисемитизм меняется не только вместе с условиями, но и может существовать в бесконечных вариациях. Даже для единственной страны </w:t>
        <w:t>вроде</w:t>
        <w:t xml:space="preserve"> Германи</w:t>
        <w:t>и</w:t>
        <w:t>, мы должны думать и говорить об антисемитизме во множественном числе.</w:t>
      </w:r>
    </w:p>
    <w:p>
      <w:pPr>
        <w:pStyle w:val="Para 02"/>
      </w:pPr>
      <w:r>
        <w:t>Однако настоящая концепция, что использует Голдхаген, производит противоположный эффект — она удаляет все вариации и подводит антисемитизм под единую черту. Все немцы, что видели в евреях «других»,</w:t>
        <w:t xml:space="preserve"> рассматривали эту «инородность»</w:t>
        <w:t xml:space="preserve"> как нечто негативное и </w:t>
        <w:t xml:space="preserve">как </w:t>
        <w:t xml:space="preserve">то, от чего следует избавиться — через </w:t>
        <w:t>обращение</w:t>
        <w:t>, ассимиляцию, эмиграцию или уничтожение — классифицируются как антисемиты «элиминаторы», даже если предыдущая модель Голдхагена показывает, что интенсивность, причина и приоритет различаются. Такие различия аналитически незначительны, так как, если верить Голдхагену, вариации решений элиминаторов «дают метастазы» в виде истребления.</w:t>
      </w:r>
      <w:hyperlink w:anchor="__574">
        <w:r>
          <w:rPr>
            <w:rStyle w:val="Text2"/>
          </w:rPr>
          <w:bookmarkStart w:id="660" w:name="574"/>
          <w:t>574</w:t>
          <w:bookmarkEnd w:id="660"/>
        </w:r>
      </w:hyperlink>
      <w:r>
        <w:rPr>
          <w:rStyle w:val="Text3"/>
        </w:rPr>
        <w:t xml:space="preserve"> </w:t>
      </w:r>
      <w:r>
        <w:t xml:space="preserve"> Используя такой подход, Голдхаген легко переходит от множественных проявлений антисемитизма в Германии к единому «элиминаторскому антисемитизму», который подобно злокачественной опухоли разрастается в массовые убийства, и, следовательно, вся Германия была «на одной волне» с Гитлером в вопросах справедливости и необходимости </w:t>
        <w:t>Окончате</w:t>
        <w:t>льного Решения.</w:t>
      </w:r>
    </w:p>
    <w:p>
      <w:pPr>
        <w:pStyle w:val="Para 02"/>
      </w:pPr>
      <w:r>
        <w:t xml:space="preserve">Если же использовать аналитическую модель предложенную Голдхагеном вместо той, </w:t>
        <w:t>которой</w:t>
        <w:t xml:space="preserve"> он на самом деле использует, что же можно сказать о изменениях в антисемитизме немецкой политической культуры и её роли в Холокосте? И с чего начать?</w:t>
      </w:r>
    </w:p>
    <w:p>
      <w:pPr>
        <w:pStyle w:val="Para 02"/>
      </w:pPr>
      <w:r>
        <w:t xml:space="preserve">Давайте же </w:t>
        <w:t>приступим</w:t>
        <w:t xml:space="preserve"> с истории Германии девятнадцатого века, а точнее с различных интерпретаций немецкого якобы «особого пути» или </w:t>
      </w:r>
      <w:r>
        <w:rPr>
          <w:rStyle w:val="Text0"/>
        </w:rPr>
        <w:t>Sonderweg</w:t>
      </w:r>
      <w:r>
        <w:t xml:space="preserve">. Согласно традиционному социальному </w:t>
        <w:t xml:space="preserve">или </w:t>
        <w:t>структурному подходу, в Германии в 1848-</w:t>
        <w:t>м</w:t>
        <w:t xml:space="preserve"> провалилась либеральная революция, из-за чего провалились и политическая, и экономическая модернизации. После чего докапиталистические элиты Германии поддерживали свои привилегии в автократической политической системе, пока от среднего класса откупались обещаниями экономического развития, воссоединени</w:t>
        <w:t>я</w:t>
        <w:t xml:space="preserve"> нации, которой они не смогли добиться в революции, а в конце концов ими просто манипулировали, подстёгивая «социальный империализм».</w:t>
      </w:r>
      <w:hyperlink w:anchor="__575">
        <w:r>
          <w:rPr>
            <w:rStyle w:val="Text2"/>
          </w:rPr>
          <w:bookmarkStart w:id="661" w:name="575"/>
          <w:t>575</w:t>
          <w:bookmarkEnd w:id="661"/>
        </w:r>
      </w:hyperlink>
      <w:r>
        <w:rPr>
          <w:rStyle w:val="Text3"/>
        </w:rPr>
        <w:t xml:space="preserve"> </w:t>
      </w:r>
      <w:r>
        <w:t xml:space="preserve"> Согласно культурн</w:t>
        <w:t xml:space="preserve">ому или </w:t>
        <w:t>идеологическому подходу, искажённое и неполное принятие просвещения некоторыми немецкими интеллектуалами, и последовавший за этим развал традиционного мира, привели к постоянным отрицаниям либерально демократических идей и ценностей с одной стороны, и к выборочному примирению с некоторыми аспектами модернизации (к примеру, современные технологии и рациональность во главе всего) с другой. Это сформировало то, что Джеффри Херф назвал своеобразным немецким «реакционным модернизмом».</w:t>
      </w:r>
      <w:hyperlink w:anchor="__576">
        <w:r>
          <w:rPr>
            <w:rStyle w:val="Text2"/>
          </w:rPr>
          <w:bookmarkStart w:id="662" w:name="576"/>
          <w:t>576</w:t>
          <w:bookmarkEnd w:id="662"/>
        </w:r>
      </w:hyperlink>
      <w:r>
        <w:rPr>
          <w:rStyle w:val="Text3"/>
        </w:rPr>
        <w:t xml:space="preserve"> </w:t>
      </w:r>
      <w:r>
        <w:t xml:space="preserve"> Третий подход, проиллюстрированный Джоном Вайсом и Дэниэлом Голдхагеном, описывает немецкий «особый путь» в терминах распространения и заразности антисемитизма в Германии, хотя первый не так сильно обобщает, как второй, и аккуратно прослеживает антисемитизм до политических движений среди политических и академических элит девятнадцатого века.</w:t>
      </w:r>
      <w:hyperlink w:anchor="__577">
        <w:r>
          <w:rPr>
            <w:rStyle w:val="Text2"/>
          </w:rPr>
          <w:bookmarkStart w:id="663" w:name="577"/>
          <w:t>577</w:t>
          <w:bookmarkEnd w:id="663"/>
        </w:r>
      </w:hyperlink>
      <w:r>
        <w:rPr>
          <w:rStyle w:val="Text3"/>
        </w:rPr>
        <w:t xml:space="preserve"> </w:t>
      </w:r>
      <w:r>
        <w:t xml:space="preserve"> </w:t>
      </w:r>
    </w:p>
    <w:p>
      <w:pPr>
        <w:pStyle w:val="Para 02"/>
      </w:pPr>
      <w:r>
        <w:t xml:space="preserve">Мне кажется, что интерпретация Шуламит Волковой антисемитизма </w:t>
        <w:t>в</w:t>
        <w:t xml:space="preserve"> Германии в конце девятнадцатого века как «культурного кода» представляет собой замечательный синтез важных элементов различных, но не взаимоисключающих идей о немецком «особом пути»</w:t>
      </w:r>
      <w:hyperlink w:anchor="__578">
        <w:r>
          <w:rPr>
            <w:rStyle w:val="Text2"/>
          </w:rPr>
          <w:bookmarkStart w:id="664" w:name="578"/>
          <w:t>578</w:t>
          <w:bookmarkEnd w:id="664"/>
        </w:r>
      </w:hyperlink>
      <w:r>
        <w:rPr>
          <w:rStyle w:val="Text3"/>
        </w:rPr>
        <w:t xml:space="preserve"> </w:t>
      </w:r>
      <w:r>
        <w:t xml:space="preserve"> . Немецкие консерваторы, правящие лишённой либерализма политическом системой, ощущали, как их ведущая роль подвергается опасности модернизацией, ассоциируя антисемитизм со всем, чего они боялись — либерализации, демократии, социализма, интернационализма, капитализма и культурных экспериментов. Быть самопровозглашённым антисемитом — означало быть авторитарным, националистом, империалистом, протекционистом, корпоративистом и </w:t>
        <w:t xml:space="preserve">культурным </w:t>
        <w:t xml:space="preserve">традиционалистом. Волкова заключает: «Антисемитизм для них сильно ассоциировался со всем, за что боролись консерваторы. Со временем он стал неразделим с их антимодернизмом ... И пока консерваторы поддерживали в вопросе антисемитизма популистов, озабоченную одним </w:t>
        <w:t xml:space="preserve">только </w:t>
        <w:t>антисемитизмом партию и призывали псевдонаучные и социально дарвинистские теории рас в свою поддержку, консерваторы принимали всё это как защитную реакцию, имеющую отличительно современные черты» (схоже с одновременным решением построить флот).</w:t>
      </w:r>
    </w:p>
    <w:p>
      <w:pPr>
        <w:pStyle w:val="Para 02"/>
      </w:pPr>
      <w:r>
        <w:t xml:space="preserve">К концу столетия всё более расовый </w:t>
        <w:t>по</w:t>
        <w:t xml:space="preserve"> своей </w:t>
        <w:t xml:space="preserve">природе </w:t>
        <w:t xml:space="preserve">немецкий антисемитизм стал неотъемлемой частью консервативной политической платформы и глубоко проник в университеты. Этот вопрос в Германии стал более важным для политики и политических институтов, чем в западных демократиях Франции, Британии и Соединённых Штатах. Однако это не означает, что антисемитизм Германии девятнадцатого века доминировал в политическом или идейном мире — </w:t>
        <w:t>к</w:t>
        <w:t xml:space="preserve">онсерваторы и узконаправленные антисемитские партии представляли </w:t>
        <w:t xml:space="preserve">собой </w:t>
        <w:t>меньшинство. Большинство же можно было найти в Прусском Ландтаге, проводящим дискриминационные законы против католиков в 1870-</w:t>
        <w:t>м</w:t>
        <w:t xml:space="preserve"> и в Рейхстаге против социалистов в 1880-</w:t>
        <w:t>м</w:t>
        <w:t>. Эмансипацию евреев, составлявших менее одного процента населения и едва ли способных защитить себя от объединённой и одержимой ими Германии, никто не отменял. Если левые не выражали любовь к евреям, сопоставимую с ненавистью правых, то только потому, что для левых антисемитизм не являлся повесткой дня, а не из-за своего собственного антисемитизма.</w:t>
      </w:r>
    </w:p>
    <w:p>
      <w:pPr>
        <w:pStyle w:val="Para 02"/>
      </w:pPr>
      <w:r>
        <w:t xml:space="preserve">Еврейский вопрос был лишь одним из многих даже для самых открытых консерваторов-антисемитов. Предположить, что они считали евреев опаснее Тройственного Союза за границей или социал-демократов дома — значит сильно исказить факты. Если и для консерваторов антисемитизм не был приоритетным вопросом или угрозой, то насколько </w:t>
        <w:t xml:space="preserve">же </w:t>
        <w:t>он был важен для остального немецкого общества? Как отметил Ричард Леви: «Можно составить убедительный аргумент, что [евреи] по большому счёту мало интересовали немцев. Ставить их в центр немецкой истории девятнадцатого и двадцатого веков — это очень непродуктивная стратегия».</w:t>
      </w:r>
      <w:hyperlink w:anchor="__579">
        <w:r>
          <w:rPr>
            <w:rStyle w:val="Text2"/>
          </w:rPr>
          <w:bookmarkStart w:id="665" w:name="579"/>
          <w:t>579</w:t>
          <w:bookmarkEnd w:id="665"/>
        </w:r>
      </w:hyperlink>
      <w:r>
        <w:rPr>
          <w:rStyle w:val="Text3"/>
        </w:rPr>
        <w:t xml:space="preserve"> </w:t>
      </w:r>
      <w:r>
        <w:t xml:space="preserve"> </w:t>
      </w:r>
    </w:p>
    <w:p>
      <w:pPr>
        <w:pStyle w:val="Para 02"/>
      </w:pPr>
      <w:r>
        <w:t xml:space="preserve">Для некоторых немцев, конечно, евреи </w:t>
        <w:t>всё же</w:t>
        <w:t xml:space="preserve"> были главным приоритетом и страшнейшей угрозой. Антисемитизм немецких консерваторов на рубеже столетий хорошо подходит под представление Гэвина Ленгмюра о «ксенофобном» антисемитизме — негативном стереотипе, составленном из разных допущений, не описывающих настоящее еврейское меньшинство, но работающем как собирательный образ всех угроз и опасностей, </w:t>
        <w:t xml:space="preserve">находящихся </w:t>
        <w:t xml:space="preserve">вне понимания антисемитов (и не </w:t>
        <w:t>желавших</w:t>
        <w:t xml:space="preserve"> понимать).</w:t>
      </w:r>
      <w:hyperlink w:anchor="__580">
        <w:r>
          <w:rPr>
            <w:rStyle w:val="Text2"/>
          </w:rPr>
          <w:bookmarkStart w:id="666" w:name="580"/>
          <w:t>580</w:t>
          <w:bookmarkEnd w:id="666"/>
        </w:r>
      </w:hyperlink>
      <w:r>
        <w:rPr>
          <w:rStyle w:val="Text3"/>
        </w:rPr>
        <w:t xml:space="preserve"> </w:t>
      </w:r>
      <w:r>
        <w:t xml:space="preserve"> Ленгмюр так же отмечал, что «ксенофобный» антисемитизм готовит прекрасную почву для роста фантастического или «химерного» антисемитизма — что Саул Фридлендер недавно назвал «искупительным» антисемитизмом.</w:t>
      </w:r>
      <w:hyperlink w:anchor="__581">
        <w:r>
          <w:rPr>
            <w:rStyle w:val="Text2"/>
          </w:rPr>
          <w:bookmarkStart w:id="667" w:name="581"/>
          <w:t>581</w:t>
          <w:bookmarkEnd w:id="667"/>
        </w:r>
      </w:hyperlink>
      <w:r>
        <w:rPr>
          <w:rStyle w:val="Text3"/>
        </w:rPr>
        <w:t xml:space="preserve"> </w:t>
      </w:r>
      <w:r>
        <w:t xml:space="preserve"> Если немецкий ксенофобный антисемитизм был частью политической платформы для важного сегмента политического спектра, «искупительные» антисемиты же с их «химерными» обвинениями — от того как евреи отравляют арийскую кровь до секретной еврейской всемирной конспирологии, стоящей за марксисткой революцией и плутократической демократией — вс</w:t>
        <w:t>ё</w:t>
        <w:t xml:space="preserve"> ещё были нишевым феноменом.</w:t>
      </w:r>
    </w:p>
    <w:p>
      <w:pPr>
        <w:pStyle w:val="Para 02"/>
      </w:pPr>
      <w:r>
        <w:t xml:space="preserve">Последствия травматического опыта Германии между 1912 и 1929 </w:t>
        <w:t xml:space="preserve">гг. </w:t>
        <w:t>— утеря контроля Рейхстагом правыми силами, военное поражение, революция, стремительная инфляция и экономический коллапс — трансформировали немецкую политику. Правый сектор вырос за счёт центра, а бывшие радикалы (или Новые Правые) росли за счёт традиционалистов (или Старых Правых). Соразмерно разросся и «химерный» антисемитизм — из маргинального до идейного движения, ставшего крупнейшей политической партией Германии летом 1932-</w:t>
        <w:t>го</w:t>
        <w:t xml:space="preserve"> и её правящей партией шесть месяцев спустя.</w:t>
      </w:r>
    </w:p>
    <w:p>
      <w:pPr>
        <w:pStyle w:val="Para 02"/>
      </w:pPr>
      <w:r>
        <w:t>Один лишь этот факт делает историю Германии и немецкого антисемитизма отличным от других стран Европы, но даже это стоит рассматривать в перспективе. На честных выборах нацисты никогда не получали больше 37% голосов — меньше, чем совместные голоса социалистов и коммунистов. Дэниэл Голдхаген правильно напоминает нам, что «нельзя из голосов сделать заключение об индивидуальном отношении к отдельным вопросам».</w:t>
      </w:r>
      <w:hyperlink w:anchor="__582">
        <w:r>
          <w:rPr>
            <w:rStyle w:val="Text2"/>
          </w:rPr>
          <w:bookmarkStart w:id="668" w:name="582"/>
          <w:t>582</w:t>
          <w:bookmarkEnd w:id="668"/>
        </w:r>
      </w:hyperlink>
      <w:r>
        <w:rPr>
          <w:rStyle w:val="Text3"/>
        </w:rPr>
        <w:t xml:space="preserve"> </w:t>
      </w:r>
      <w:r>
        <w:t xml:space="preserve"> Однако маловероятно, что он прав в своей оценке, когда утверждает, что большое количество немцев, голосовавших за социал-демократическую партию по экономическим соображением, тем не менее находились с Гитлером и нацистами «на одной волне» в вопросе о евреях. Хоть я и не могу это доказать, </w:t>
        <w:t xml:space="preserve">но </w:t>
        <w:t xml:space="preserve">я сильно подозреваю, что больше немцев голосовало за нацистов по причинам отличным от семитизма, чем </w:t>
        <w:t>немцев</w:t>
        <w:t>, кто считал антисемитизм важным вопросом, но вс</w:t>
        <w:t>ё</w:t>
        <w:t xml:space="preserve"> же голосовавших не за нацистов. Ни сами итоги выборов, ни какая-либо их возможная интерпретация не предполагает, что в 1932-</w:t>
        <w:t>м</w:t>
        <w:t xml:space="preserve"> большинство немцев было «на одной волне» с Гитлером в вопросе евреев или что «центральное место антисемитизма в мировоззрении, программе и риторике партии ... отражает саму немецкую культуру».</w:t>
      </w:r>
      <w:hyperlink w:anchor="__583">
        <w:r>
          <w:rPr>
            <w:rStyle w:val="Text2"/>
          </w:rPr>
          <w:bookmarkStart w:id="669" w:name="583"/>
          <w:t>583</w:t>
          <w:bookmarkEnd w:id="669"/>
        </w:r>
      </w:hyperlink>
      <w:r>
        <w:rPr>
          <w:rStyle w:val="Text3"/>
        </w:rPr>
        <w:t xml:space="preserve"> </w:t>
      </w:r>
      <w:r>
        <w:t xml:space="preserve"> </w:t>
      </w:r>
    </w:p>
    <w:p>
      <w:pPr>
        <w:pStyle w:val="Para 02"/>
      </w:pPr>
      <w:r>
        <w:t>Начиная с 1933-</w:t>
        <w:t>го</w:t>
        <w:t xml:space="preserve"> все факторы, которым Голдхаген приписывает разрушение антисемитизма после 1945 </w:t>
        <w:t>г.</w:t>
        <w:t xml:space="preserve"> — образование, общественный диалог и поддержка институтов — работали в противоположном направлении распространения антисемитизма среди немцев. И даже со значительно большем количеством усилий, в сравнении с послевоенным периодом. Может ли кто-либо сомневаться, что это оказало значительное влияние, с учётом растущей популярности Гитлера, режима и их успехи в экономике и внешней политике? Как Уильям Шеридан Аллен кратко подчеркнул, даже в крайне нацифицированном городе как Нортхайм, большинство людей «пришли к антисемитизму, потому что пришли к нацистам, но не наоборот».</w:t>
      </w:r>
      <w:hyperlink w:anchor="__584">
        <w:r>
          <w:rPr>
            <w:rStyle w:val="Text2"/>
          </w:rPr>
          <w:bookmarkStart w:id="670" w:name="584"/>
          <w:t>584</w:t>
          <w:bookmarkEnd w:id="670"/>
        </w:r>
      </w:hyperlink>
      <w:r>
        <w:rPr>
          <w:rStyle w:val="Text3"/>
        </w:rPr>
        <w:t xml:space="preserve"> </w:t>
      </w:r>
      <w:r>
        <w:t xml:space="preserve"> Более того, Голдхаген часто ссылается на подпольный доклад Сопаде</w:t>
      </w:r>
      <w:hyperlink w:anchor="__585">
        <w:r>
          <w:rPr>
            <w:rStyle w:val="Text2"/>
          </w:rPr>
          <w:bookmarkStart w:id="671" w:name="585"/>
          <w:t>585</w:t>
          <w:bookmarkEnd w:id="671"/>
        </w:r>
      </w:hyperlink>
      <w:r>
        <w:rPr>
          <w:rStyle w:val="Text3"/>
        </w:rPr>
        <w:t xml:space="preserve"> </w:t>
      </w:r>
      <w:r>
        <w:t xml:space="preserve"> в 1936-</w:t>
        <w:t>м</w:t>
        <w:t>. Он служит доказательством изменения немецкого отношения вслед за захватом нацистами власти, но не свидетельствует о ситуации до этого. «Антисемитизм без сомнения укоренился среди широкой публики ... Общий антисемитский психоз затронул даже вдумчивых людей, даже наших товарищей».</w:t>
      </w:r>
      <w:hyperlink w:anchor="__586">
        <w:r>
          <w:rPr>
            <w:rStyle w:val="Text2"/>
          </w:rPr>
          <w:bookmarkStart w:id="672" w:name="586"/>
          <w:t>586</w:t>
          <w:bookmarkEnd w:id="672"/>
        </w:r>
      </w:hyperlink>
      <w:r>
        <w:rPr>
          <w:rStyle w:val="Text3"/>
        </w:rPr>
        <w:t xml:space="preserve"> </w:t>
      </w:r>
      <w:r>
        <w:t xml:space="preserve"> </w:t>
      </w:r>
    </w:p>
    <w:p>
      <w:pPr>
        <w:pStyle w:val="Para 02"/>
      </w:pPr>
      <w:r>
        <w:t xml:space="preserve">Даже в период после 1933 </w:t>
        <w:t xml:space="preserve">года </w:t>
        <w:t xml:space="preserve">лучше всего говорить о немецком антисемитизме во множественном числе. </w:t>
        <w:t>Внутри</w:t>
        <w:t xml:space="preserve"> партии действительно находилось ядро немцев, для которых евреи казались расовым врагов и главным приоритетом. </w:t>
        <w:t xml:space="preserve">Махровые </w:t>
        <w:t xml:space="preserve">«химерные» или «искупительные» антисемиты нацистского движения однако же различались в стилях и предпочитаемых действиях. На одной границе спектра </w:t>
        <w:t>стояли</w:t>
        <w:t xml:space="preserve"> Штурмовики и подобные Штрейхеру — </w:t>
        <w:t>о</w:t>
        <w:t xml:space="preserve">ни жаждали погромов. На другой границе расположились расчётливые, интеллектуальные антисемиты, описанные Ульрихом Гербертом в его биографии Вернера Беста — </w:t>
        <w:t>т</w:t>
        <w:t>от выступал за более систематическое, но бесстрастное гонение.</w:t>
      </w:r>
      <w:hyperlink w:anchor="__587">
        <w:r>
          <w:rPr>
            <w:rStyle w:val="Text2"/>
          </w:rPr>
          <w:bookmarkStart w:id="673" w:name="587"/>
          <w:t>587</w:t>
          <w:bookmarkEnd w:id="673"/>
        </w:r>
      </w:hyperlink>
      <w:r>
        <w:rPr>
          <w:rStyle w:val="Text3"/>
        </w:rPr>
        <w:t xml:space="preserve"> </w:t>
      </w:r>
      <w:r>
        <w:t xml:space="preserve"> </w:t>
      </w:r>
    </w:p>
    <w:p>
      <w:pPr>
        <w:pStyle w:val="Para 02"/>
      </w:pPr>
      <w:r>
        <w:t xml:space="preserve">Как часть контрреволюции и движения по обновлению нации, консервативные сторонники Гитлера выступали за отказ от эмансипации и за сегрегацию евреев. Они стремились положить конец предполагаемому «чрезмерному» влиянию евреев на немецкую жизнь, </w:t>
        <w:t>хоть это и не было приоритетом,</w:t>
        <w:t xml:space="preserve"> сравнимым со стремлением разрушить профсоюзы, марксистские партии и </w:t>
        <w:t>парламентскую</w:t>
        <w:t xml:space="preserve"> демократию, или с перевооружением и восстановлением Германии </w:t>
        <w:t xml:space="preserve">в </w:t>
        <w:t>статус</w:t>
        <w:t>е</w:t>
        <w:t xml:space="preserve"> великой державы. Они часто говорили об антисемитизме, но не были последовательны. Часть, как президент Гиндербург, хотели сделать исключение для евреев, </w:t>
        <w:t>которые</w:t>
        <w:t xml:space="preserve"> проявили себя на верной службе отечеству. Церк</w:t>
        <w:t>овь</w:t>
        <w:t xml:space="preserve">, конечно же, хотела исключений для обращённых евреев. По моему мнению, маловероятно, что консерваторы сами по себе двинулись бы дальше первых дискриминационных мер 1933-1934 </w:t>
        <w:t>гг.</w:t>
        <w:t>, по результатам которых евреев выгнали из гражданской и военной служб, различных профессий и культурной жизни.</w:t>
      </w:r>
    </w:p>
    <w:p>
      <w:pPr>
        <w:pStyle w:val="Para 02"/>
      </w:pPr>
      <w:r>
        <w:t/>
      </w:r>
    </w:p>
    <w:p>
      <w:pPr>
        <w:pStyle w:val="Para 02"/>
      </w:pPr>
      <w:r>
        <w:t xml:space="preserve">То, что консерваторы считали достаточным, нацисты едва ли могли назвать первым шагом — </w:t>
        <w:t>о</w:t>
        <w:t xml:space="preserve">ни намного лучше консерваторов понимали разницу между </w:t>
        <w:t>ними</w:t>
        <w:t>. Став соучастниками падения демократии, консерваторы имели возможность противостоять радикализации гонений евреев не сильнее, чем они могли требовать для себя тех прав, которых лишили других. И пока они оплакивали потерю привилегий и власти от рук нацистов, которым они сами же и помогли пробраться во власть, мало кто из них оплакивал или жалел о судьбе евреев. Конечно можно оспорить заявление, что консервативные союзники нацистов были «на одной волне» с Гитлером, но это совершенно точно не означает отрицание их презренного поведения и огромную ответственность за всё. Как и говорилось ранее, ксенофобный антисемитизм подготовил плодородную почву для химерного антисемитизма.</w:t>
      </w:r>
    </w:p>
    <w:p>
      <w:pPr>
        <w:pStyle w:val="Para 02"/>
      </w:pPr>
      <w:r>
        <w:t>Что можно сказать о немецком населении в тридцатые годы в целом? Поддалось ли большинство волне антисемитизма нацистов? Лишь отчасти, согласно детальным исследованиям таких историков как Ян Кершоу, Отто Дов Кулька и Дэвид Банкир. Им удалось достигнуть удивительного консенсуса по этому вопросу.</w:t>
      </w:r>
      <w:hyperlink w:anchor="__588">
        <w:r>
          <w:rPr>
            <w:rStyle w:val="Text2"/>
          </w:rPr>
          <w:bookmarkStart w:id="674" w:name="588"/>
          <w:t>588</w:t>
          <w:bookmarkEnd w:id="674"/>
        </w:r>
      </w:hyperlink>
      <w:r>
        <w:rPr>
          <w:rStyle w:val="Text3"/>
        </w:rPr>
        <w:t xml:space="preserve"> </w:t>
      </w:r>
      <w:r>
        <w:t xml:space="preserve"> В периоде 1933-1939 </w:t>
        <w:t>гг.</w:t>
        <w:t xml:space="preserve"> эти историки провели черту между меньшинством партийных активистов, для которых антисемитизм был высшим приоритетом, и большей частью немецкого населения. В отличии от активистов, большая часть населения не возмущалась и не требовала антисемитских мер. Однако тоже </w:t>
        <w:t>самое</w:t>
        <w:t xml:space="preserve"> большинство «обыкновенных немцев» </w:t>
      </w:r>
      <w:r>
        <w:rPr>
          <w:rStyle w:val="Text0"/>
        </w:rPr>
        <w:t>—</w:t>
      </w:r>
      <w:r>
        <w:t xml:space="preserve"> которых Саул Фридлендер для контраста с «активистами» назвал «зрителями»</w:t>
      </w:r>
      <w:hyperlink w:anchor="__589">
        <w:r>
          <w:rPr>
            <w:rStyle w:val="Text2"/>
          </w:rPr>
          <w:bookmarkStart w:id="675" w:name="589"/>
          <w:t>589</w:t>
          <w:bookmarkEnd w:id="675"/>
        </w:r>
      </w:hyperlink>
      <w:r>
        <w:rPr>
          <w:rStyle w:val="Text3"/>
        </w:rPr>
        <w:t xml:space="preserve"> </w:t>
      </w:r>
      <w:r>
        <w:t xml:space="preserve"> </w:t>
      </w:r>
      <w:r>
        <w:rPr>
          <w:rStyle w:val="Text0"/>
        </w:rPr>
        <w:t xml:space="preserve"> —</w:t>
      </w:r>
      <w:r>
        <w:t xml:space="preserve"> тем не менее приняли правовые меры режима</w:t>
      </w:r>
      <w:hyperlink w:anchor="__590">
        <w:r>
          <w:rPr>
            <w:rStyle w:val="Text2"/>
          </w:rPr>
          <w:bookmarkStart w:id="676" w:name="590"/>
          <w:t>590</w:t>
          <w:bookmarkEnd w:id="676"/>
        </w:r>
      </w:hyperlink>
      <w:r>
        <w:rPr>
          <w:rStyle w:val="Text3"/>
        </w:rPr>
        <w:t xml:space="preserve"> </w:t>
      </w:r>
      <w:r>
        <w:t xml:space="preserve"> , что привело к прекращению эмансипации евреев, выдворения их с общественных должностей в 1933-</w:t>
        <w:t>м</w:t>
        <w:t>, социальному остракизму в 1935-</w:t>
        <w:t>м</w:t>
        <w:t xml:space="preserve"> и завершилось конфискацией их имущества в 1938-1939 </w:t>
        <w:t>гг</w:t>
        <w:t xml:space="preserve">. И всё же большинство критично относилось с «хулиганскому» насилию партийных радикалов против тех же немецких евреев, против которых они поддерживали гонения. Бойкот 1933 </w:t>
        <w:t>г.</w:t>
        <w:t xml:space="preserve">, волны вандализма 1935 </w:t>
        <w:t>г.</w:t>
        <w:t xml:space="preserve">, и тем более погром «Хрустальная ночь» </w:t>
        <w:t>[</w:t>
        <w:t>Kristallnacht</w:t>
        <w:t>]</w:t>
        <w:t xml:space="preserve"> в ноябре 1938-</w:t>
        <w:t>го</w:t>
        <w:t xml:space="preserve"> вызывали негативную реакцию у немецкого населения.</w:t>
      </w:r>
    </w:p>
    <w:p>
      <w:pPr>
        <w:pStyle w:val="Para 02"/>
      </w:pPr>
      <w:r>
        <w:t xml:space="preserve">Однако самое главное — это образовавшаяся пропасть между еврейским меньшинством и остальным населением. Хоть последние и не мобилизовались вокруг резкого и яростного антисемитизма, </w:t>
        <w:t xml:space="preserve">они </w:t>
        <w:t>вс</w:t>
        <w:t>ё</w:t>
        <w:t xml:space="preserve"> же становились всё более «апатичны», «пассивны» и «безразличны» к судьбе первых. Антисемитские меры, выполненные в организованной и законной манере, хорошо принимались широкой публикой по двум причинам: во-первых, такие меры поддерживали надежду на сдерживание насилия, которое немцы находили неприятным; во-вторых, теперь уже большинство поддерживало ограничение роли евреев в немецком обществе, а некоторые и </w:t>
        <w:t>её</w:t>
        <w:t xml:space="preserve"> полное отсутствие. Это стало важным достижением режима, но вс</w:t>
        <w:t>ё</w:t>
        <w:t xml:space="preserve"> равно не прокладывало путь, при котором «обыкновенные немцы» поддержали бы, а тем более и приняли бы участие» </w:t>
        <w:t>в</w:t>
        <w:t xml:space="preserve"> массовом убийстве европейских евреев, </w:t>
        <w:t>при</w:t>
        <w:t xml:space="preserve"> котором «зрители» 1938-</w:t>
        <w:t>го</w:t>
        <w:t xml:space="preserve"> станут соучастниками геноцида 1941-1942 </w:t>
        <w:t>гг</w:t>
        <w:t>.</w:t>
      </w:r>
    </w:p>
    <w:p>
      <w:pPr>
        <w:pStyle w:val="Para 02"/>
      </w:pPr>
      <w:r>
        <w:t xml:space="preserve">Что касается </w:t>
        <w:t>годов войны</w:t>
        <w:t xml:space="preserve">, </w:t>
        <w:t xml:space="preserve">то </w:t>
        <w:t xml:space="preserve">Кершоу, Кулька и Банкир не соглашаются по нескольким пунктам, но в целом признают, что антисемитизм «настоящих верующих» не был идентичен антисемитским настроям населения, и что обыкновенные немцы не разделяли геноцидальных взглядов режима. Банкир, никак не преуменьшая немецкий антисемитизм, писал: «Обыкновенные немцы знали как различить приемлемую дискриминацию ... и неприемлемый ужас геноцида ... Чем больше просачивалось новостей о массовых убийствах, тем меньше публика хотела участвовать в </w:t>
        <w:t>Окончате</w:t>
        <w:t>льном Решении еврейского вопроса».</w:t>
      </w:r>
      <w:hyperlink w:anchor="__591">
        <w:r>
          <w:rPr>
            <w:rStyle w:val="Text2"/>
          </w:rPr>
          <w:bookmarkStart w:id="677" w:name="591"/>
          <w:t>591</w:t>
          <w:bookmarkEnd w:id="677"/>
        </w:r>
      </w:hyperlink>
      <w:r>
        <w:rPr>
          <w:rStyle w:val="Text3"/>
        </w:rPr>
        <w:t xml:space="preserve"> </w:t>
      </w:r>
      <w:r>
        <w:t xml:space="preserve"> Тем не менее, как </w:t>
        <w:t>подмечал</w:t>
        <w:t xml:space="preserve"> Кулька: «Поразительно бездонное безразличие к судьбам евреев как </w:t>
        <w:t xml:space="preserve">к судьбам </w:t>
        <w:t>человеческих существ» давало «режиму свободно проталкивать радикальное „</w:t>
        <w:t>Окончательное</w:t>
        <w:t xml:space="preserve"> Решение“».</w:t>
      </w:r>
      <w:hyperlink w:anchor="__592">
        <w:r>
          <w:rPr>
            <w:rStyle w:val="Text2"/>
          </w:rPr>
          <w:bookmarkStart w:id="678" w:name="592"/>
          <w:t>592</w:t>
          <w:bookmarkEnd w:id="678"/>
        </w:r>
      </w:hyperlink>
      <w:r>
        <w:rPr>
          <w:rStyle w:val="Text3"/>
        </w:rPr>
        <w:t xml:space="preserve"> </w:t>
      </w:r>
      <w:r>
        <w:t xml:space="preserve"> Кершоу подчёркивал это же в своей запоминающейся фразе «Дорогу в Освенцим построила ненависть, но проложило безразличие».</w:t>
      </w:r>
      <w:hyperlink w:anchor="__593">
        <w:r>
          <w:rPr>
            <w:rStyle w:val="Text2"/>
          </w:rPr>
          <w:bookmarkStart w:id="679" w:name="593"/>
          <w:t>593</w:t>
          <w:bookmarkEnd w:id="679"/>
        </w:r>
      </w:hyperlink>
      <w:r>
        <w:rPr>
          <w:rStyle w:val="Text3"/>
        </w:rPr>
        <w:t xml:space="preserve"> </w:t>
      </w:r>
      <w:r>
        <w:t xml:space="preserve"> </w:t>
      </w:r>
    </w:p>
    <w:p>
      <w:pPr>
        <w:pStyle w:val="Para 02"/>
      </w:pPr>
      <w:r>
        <w:t>Кулька и Родриг как и Кершоу использовали термин «безразличие», но беспокоились о его применении, так как чувствовали, что его недостаточно для описания интернализации нацистского антисемитизма среди широко</w:t>
        <w:t>й</w:t>
        <w:t xml:space="preserve"> публики, особенно касаясь принятия «</w:t>
        <w:t>Окончате</w:t>
        <w:t>льного Решения» еврейского вопроса в виде расплывчатого термина «устранение». Они предложили такое более морально тяжёлое определение как «пассивное соучастие» или «косвенное соучастие».</w:t>
      </w:r>
      <w:hyperlink w:anchor="__594">
        <w:r>
          <w:rPr>
            <w:rStyle w:val="Text2"/>
          </w:rPr>
          <w:bookmarkStart w:id="680" w:name="594"/>
          <w:t>594</w:t>
          <w:bookmarkEnd w:id="680"/>
        </w:r>
      </w:hyperlink>
      <w:r>
        <w:rPr>
          <w:rStyle w:val="Text3"/>
        </w:rPr>
        <w:t xml:space="preserve"> </w:t>
      </w:r>
      <w:r>
        <w:t xml:space="preserve"> Голдхаген же горячо объявляет сам концепт «безразличия», который он сравнивает с «отсутствием взглядов» и с «полным моральным нейтралитетом к массовой резне» </w:t>
      </w:r>
      <w:r>
        <w:rPr>
          <w:rStyle w:val="Text0"/>
        </w:rPr>
        <w:t>—</w:t>
      </w:r>
      <w:r>
        <w:t xml:space="preserve"> концептуально ошибочным и психологически невозможным. Для Голдхагена немцы не были апатичны и безразличны, но «безжалостны», «черствы» и «бессердечны», а их молчание следует понимать как одобрение.</w:t>
      </w:r>
      <w:hyperlink w:anchor="__595">
        <w:r>
          <w:rPr>
            <w:rStyle w:val="Text2"/>
          </w:rPr>
          <w:bookmarkStart w:id="681" w:name="595"/>
          <w:t>595</w:t>
          <w:bookmarkEnd w:id="681"/>
        </w:r>
      </w:hyperlink>
      <w:r>
        <w:rPr>
          <w:rStyle w:val="Text3"/>
        </w:rPr>
        <w:t xml:space="preserve"> </w:t>
      </w:r>
      <w:r>
        <w:t xml:space="preserve"> У меня нет проблемы с желанием Кульки, Родрига и Голдхагена использовать сильный, морально обвинительный язык для описания немецкого поведения. Но я не думаю, что выбор слов меняет саму суть точки зрения, предложенной Кершоу, Кулькой и Банкиром — а именно </w:t>
        <w:t>то</w:t>
        <w:t>, что полезно разделять ядро нацистов и население в целом в вопросе приоритета антисемитизма и стремлении их убивать. По-моему, Голдхаген подменяет понятия в своих определениях и неправильно интерпретирует значени</w:t>
        <w:t>е</w:t>
        <w:t xml:space="preserve"> молчания в условиях диктатуры. Он так же не учитывает, что понятие «безразличия» у Кершоу предвосхищает таковую в его собственной модели, когда Кершоу отмечает, что во время войны немцы вполне могли меньше любить евреев, и одновременно </w:t>
        <w:t>с этим</w:t>
        <w:t xml:space="preserve"> больше пренебрегать ими.</w:t>
      </w:r>
    </w:p>
    <w:p>
      <w:pPr>
        <w:pStyle w:val="Para 02"/>
      </w:pPr>
      <w:r>
        <w:t>По ещё двум пунктам мы с Голдхагеном соглашаемся. Во-первых, стоит рассматривать поведение и отношение обыкновенных немцев не только на домашнем фронте, но и на оккупированных территориях восточной Европы. Во-вторых, столкнувшись с задачей по убийству евреев, большинство обыкновенных немцев становились «добровольными» палачами. Если дома они были безразличны и апатичны, двуличны и бессердечны, то на востоке они были убийцами.</w:t>
      </w:r>
    </w:p>
    <w:p>
      <w:pPr>
        <w:pStyle w:val="Para 02"/>
      </w:pPr>
      <w:r>
        <w:t>Однако мы расходимся в контексте и мотиве этого кровавого поведения. По Голдхагену, эти обыкновенные немцы, «вооружённые лишь кружащими в Германии идеями», до 1933-</w:t>
        <w:t>го</w:t>
        <w:t xml:space="preserve"> не имевшие возможности для реализации себя, теперь «желали стать палачами в геноциде».</w:t>
      </w:r>
      <w:hyperlink w:anchor="__596">
        <w:r>
          <w:rPr>
            <w:rStyle w:val="Text2"/>
          </w:rPr>
          <w:bookmarkStart w:id="682" w:name="596"/>
          <w:t>596</w:t>
          <w:bookmarkEnd w:id="682"/>
        </w:r>
      </w:hyperlink>
      <w:r>
        <w:rPr>
          <w:rStyle w:val="Text3"/>
        </w:rPr>
        <w:t xml:space="preserve"> </w:t>
      </w:r>
      <w:r>
        <w:t xml:space="preserve"> По-моему, обыкновенные немцы в </w:t>
        <w:t>В</w:t>
        <w:t>осточной Европе принесли с собой набор ценностей, включавшие не только различные формы антисемитизма немецкого общества, раздуваемого режимом с 1933-</w:t>
        <w:t>го</w:t>
        <w:t>, но и многое другое. Как показали Брестский мир, кампании Фрайкоров и почти единогласное отрицание Версальского договора в немецком обществе циркулировало много различных идей: отказ принять вердикт Первой Мировой, имперские амбиции в Восточной Европе, немецкое расовое превосходство, злобный антикоммунизм. Я готов поспорить, что именно они являются общими между немецким населением и нацистами, а не антисемитизм.</w:t>
      </w:r>
    </w:p>
    <w:p>
      <w:pPr>
        <w:pStyle w:val="Para 02"/>
      </w:pPr>
      <w:r>
        <w:t xml:space="preserve">Немцы в Восточной Европе трансформировались под влиянием событий и ситуаций 1939-1941 </w:t>
        <w:t xml:space="preserve">гг. </w:t>
        <w:t xml:space="preserve">сильнее, чем под влиянием диктаторства в 1933-1939 </w:t>
        <w:t>гг</w:t>
        <w:t xml:space="preserve">. Германия теперь воевала; более того, это была «расовая война» имперского завоевания. Эти обыкновенные немцы располагались на территории, где местные были объявлены «подчинёнными» и немецких оккупантов уверяли вести себя как «раса хозяев». И евреи на этих территориях не были ассимилированным средним классом немецких евреев, а странными и чуждыми </w:t>
      </w:r>
      <w:r>
        <w:rPr>
          <w:rStyle w:val="Text0"/>
        </w:rPr>
        <w:t>Ostjuden</w:t>
      </w:r>
      <w:r>
        <w:t xml:space="preserve"> — восточными евреями. В 1941-</w:t>
        <w:t>м</w:t>
        <w:t xml:space="preserve"> добавились ещё два фактора: идеологический крестовый поход против Большевизма и «война на уничтожение».</w:t>
      </w:r>
    </w:p>
    <w:p>
      <w:pPr>
        <w:pStyle w:val="Para 02"/>
      </w:pPr>
      <w:r>
        <w:t>Можно ли даже предположить, что не эти изменения в ситуации и контексте во время войны изменили поведение и отношение обыкновенных немцев в Восточной Европе, а только лишь когнитивное представление о евреях, имеющееся у всех немцев до 1933-</w:t>
        <w:t>го,</w:t>
        <w:t xml:space="preserve"> лежит в основе их добровольного, а у некоторых и охотного участия в убийстве евреев?</w:t>
      </w:r>
    </w:p>
    <w:p>
      <w:pPr>
        <w:pStyle w:val="Para 02"/>
      </w:pPr>
      <w:r>
        <w:t xml:space="preserve">В этом вопросе важно отметить, что перед имплементацией </w:t>
        <w:t>Окончательно</w:t>
        <w:t xml:space="preserve">го Решения (сначала на советской территории во второй половине 1941 </w:t>
        <w:t>г.</w:t>
        <w:t xml:space="preserve">, в Польше и остальной Европе весной 1942 </w:t>
        <w:t>г.</w:t>
        <w:t xml:space="preserve">), нацистский режим уже нашёл добровольных палачей на казнь от 70 000 до 80 000 психически и физически ограниченных немцев, десятков тысяч членов польской интеллигенции, десятков тысяч гражданских в карательных расстрелах и более чем двух миллионов </w:t>
        <w:t>советских</w:t>
        <w:t xml:space="preserve"> военнопленных. Ясно видно, что к сентябрю 1939 </w:t>
        <w:t>г.</w:t>
        <w:t xml:space="preserve"> режим обладал возможностью легитимизировать и организовать массовые убийства ошеломляющего масштаба, которые не зависели от антисемитской мотивации убийц и еврейской национальности жертв.</w:t>
      </w:r>
    </w:p>
    <w:p>
      <w:pPr>
        <w:pStyle w:val="Para 02"/>
      </w:pPr>
      <w:r>
        <w:t>Дэниэл Голдхаген недавно написал, что даже если он «не был полностью прав насчёт размаха и характера немецкого антисемитизма, это не значит, что он не прав» в его «заключении о ... преступниках и их мотивах».</w:t>
      </w:r>
      <w:hyperlink w:anchor="__597">
        <w:r>
          <w:rPr>
            <w:rStyle w:val="Text2"/>
          </w:rPr>
          <w:bookmarkStart w:id="683" w:name="597"/>
          <w:t>597</w:t>
          <w:bookmarkEnd w:id="683"/>
        </w:r>
      </w:hyperlink>
      <w:r>
        <w:rPr>
          <w:rStyle w:val="Text3"/>
        </w:rPr>
        <w:t xml:space="preserve"> </w:t>
      </w:r>
      <w:r>
        <w:t xml:space="preserve"> Центральным столпом интерпретации Голдхагена стоит идея о том, что люди не просто становились «добровольными палачами», но на самом деле «</w:t>
      </w:r>
      <w:r>
        <w:rPr>
          <w:rStyle w:val="Text0"/>
        </w:rPr>
        <w:t>хотели</w:t>
      </w:r>
      <w:r>
        <w:t xml:space="preserve"> быть палачами геноцида» </w:t>
        <w:t>(выделено автором)</w:t>
        <w:t xml:space="preserve"> евреев.</w:t>
      </w:r>
      <w:hyperlink w:anchor="__598">
        <w:r>
          <w:rPr>
            <w:rStyle w:val="Text2"/>
          </w:rPr>
          <w:bookmarkStart w:id="684" w:name="598"/>
          <w:t>598</w:t>
          <w:bookmarkEnd w:id="684"/>
        </w:r>
      </w:hyperlink>
      <w:r>
        <w:rPr>
          <w:rStyle w:val="Text3"/>
        </w:rPr>
        <w:t xml:space="preserve"> </w:t>
      </w:r>
      <w:r>
        <w:t xml:space="preserve"> Они «утоляли </w:t>
        <w:t>свою</w:t>
        <w:t xml:space="preserve"> жажду еврейской крови» со «смаком»; они «веселились»; они убивали «для удовольствия».</w:t>
      </w:r>
      <w:hyperlink w:anchor="__599">
        <w:r>
          <w:rPr>
            <w:rStyle w:val="Text2"/>
          </w:rPr>
          <w:bookmarkStart w:id="685" w:name="599"/>
          <w:t>599</w:t>
          <w:bookmarkEnd w:id="685"/>
        </w:r>
      </w:hyperlink>
      <w:r>
        <w:rPr>
          <w:rStyle w:val="Text3"/>
        </w:rPr>
        <w:t xml:space="preserve"> </w:t>
      </w:r>
      <w:r>
        <w:t xml:space="preserve"> Более того, «количество и степень жестокости и зверств, что немцы совершили над евреями также крайне характерно»; действительно, они «выделяются» в «длинных анналах человеческого варварства».</w:t>
      </w:r>
      <w:hyperlink w:anchor="__600">
        <w:r>
          <w:rPr>
            <w:rStyle w:val="Text2"/>
          </w:rPr>
          <w:bookmarkStart w:id="686" w:name="600"/>
          <w:t>600</w:t>
          <w:bookmarkEnd w:id="686"/>
        </w:r>
      </w:hyperlink>
      <w:r>
        <w:rPr>
          <w:rStyle w:val="Text3"/>
        </w:rPr>
        <w:t xml:space="preserve"> </w:t>
      </w:r>
      <w:r>
        <w:t xml:space="preserve"> Голдхаген </w:t>
        <w:t>твёрдо</w:t>
        <w:t xml:space="preserve"> заключает, что «касаясь мотивации Холокоста, для большинства соучастников достаточно одного объяснения» </w:t>
      </w:r>
      <w:r>
        <w:rPr>
          <w:rStyle w:val="Text0"/>
        </w:rPr>
        <w:t>—</w:t>
      </w:r>
      <w:r>
        <w:t xml:space="preserve"> а именно «демонического антисемитизма», который «был обычной </w:t>
        <w:t>конструкцией</w:t>
        <w:t xml:space="preserve"> в сознании преступников и немецкого общества в целом».</w:t>
      </w:r>
      <w:hyperlink w:anchor="__601">
        <w:r>
          <w:rPr>
            <w:rStyle w:val="Text2"/>
          </w:rPr>
          <w:bookmarkStart w:id="687" w:name="601"/>
          <w:t>601</w:t>
          <w:bookmarkEnd w:id="687"/>
        </w:r>
      </w:hyperlink>
      <w:r>
        <w:rPr>
          <w:rStyle w:val="Text3"/>
        </w:rPr>
        <w:t xml:space="preserve"> </w:t>
      </w:r>
      <w:r>
        <w:t xml:space="preserve"> </w:t>
      </w:r>
    </w:p>
    <w:p>
      <w:pPr>
        <w:pStyle w:val="Para 02"/>
      </w:pPr>
      <w:r>
        <w:t>В подтверждение своей интерпретации Голдхаген постоянно взывает к сознательному использованию тщательной методологии социальной науки как фактора, в первую очередь отличающего его работу от работ других учёных в области.</w:t>
      </w:r>
      <w:hyperlink w:anchor="__602">
        <w:r>
          <w:rPr>
            <w:rStyle w:val="Text2"/>
          </w:rPr>
          <w:bookmarkStart w:id="688" w:name="602"/>
          <w:t>602</w:t>
          <w:bookmarkEnd w:id="688"/>
        </w:r>
      </w:hyperlink>
      <w:r>
        <w:rPr>
          <w:rStyle w:val="Text3"/>
        </w:rPr>
        <w:t xml:space="preserve"> </w:t>
      </w:r>
      <w:r>
        <w:t xml:space="preserve"> Я хотел бы фокусироваться на двух аспектах аргумента Голдхагена для его интерпретации и оценить их по высоким стандартам тщательной социальной науки, которые он сам </w:t>
        <w:t xml:space="preserve">же </w:t>
        <w:t xml:space="preserve">и поставил: во-первых, </w:t>
        <w:t>конструкция</w:t>
        <w:t xml:space="preserve"> и структура его аргумента, во-вторых, методология использования доказательств.</w:t>
      </w:r>
    </w:p>
    <w:p>
      <w:pPr>
        <w:pStyle w:val="Para 02"/>
      </w:pPr>
      <w:r>
        <w:t xml:space="preserve">Тогда как большая часть книги Голдхагена сфокусирована на антисемитизме в немецкой истории и обращении с евреями во время Холокоста, неотъемлемой частью в основе </w:t>
        <w:t>конструкции</w:t>
        <w:t xml:space="preserve"> его аргумента лежат два сравнения.</w:t>
      </w:r>
      <w:hyperlink w:anchor="__603">
        <w:r>
          <w:rPr>
            <w:rStyle w:val="Text2"/>
          </w:rPr>
          <w:bookmarkStart w:id="689" w:name="603"/>
          <w:t>603</w:t>
          <w:bookmarkEnd w:id="689"/>
        </w:r>
      </w:hyperlink>
      <w:r>
        <w:rPr>
          <w:rStyle w:val="Text3"/>
        </w:rPr>
        <w:t xml:space="preserve"> </w:t>
      </w:r>
      <w:r>
        <w:t xml:space="preserve"> Первое, немцев сравнивают с не-немцами в контексте обращения с евреями. Второе, немецкое обращение с жертвами евреями сравнивается с их обращением с жертвами не-евреями. </w:t>
        <w:t>Ставится цель</w:t>
        <w:t xml:space="preserve"> установить, что только всепроникающий, элиминаторский антисемитизм, специфичный для немецкого общества, может объяснить резкие различия якобы проявляющиеся из этих сравнений.</w:t>
      </w:r>
    </w:p>
    <w:p>
      <w:pPr>
        <w:pStyle w:val="Para 02"/>
      </w:pPr>
      <w:r>
        <w:t>С эт</w:t>
        <w:t>ой конструкцией</w:t>
        <w:t xml:space="preserve"> целый ворох проблем. Для адекватной поддержки вторым сравнением своего аргумента, Голдхаген должен был доказать, что не только немцы обращались по-разному с жертвами евреями и не-евреями (с чем соглашаются буквально все историки), но и так же что для большинства соучастников их разное обращение фундаментально объясняется только </w:t>
        <w:t>антисемитской</w:t>
        <w:t xml:space="preserve"> мотивацией, а не другими возможными объяснениями. К примеру, согласием с различными правительственными политиками в зависимости от групп жертв. Второе и третье тематические исследования «Добровольный палачей Гитлера» нацелены на доказательство этих двух пунктов. Голдхаген утверждает, что примеры еврейских трудовых лагерей Липова и Флюг</w:t>
        <w:t>х</w:t>
        <w:t xml:space="preserve">афена в Люблине демонстрируют, что немцы кроваво обходились только с еврейскими рабочими, без каких-либо сожалений и даже контрпродуктивно для экономики. Он утверждает, что пример марша смерти в Хельмбрехтсе демонстрирует, что евреев убивали даже тогда, когда был приказ оставить их в живых, </w:t>
        <w:t xml:space="preserve">и </w:t>
        <w:t xml:space="preserve">из чего он заключает, что мотивацией является не согласие с политикой государства или подчинение приказам, а глубокая персональная ненависть к евреям, пропитавшая всю немецкую культуру. И из всех этих примеров Голдхаген </w:t>
        <w:t>выводит</w:t>
        <w:t>, что беспрецедентная, продолжительная, всеобъемлющая жестокость, с которой немецкие преступники обращались с еврейскими жертвами, объясняется только лишь вышеуказанной причиной.</w:t>
      </w:r>
    </w:p>
    <w:p>
      <w:pPr>
        <w:pStyle w:val="Para 02"/>
      </w:pPr>
      <w:r>
        <w:t>Одна из искупительных черт книги Голдхагена — это привлечение более широкого внимания к маршам смерти, но его попытка сделать обобщение из одного случая в Хельмбрехтсе неубедительна. Его красочное описание ужасного события не должно скрыть тот факт, что доказывая распространённость желания убивать евреев даже вопреки приказам, он не установил ни повторяемость события на других маршах, ни то, что подобное никогда не случалось с другими жертвами. Даже в своём собственном примере он признает, что охране приходилось останавливать местное немецкое население от предоставления еды и крова евреям, а немецких солдат от предоставления им медицинской помощи. Даже не рассматривался вопрос, а были ли те немцы типичными представителями немецкого общества, каковыми он считал охранников. Действительно, разительное отличие в поведение этих групп немцев должно подчеркнуть важность ситуационных и институциональных факторов, которые он отбросил.</w:t>
      </w:r>
      <w:hyperlink w:anchor="__604">
        <w:r>
          <w:rPr>
            <w:rStyle w:val="Text2"/>
          </w:rPr>
          <w:bookmarkStart w:id="690" w:name="604"/>
          <w:t>604</w:t>
          <w:bookmarkEnd w:id="690"/>
        </w:r>
      </w:hyperlink>
      <w:r>
        <w:rPr>
          <w:rStyle w:val="Text3"/>
        </w:rPr>
        <w:t xml:space="preserve"> </w:t>
      </w:r>
      <w:r>
        <w:t xml:space="preserve"> </w:t>
      </w:r>
    </w:p>
    <w:p>
      <w:pPr>
        <w:pStyle w:val="Para 02"/>
      </w:pPr>
      <w:r>
        <w:t>Точно так же можно найти и контрпримеры убийства не-евреев, даже несмотря на изменения в политике на высшем уровне и иррационального использования рабочих не-евреев. Только решив убить всех евреев Европы в октябре 1</w:t>
        <w:t>9</w:t>
        <w:t>41-</w:t>
        <w:t>го</w:t>
        <w:t xml:space="preserve">, нацистский режим развернул на 180 градусов политику </w:t>
        <w:t xml:space="preserve">в отношении к </w:t>
        <w:t>советски</w:t>
        <w:t>м</w:t>
        <w:t xml:space="preserve"> военнопленны</w:t>
        <w:t>м</w:t>
        <w:t xml:space="preserve"> и приказал отныне использовать их для работы, а не просто оставлять умирать от голода, болезней и холода. Рудольфа Хёсса в Освенциме уведомили, что для строительства нового лагеря в Биркенау ему отправят большой контингент советских военнопленных — высокоприоритетная для Гиммлера задача. </w:t>
        <w:t>Если коротко</w:t>
        <w:t xml:space="preserve">, </w:t>
        <w:t>то</w:t>
        <w:t xml:space="preserve"> и из экономических соображений, и по приказу вышестоящих следовало оставлять военнопленных в живых и отправлять на работы. Около 10 000 советов прибыли в Освенцим и отправлены в Биркенау в октябре 1941-</w:t>
        <w:t>го</w:t>
        <w:t xml:space="preserve">. К концу февраля — </w:t>
        <w:t xml:space="preserve">четыре </w:t>
        <w:t>месяца спустя — в живых остались только 945. Процент выживаемости — 9,5.</w:t>
      </w:r>
      <w:hyperlink w:anchor="__605">
        <w:r>
          <w:rPr>
            <w:rStyle w:val="Text2"/>
          </w:rPr>
          <w:bookmarkStart w:id="691" w:name="605"/>
          <w:t>605</w:t>
          <w:bookmarkEnd w:id="691"/>
        </w:r>
      </w:hyperlink>
      <w:r>
        <w:rPr>
          <w:rStyle w:val="Text3"/>
        </w:rPr>
        <w:t xml:space="preserve"> </w:t>
      </w:r>
      <w:r>
        <w:t xml:space="preserve"> Привычное и усвоенное поведение персонала концентрационного лагеря и использование ими работ для пыток и уничтожения, как и смертельные условия в Биркенау, не изменились внезапно от приказа Гиммлера использовать советских военнопленных для приоритетного строительства.</w:t>
      </w:r>
    </w:p>
    <w:p>
      <w:pPr>
        <w:pStyle w:val="Para 02"/>
      </w:pPr>
      <w:r>
        <w:t>Как показал Майкл Тэд Аллен в своей диссертации о Главном Управлении Экономического Развития СС</w:t>
      </w:r>
      <w:hyperlink w:anchor="__606">
        <w:r>
          <w:rPr>
            <w:rStyle w:val="Text2"/>
          </w:rPr>
          <w:bookmarkStart w:id="692" w:name="606"/>
          <w:t>606</w:t>
          <w:bookmarkEnd w:id="692"/>
        </w:r>
      </w:hyperlink>
      <w:r>
        <w:rPr>
          <w:rStyle w:val="Text3"/>
        </w:rPr>
        <w:t xml:space="preserve"> </w:t>
      </w:r>
      <w:r>
        <w:t xml:space="preserve"> , в вопросе системы лагерей использование труда именно для наказания и пыток заключённых, а не продуктивности, стало культурой этого института задолго до того, как евреи стали значительной частью заключённых. Более того, любые попытки во время войны использовать труд концентрационных лагерей продуктивно спотыкались о сопротивление персонала лагерей, упрямо игнорирующих экономическую рациональность. Культуру этих лагерей оказалось сложно изменить, вне зависимости от того, кто в них содержался.</w:t>
      </w:r>
    </w:p>
    <w:p>
      <w:pPr>
        <w:pStyle w:val="Para 02"/>
      </w:pPr>
      <w:r>
        <w:t xml:space="preserve">Что насчёт обращения с еврейскими рабочими в Биркенау в то время? Для сравнения, 7 000 молодых словацких женщин послали весной 1942 </w:t>
        <w:t>г.</w:t>
        <w:t xml:space="preserve"> в главный лагерь Освенцима. В середине августа 6 000 выживших послали в Биркенау. К концу декабря — четыре месяца спустя — в живых осталось лишь 650. Сравнимый с цифрой выше процент </w:t>
        <w:t>выживаемости</w:t>
        <w:t xml:space="preserve"> — 10,8.</w:t>
      </w:r>
      <w:hyperlink w:anchor="__607">
        <w:r>
          <w:rPr>
            <w:rStyle w:val="Text2"/>
          </w:rPr>
          <w:bookmarkStart w:id="693" w:name="607"/>
          <w:t>607</w:t>
          <w:bookmarkEnd w:id="693"/>
        </w:r>
      </w:hyperlink>
      <w:r>
        <w:rPr>
          <w:rStyle w:val="Text3"/>
        </w:rPr>
        <w:t xml:space="preserve"> </w:t>
      </w:r>
      <w:r>
        <w:t xml:space="preserve"> Говоря иначе, институциональные, ситуационные факторы и кровавая идеология, исходящая не только лишь из антисемитизма, за один и тот же период времени и в том же самом лагере привели к практически одинаковому проценту смертности и среди советских военнопленных, и среди словацких женщин евреев. И это несмотря на новое постановление правительства о судьбе военнопленных, и стоящую перед сотрудниками лагеря срочную экономической задачу.</w:t>
      </w:r>
    </w:p>
    <w:p>
      <w:pPr>
        <w:pStyle w:val="Para 02"/>
      </w:pPr>
      <w:r>
        <w:t>Голдхаген на самом деле прав в том, что со временем обращение с советскими пленными изменилось, тогда как к еврейским, кроме как в мелочах, нет. Однако это лишь показывает, что несмотря на инерцию институтов и сложность смены паттерна поведения по отношению к советским военнопленным, политика правительства в конце концов в обоих случаях возобладала. Это не демонстрирует, как полагает Голдхаген,</w:t>
      </w:r>
      <w:hyperlink w:anchor="__608">
        <w:r>
          <w:rPr>
            <w:rStyle w:val="Text2"/>
          </w:rPr>
          <w:bookmarkStart w:id="694" w:name="608"/>
          <w:t>608</w:t>
          <w:bookmarkEnd w:id="694"/>
        </w:r>
      </w:hyperlink>
      <w:r>
        <w:rPr>
          <w:rStyle w:val="Text3"/>
        </w:rPr>
        <w:t xml:space="preserve"> </w:t>
      </w:r>
      <w:r>
        <w:t xml:space="preserve"> что судьба славян, таких как советские военнопленные, и евреев различалась в основном из-за культурно насаждённых отношений к этим двум группам жертв. Немцы ответственны за смерть около двух миллионов советских пленных за первые девять месяцев войны — это намного больше числа еврейских жертв к тому моменту. Процент смертности в этих лагерях намного превышал процент смертности в </w:t>
        <w:t>п</w:t>
        <w:t xml:space="preserve">ольских гетто </w:t>
      </w:r>
      <w:r>
        <w:rPr>
          <w:rStyle w:val="Text0"/>
        </w:rPr>
        <w:t>до</w:t>
      </w:r>
      <w:r>
        <w:t xml:space="preserve"> Окончате</w:t>
        <w:t>льного Решения.</w:t>
      </w:r>
    </w:p>
    <w:p>
      <w:pPr>
        <w:pStyle w:val="Para 02"/>
      </w:pPr>
      <w:r>
        <w:t xml:space="preserve">Тот факт, что нацистский режим изменил политику в сторону убийства всех евреев и изменил подход так, чтобы не убивать всех советских пленных показывает лишь идеологию, приоритеты и одержимость Гитлера и нацистского руководства, а не обобщённое отношение немецкого общества. Ошеломляющая смертность среди пленных советов в первые месяцы предполагает в первую очередь способность режима заставить обыкновенных немцев </w:t>
        <w:t xml:space="preserve">и дальше убивать </w:t>
        <w:t xml:space="preserve">бесчисленное количество советских заключённых, если бы цель не изменилась. Продолжившееся массовое убийство советов вплоть до весны 1942 </w:t>
        <w:t xml:space="preserve">года </w:t>
        <w:t>демонстрирует, что нельзя мгновенно остановить машину смерти и изменить поведение персонала, даже если есть приказ с самых верхов.</w:t>
      </w:r>
    </w:p>
    <w:p>
      <w:pPr>
        <w:pStyle w:val="Para 02"/>
      </w:pPr>
      <w:r>
        <w:t xml:space="preserve">Можно найти много разных переменных — политика правительства, паттерны поведения и культурно насаждаемые образы — все они будут важны. И всё же, обосновывая немецкое поведение к евреям и остальным жертвам, Голдхаген в своей аргументации неадекватно разделяет возможные причины и факторы. Его настойчивое желание утвердить, что немецкое когнитивное представление о евреях является «единственным» аккуратным контекстом — </w:t>
        <w:t xml:space="preserve">и </w:t>
        <w:t xml:space="preserve">поддерживается в первую очередь его </w:t>
        <w:t>собственным</w:t>
        <w:t xml:space="preserve"> подчёркиванием жестокости преступников.</w:t>
      </w:r>
    </w:p>
    <w:p>
      <w:pPr>
        <w:pStyle w:val="Para 02"/>
      </w:pPr>
      <w:r>
        <w:t xml:space="preserve">Однако аргумент, что немецкая жестокость беспрецедентна и специфична именно для немцев, проблематичен по двум причинам. </w:t>
        <w:t>Во-первых,</w:t>
        <w:t xml:space="preserve"> заявление Голдхагена об исключительности подобного основано на эмоциональном воздействии его повествования, а не на фактическом сравнении. Он предоставляет множество графических и леденящих душу описаний немецкой жестокости, а затем просто заявляет застывшему в ужасе читателю, что такое поведение явно беспрецедентно. Если бы это только было правдой. К сожалению, показания об убийствах, совершенных румынами и хорватами, с лёгкостью демонстрируют, как </w:t>
        <w:t xml:space="preserve">коллаборанты </w:t>
        <w:t>были</w:t>
        <w:t xml:space="preserve"> не просто сравнимы, но и часто превосходили немцев в жестокости. Так же это игнорирует мириады других примеров не из Холокоста — от Камбоджи до Руанды.</w:t>
      </w:r>
    </w:p>
    <w:p>
      <w:pPr>
        <w:pStyle w:val="Para 02"/>
      </w:pPr>
      <w:r>
        <w:t/>
        <w:t>Н</w:t>
        <w:t xml:space="preserve">аоборот, </w:t>
        <w:t>он</w:t>
        <w:t xml:space="preserve"> принижает жестокость нацистских убийств других жертв, в особенности немецких инвалидов, убийство которых немцы якобы не праздновали, совершали «хладнокровно» и применяли «безболезненные» методы.</w:t>
      </w:r>
      <w:hyperlink w:anchor="__609">
        <w:r>
          <w:rPr>
            <w:rStyle w:val="Text2"/>
          </w:rPr>
          <w:bookmarkStart w:id="695" w:name="609"/>
          <w:t>609</w:t>
          <w:bookmarkEnd w:id="695"/>
        </w:r>
      </w:hyperlink>
      <w:r>
        <w:rPr>
          <w:rStyle w:val="Text3"/>
        </w:rPr>
        <w:t xml:space="preserve"> </w:t>
      </w:r>
      <w:r>
        <w:t xml:space="preserve"> И всё же умственно отсталые стали первыми жертвами расстрельных команд Эйманн </w:t>
        <w:t>[</w:t>
        <w:t>Eimann</w:t>
        <w:t>]</w:t>
      </w:r>
      <w:hyperlink w:anchor="__610">
        <w:r>
          <w:rPr>
            <w:rStyle w:val="Text2"/>
          </w:rPr>
          <w:bookmarkStart w:id="696" w:name="610"/>
          <w:t>610</w:t>
          <w:bookmarkEnd w:id="696"/>
        </w:r>
      </w:hyperlink>
      <w:r>
        <w:rPr>
          <w:rStyle w:val="Text3"/>
        </w:rPr>
        <w:t xml:space="preserve"> </w:t>
      </w:r>
      <w:r>
        <w:t xml:space="preserve"> </w:t>
        <w:t>, ещё до изобретения газовых фургонов и камер, а множество младенцев просто оставили умирать без еды. Кричащих и спасавшихся бегством пациентов отлавливали и тащили из приютов в автобусы. В Хадамаре убийцы устроили вечеринку в честь 10 000 жертв!</w:t>
      </w:r>
      <w:hyperlink w:anchor="__611">
        <w:r>
          <w:rPr>
            <w:rStyle w:val="Text2"/>
          </w:rPr>
          <w:bookmarkStart w:id="697" w:name="611"/>
          <w:t>611</w:t>
          <w:bookmarkEnd w:id="697"/>
        </w:r>
      </w:hyperlink>
      <w:r>
        <w:rPr>
          <w:rStyle w:val="Text3"/>
        </w:rPr>
        <w:t xml:space="preserve"> </w:t>
      </w:r>
      <w:r>
        <w:t xml:space="preserve"> </w:t>
      </w:r>
    </w:p>
    <w:p>
      <w:pPr>
        <w:pStyle w:val="Para 02"/>
      </w:pPr>
      <w:r>
        <w:t/>
        <w:t xml:space="preserve">Во-вторых, </w:t>
        <w:t>Голдхаген просто утверждает как интуитивно понятную истину, что такая жестокость может объясняться только когнитивным образом евреев, специфичным для немецкой культуры.</w:t>
      </w:r>
      <w:hyperlink w:anchor="__612">
        <w:r>
          <w:rPr>
            <w:rStyle w:val="Text2"/>
          </w:rPr>
          <w:bookmarkStart w:id="698" w:name="612"/>
          <w:t>612</w:t>
          <w:bookmarkEnd w:id="698"/>
        </w:r>
      </w:hyperlink>
      <w:r>
        <w:rPr>
          <w:rStyle w:val="Text3"/>
        </w:rPr>
        <w:t xml:space="preserve"> </w:t>
      </w:r>
      <w:r>
        <w:t xml:space="preserve"> Он вполне прав, что жестокость Холокоста — так ярко запечатлённая в памяти выживших — проблема, недостаточно хорошо рассмотренная учёными, но это не означает, что его собственная оценка мотивации верна. Интересно, что переживший Холокост красноречивый Примо Леви отчасти соглашается с Францем Штангелем, печально известным комендантом Треблинки, в возможном объяснении жестокости преступников. А именно в том, что полное обесценивание и унижение жертв привело к их обесчеловечиванию — так необходимому элементу жестокости и «подготовке тех, кому предстоит применять </w:t>
        <w:t>политику</w:t>
        <w:t>. Сделать то, что они сделали». Но мы можем понять расстройство Леви, что такое объяснение само по себе если и не неверно, тем не менее неполноценно. «Это объяснение не без логики», — он продолжает, — «но это воззвание к небесам, единственная польза от бесполезного насилия».</w:t>
      </w:r>
      <w:hyperlink w:anchor="__613">
        <w:r>
          <w:rPr>
            <w:rStyle w:val="Text2"/>
          </w:rPr>
          <w:bookmarkStart w:id="699" w:name="613"/>
          <w:t>613</w:t>
          <w:bookmarkEnd w:id="699"/>
        </w:r>
      </w:hyperlink>
      <w:r>
        <w:rPr>
          <w:rStyle w:val="Text3"/>
        </w:rPr>
        <w:t xml:space="preserve"> </w:t>
      </w:r>
      <w:r>
        <w:t xml:space="preserve"> </w:t>
      </w:r>
    </w:p>
    <w:p>
      <w:pPr>
        <w:pStyle w:val="Para 02"/>
      </w:pPr>
      <w:r>
        <w:t xml:space="preserve">И действительно, многие случаи жестокости превосходят какое-либо конструктивное объяснение. Фрэд Э. Кац </w:t>
        <w:t>[</w:t>
        <w:t>Fred E. Katz</w:t>
        <w:t>]</w:t>
        <w:t xml:space="preserve"> выбрал другой подход, в котором утверждает, что в окружении постоянных убийств создание «культуры жестокости» </w:t>
      </w:r>
      <w:r>
        <w:rPr>
          <w:rStyle w:val="Text0"/>
        </w:rPr>
        <w:t>—</w:t>
      </w:r>
      <w:r>
        <w:t xml:space="preserve"> это «влиятельный феномен», предоставляющий множество форм удовлетворения — индивидуальная репутация и возвышение себя в глазах товарищей, избавление от скуки, чувство радости и веселья, артистичности и креативности. По крайней мере, для тех, кто выставляет напоказ свои беспричинные и изобретательные жестокости.</w:t>
      </w:r>
      <w:hyperlink w:anchor="__614">
        <w:r>
          <w:rPr>
            <w:rStyle w:val="Text2"/>
          </w:rPr>
          <w:bookmarkStart w:id="700" w:name="614"/>
          <w:t>614</w:t>
          <w:bookmarkEnd w:id="700"/>
        </w:r>
      </w:hyperlink>
      <w:r>
        <w:rPr>
          <w:rStyle w:val="Text3"/>
        </w:rPr>
        <w:t xml:space="preserve"> </w:t>
      </w:r>
      <w:r>
        <w:t xml:space="preserve"> Но мы вс</w:t>
        <w:t>ё</w:t>
        <w:t xml:space="preserve"> ещё остались без ответа на вопрос, который не может быть </w:t>
        <w:t>решён</w:t>
        <w:t xml:space="preserve"> простым утверждением: культура ненависти — необходимое условие для подобной культуры жестокости? Голдхаген задаёт важный вопрос. Я не думаю, что уже нашли удовлетворительный ответ на него.</w:t>
      </w:r>
    </w:p>
    <w:p>
      <w:pPr>
        <w:pStyle w:val="Para 02"/>
      </w:pPr>
      <w:r>
        <w:t xml:space="preserve">Давайте обратимся к другому сравнению — обращение с евреями немцев и не-немцев. Для соблюдения стандартов социальной науки, немецкое поведение следует сравнивать с полным набором, или хотя бы с беспристрастной выборкой из стран участников </w:t>
        <w:t>Окончате</w:t>
        <w:t>льного Решения. Вместо этого Голдхаген выбирает датчан и итальянцев в качестве стандарта для сравнения, что не является ни полным, ни случайным, ни беспристрастным выбором.</w:t>
      </w:r>
      <w:hyperlink w:anchor="__615">
        <w:r>
          <w:rPr>
            <w:rStyle w:val="Text2"/>
          </w:rPr>
          <w:bookmarkStart w:id="701" w:name="615"/>
          <w:t>615</w:t>
          <w:bookmarkEnd w:id="701"/>
        </w:r>
      </w:hyperlink>
      <w:r>
        <w:rPr>
          <w:rStyle w:val="Text3"/>
        </w:rPr>
        <w:t xml:space="preserve"> </w:t>
      </w:r>
      <w:r>
        <w:t xml:space="preserve"> На самом же деле его выбор всего лишь ставит вопрос редкости примеров датского и итальянского поведения против способности Германии найти союзников для своей кровавой деятельности буквально по всей Европе. Это не показывает исключительность обращения немцев с евреями, и уж тем более не доказывает, что в его основе лежит специфичный немецкий антисемитизм. В других случаях Голдхаген признает участие восточных европейцев в расстрельных командах и призывает к </w:t>
        <w:t xml:space="preserve">исследованию </w:t>
        <w:t>«комбинации когнитивных и ситуационных факторов», которые привели этих преступников к Холокосту.</w:t>
      </w:r>
      <w:hyperlink w:anchor="__616">
        <w:r>
          <w:rPr>
            <w:rStyle w:val="Text2"/>
          </w:rPr>
          <w:bookmarkStart w:id="702" w:name="616"/>
          <w:t>616</w:t>
          <w:bookmarkEnd w:id="702"/>
        </w:r>
      </w:hyperlink>
      <w:r>
        <w:rPr>
          <w:rStyle w:val="Text3"/>
        </w:rPr>
        <w:t xml:space="preserve"> </w:t>
      </w:r>
      <w:r>
        <w:t xml:space="preserve"> Он не объясняет, почему мультифакторное объяснение внезапно допустимо для восточной Европы, но не для Германии.</w:t>
      </w:r>
    </w:p>
    <w:p>
      <w:pPr>
        <w:pStyle w:val="Para 02"/>
      </w:pPr>
      <w:r>
        <w:t xml:space="preserve">Кроме всего прочего, как я заметил на симпозиуме в Мемориальном Музее Холокоста США в апреле 1996 </w:t>
        <w:t>года</w:t>
      </w:r>
      <w:hyperlink w:anchor="__617">
        <w:r>
          <w:rPr>
            <w:rStyle w:val="Text2"/>
          </w:rPr>
          <w:bookmarkStart w:id="703" w:name="617"/>
          <w:t>617</w:t>
          <w:bookmarkEnd w:id="703"/>
        </w:r>
      </w:hyperlink>
      <w:r>
        <w:rPr>
          <w:rStyle w:val="Text3"/>
        </w:rPr>
        <w:t xml:space="preserve"> </w:t>
      </w:r>
      <w:r>
        <w:t xml:space="preserve"> , пример люксембуржцев в Полицейском Резервном Батальоне 101 предоставляет редкую возможность для сравнения людей в одной ситуации, но с разным культурным происхождением. </w:t>
        <w:t xml:space="preserve">Тогда как </w:t>
        <w:t xml:space="preserve">подобное </w:t>
        <w:t xml:space="preserve">лишь наталкивает на размышления, </w:t>
        <w:t>и</w:t>
        <w:t xml:space="preserve"> не позволяет сделать </w:t>
        <w:t xml:space="preserve">решительные </w:t>
        <w:t xml:space="preserve">выводы, </w:t>
        <w:t xml:space="preserve">мне удалось </w:t>
        <w:t>отмети</w:t>
        <w:t>ть</w:t>
        <w:t xml:space="preserve">, подразумевая сильное влияние ситуационных факторов, что четырнадцать люксембуржцев вели себя по большому счёту </w:t>
        <w:t>точно так</w:t>
        <w:t xml:space="preserve"> же, как и их немецкие товарищи. Голдхаген ответил, что четырнадцать люксембуржцев — слишком малое число, </w:t>
        <w:t xml:space="preserve">и из него </w:t>
        <w:t xml:space="preserve">нельзя сделать радикальный вывод. Однако сам он не стеснялся сделать радикальный вывод, </w:t>
        <w:t>основываясь на</w:t>
        <w:t xml:space="preserve"> небольшо</w:t>
        <w:t>м</w:t>
        <w:t xml:space="preserve"> количеств</w:t>
        <w:t xml:space="preserve">е </w:t>
        <w:t>охранников трудовых лагерей Флюг</w:t>
        <w:t>х</w:t>
        <w:t xml:space="preserve">афена </w:t>
        <w:t xml:space="preserve">[Flughafen] </w:t>
        <w:t xml:space="preserve">и Липова </w:t>
        <w:t>или</w:t>
        <w:t xml:space="preserve"> марша смерти Хельмбрехтса.</w:t>
      </w:r>
    </w:p>
    <w:p>
      <w:pPr>
        <w:pStyle w:val="Para 02"/>
      </w:pPr>
      <w:r>
        <w:t>Мо</w:t>
        <w:t xml:space="preserve">и претензии </w:t>
        <w:t xml:space="preserve">к </w:t>
        <w:t>конструкции</w:t>
        <w:t xml:space="preserve"> аргумента Голдхагена не опровергают саму его интерпретацию — </w:t>
        <w:t xml:space="preserve">они </w:t>
        <w:t xml:space="preserve">просто демонстрируют, что он не соблюдал стандартов к доказательству строгой социальной науки, которые он </w:t>
        <w:t xml:space="preserve">не только </w:t>
        <w:t xml:space="preserve">задал для себя, но и </w:t>
        <w:t xml:space="preserve">неоднократно </w:t>
        <w:t xml:space="preserve">заявлял, что остальные даже позорным образом их не понимают. Для демонстрации не только отсутствия </w:t>
        <w:t>неоспоримого</w:t>
        <w:t xml:space="preserve"> доказательства в его интерпретации, но и ошиб</w:t>
        <w:t>ок</w:t>
        <w:t>, сделавши</w:t>
        <w:t>х</w:t>
        <w:t xml:space="preserve"> её неубедительной, нам стоит рассмотреть </w:t>
        <w:t>как он</w:t>
        <w:t xml:space="preserve"> использует</w:t>
        <w:t xml:space="preserve"> доказательств</w:t>
        <w:t>а</w:t>
        <w:t>.</w:t>
      </w:r>
    </w:p>
    <w:p>
      <w:pPr>
        <w:pStyle w:val="Para 02"/>
      </w:pPr>
      <w:r>
        <w:t xml:space="preserve">Голдхаген признает, что он начал с гипотезы, «что преступники были мотивированы принять участие в смертельном гонении на евреев из-за своих </w:t>
        <w:t xml:space="preserve">убеждений относительно </w:t>
        <w:t>жертв».</w:t>
      </w:r>
      <w:hyperlink w:anchor="__618">
        <w:r>
          <w:rPr>
            <w:rStyle w:val="Text2"/>
          </w:rPr>
          <w:bookmarkStart w:id="704" w:name="618"/>
          <w:t>618</w:t>
          <w:bookmarkEnd w:id="704"/>
        </w:r>
      </w:hyperlink>
      <w:r>
        <w:rPr>
          <w:rStyle w:val="Text3"/>
        </w:rPr>
        <w:t xml:space="preserve"> </w:t>
      </w:r>
      <w:r>
        <w:t xml:space="preserve"> Главный источник доказательства поведения и мотивации людей Полицейского Резервного Батальона 101 для проверки гипотезы — это послевоенные показания, собранные при судебном расследовании. Вопрос проблематичности таких послевоенных показаний преступников не является спорным для учёных — они сформированы как вопросами следователей, так и забывчивостью, подавлением воспоминаний, искажениями фактов, уклончивостью и лживостью свидетелей.</w:t>
      </w:r>
    </w:p>
    <w:p>
      <w:pPr>
        <w:pStyle w:val="Para 02"/>
      </w:pPr>
      <w:r>
        <w:t>Однако моя позиция такова, что судебные показания Полицейского Резервного Батальона 101 качественно отличаются от большей части подобных показаний. Члены отряда были живы, более 40% (</w:t>
        <w:t xml:space="preserve">по </w:t>
        <w:t>больш</w:t>
        <w:t xml:space="preserve">ей </w:t>
        <w:t>часть рядовы</w:t>
        <w:t>е</w:t>
        <w:t>, а не офицер</w:t>
        <w:t>ы</w:t>
        <w:t>) допрошено способными и настойчивыми адвокатами следствия. Множество необычно ярких и детальных показаний выделяются на фоне так часто встречающихся формальных и откровенно нечестных. Сознавая субъективность и возможную ошибочность моих суждений, я тем менее думаю, что эта совокупность свидетельских показаний предоставляет историкам уникальную возможность исследовать проблемы с таких сторон, с которых другие показания не позволяют. В конце концов не случайно, что и я, и Голдхаген независимо друг от друга пришли к одним и тем же судебным записям.</w:t>
      </w:r>
    </w:p>
    <w:p>
      <w:pPr>
        <w:pStyle w:val="Para 02"/>
      </w:pPr>
      <w:r>
        <w:t>Чтобы справиться с проблемой доказательной ценности</w:t>
      </w:r>
      <w:hyperlink w:anchor="__619">
        <w:r>
          <w:rPr>
            <w:rStyle w:val="Text2"/>
          </w:rPr>
          <w:bookmarkStart w:id="705" w:name="619"/>
          <w:t>619</w:t>
          <w:bookmarkEnd w:id="705"/>
        </w:r>
      </w:hyperlink>
      <w:r>
        <w:rPr>
          <w:rStyle w:val="Text3"/>
        </w:rPr>
        <w:t xml:space="preserve"> </w:t>
      </w:r>
      <w:r>
        <w:t xml:space="preserve"> показаний преступников, Голдхаген утверждает, что «единственная методология имеющий смысл — это отбросить </w:t>
      </w:r>
      <w:r>
        <w:rPr>
          <w:rStyle w:val="Text0"/>
        </w:rPr>
        <w:t xml:space="preserve">все </w:t>
      </w:r>
      <w:r>
        <w:t>самооправдательные показания, не нашедшие подтверждения в других источниках».</w:t>
      </w:r>
      <w:hyperlink w:anchor="__620">
        <w:r>
          <w:rPr>
            <w:rStyle w:val="Text2"/>
          </w:rPr>
          <w:bookmarkStart w:id="706" w:name="620"/>
          <w:t>620</w:t>
          <w:bookmarkEnd w:id="706"/>
        </w:r>
      </w:hyperlink>
      <w:r>
        <w:rPr>
          <w:rStyle w:val="Text3"/>
        </w:rPr>
        <w:t xml:space="preserve"> </w:t>
      </w:r>
      <w:r>
        <w:t xml:space="preserve"> Голдхаген так же в курсе, что «искушение выбрать благоприятный материал из большого количества дел надо подавлять для избежания предвзятости в заключении».</w:t>
      </w:r>
      <w:hyperlink w:anchor="__621">
        <w:r>
          <w:rPr>
            <w:rStyle w:val="Text2"/>
          </w:rPr>
          <w:bookmarkStart w:id="707" w:name="621"/>
          <w:t>621</w:t>
          <w:bookmarkEnd w:id="707"/>
        </w:r>
      </w:hyperlink>
      <w:r>
        <w:rPr>
          <w:rStyle w:val="Text3"/>
        </w:rPr>
        <w:t xml:space="preserve"> </w:t>
      </w:r>
      <w:r>
        <w:t xml:space="preserve"> Он отстаивает, что в его методологии «такая предвзятость пренебрежительно мала».</w:t>
      </w:r>
      <w:hyperlink w:anchor="__622">
        <w:r>
          <w:rPr>
            <w:rStyle w:val="Text2"/>
          </w:rPr>
          <w:bookmarkStart w:id="708" w:name="622"/>
          <w:t>622</w:t>
          <w:bookmarkEnd w:id="708"/>
        </w:r>
      </w:hyperlink>
      <w:r>
        <w:rPr>
          <w:rStyle w:val="Text3"/>
        </w:rPr>
        <w:t xml:space="preserve"> </w:t>
      </w:r>
      <w:r>
        <w:t xml:space="preserve"> </w:t>
      </w:r>
    </w:p>
    <w:p>
      <w:pPr>
        <w:pStyle w:val="Para 02"/>
      </w:pPr>
      <w:r>
        <w:t xml:space="preserve">Но избежала ли </w:t>
        <w:t xml:space="preserve">на самом деле </w:t>
        <w:t>методология Голдхагена предвзятости? Что в применении стандарта Голдхагеном считалось самооправдательным показанием и не учитывалось? Явля</w:t>
        <w:t>е</w:t>
        <w:t>тся ли показание, в котором свидетель не «отдаёт свою душу, волю и моральную оценку» убийствам, «самооправдательным»?</w:t>
      </w:r>
      <w:hyperlink w:anchor="__623">
        <w:r>
          <w:rPr>
            <w:rStyle w:val="Text2"/>
          </w:rPr>
          <w:bookmarkStart w:id="709" w:name="623"/>
          <w:t>623</w:t>
          <w:bookmarkEnd w:id="709"/>
        </w:r>
      </w:hyperlink>
      <w:r>
        <w:rPr>
          <w:rStyle w:val="Text3"/>
        </w:rPr>
        <w:t xml:space="preserve"> </w:t>
      </w:r>
      <w:r>
        <w:t xml:space="preserve"> Говоря иначе, любые, расходящиеся с его гипотезой и не имеющие стороннего подтверждения </w:t>
        <w:t>(или подкрепления)</w:t>
        <w:t xml:space="preserve">, показания не учитываются, а получить какие-либо сторонние доказательства душевного состояния, с учётом отсутствия писем и дневников того времени, </w:t>
        <w:t>практически</w:t>
        <w:t xml:space="preserve"> невозможно. Как результат, Голдхаген остаётся лишь с остатком показаний, совместимых с его гипотезой, и выводы известны заранее. Методология, которая едва ли может подтвердить гипотезу для которой была создана — это не настоящая социальная наука.</w:t>
      </w:r>
    </w:p>
    <w:p>
      <w:pPr>
        <w:pStyle w:val="Para 02"/>
      </w:pPr>
      <w:r>
        <w:t>Проблема детерминистской методологии осложняется ещё одной ошибкой Голдхагена в использовании доказательств, а именно в двойном стандарте, при котором он не применяет те же стандарты доказательств и высокий исключающий порог, когда жертв</w:t>
        <w:t>ами являлись</w:t>
        <w:t xml:space="preserve"> поляки, а не евреи. Кумулятивный эффект этих ошибок можно наглядно показать в сравнении наших оценок убийств Полицейским Резервным Батальоном 101 евреев Юзефуве и поляков в Тальчине и том же Юзефуве.</w:t>
      </w:r>
    </w:p>
    <w:p>
      <w:pPr>
        <w:pStyle w:val="Para 02"/>
      </w:pPr>
      <w:r>
        <w:t>Согласно Голдхагену, в Юзефуве майор Вильгельм Трапп дал «пламенную речь», «призывая людей к убийству, взывая к их представлению о демонических евреях, которое было буквально у всех». Хоть Трапп и был «неловок» и «смущён», его речь раскрывает «его нацистское представление о евреях». Голдхаген признает, что «многие были потрясены, даже ненадолго подавлены убийствами», но предупреждает об «искушении» найти в показаниях людей какие-либо негативные реакции, помимо личной неприязни перед лицом литров крови и кишок.</w:t>
      </w:r>
      <w:hyperlink w:anchor="__624">
        <w:r>
          <w:rPr>
            <w:rStyle w:val="Text2"/>
          </w:rPr>
          <w:bookmarkStart w:id="710" w:name="624"/>
          <w:t>624</w:t>
          <w:bookmarkEnd w:id="710"/>
        </w:r>
      </w:hyperlink>
      <w:r>
        <w:rPr>
          <w:rStyle w:val="Text3"/>
        </w:rPr>
        <w:t xml:space="preserve"> </w:t>
      </w:r>
      <w:r>
        <w:t xml:space="preserve"> </w:t>
      </w:r>
    </w:p>
    <w:p>
      <w:pPr>
        <w:pStyle w:val="Para 02"/>
      </w:pPr>
      <w:r>
        <w:t xml:space="preserve">Что же осталось вне этой картины? Голдхаген, хоть и не в основном тексте, </w:t>
        <w:t>а</w:t>
        <w:t xml:space="preserve"> в приписке, </w:t>
        <w:t>но</w:t>
        <w:t xml:space="preserve"> признает, что один свидетель описывает Траппа «плачущим». Нет упоминания о других семерых, что описывали, как Трапп плакал или иначе физически демонстрировал беспокойство.</w:t>
      </w:r>
      <w:hyperlink w:anchor="__625">
        <w:r>
          <w:rPr>
            <w:rStyle w:val="Text2"/>
          </w:rPr>
          <w:bookmarkStart w:id="711" w:name="625"/>
          <w:t>625</w:t>
          <w:bookmarkEnd w:id="711"/>
        </w:r>
      </w:hyperlink>
      <w:r>
        <w:rPr>
          <w:rStyle w:val="Text3"/>
        </w:rPr>
        <w:t xml:space="preserve"> </w:t>
      </w:r>
      <w:r>
        <w:t xml:space="preserve"> Он не рассказывает о двух показаниях полицейских, открыто заявляющих, как Трапп рассказывал о приказах, пришедших сверху.</w:t>
      </w:r>
      <w:hyperlink w:anchor="__626">
        <w:r>
          <w:rPr>
            <w:rStyle w:val="Text2"/>
          </w:rPr>
          <w:bookmarkStart w:id="712" w:name="626"/>
          <w:t>626</w:t>
          <w:bookmarkEnd w:id="712"/>
        </w:r>
      </w:hyperlink>
      <w:r>
        <w:rPr>
          <w:rStyle w:val="Text3"/>
        </w:rPr>
        <w:t xml:space="preserve"> </w:t>
      </w:r>
      <w:r>
        <w:t xml:space="preserve"> Не было рассказано, как Трап </w:t>
        <w:t xml:space="preserve">в своей речи </w:t>
        <w:t>открыто дистанцировался от этих приказов.</w:t>
      </w:r>
      <w:hyperlink w:anchor="__627">
        <w:r>
          <w:rPr>
            <w:rStyle w:val="Text2"/>
          </w:rPr>
          <w:bookmarkStart w:id="713" w:name="627"/>
          <w:t>627</w:t>
          <w:bookmarkEnd w:id="713"/>
        </w:r>
      </w:hyperlink>
      <w:r>
        <w:rPr>
          <w:rStyle w:val="Text3"/>
        </w:rPr>
        <w:t xml:space="preserve"> </w:t>
      </w:r>
      <w:r>
        <w:t xml:space="preserve"> Он не упоминает показания водителя Траппа: «Говоря о событиях в Юзефуве, он позже сказал примерно следующее: „Если за это дело с евреями когда-нибудь придёт месть, то смилуйтесь над нами, немцами“».</w:t>
      </w:r>
      <w:hyperlink w:anchor="__628">
        <w:r>
          <w:rPr>
            <w:rStyle w:val="Text2"/>
          </w:rPr>
          <w:bookmarkStart w:id="714" w:name="628"/>
          <w:t>628</w:t>
          <w:bookmarkEnd w:id="714"/>
        </w:r>
      </w:hyperlink>
      <w:r>
        <w:rPr>
          <w:rStyle w:val="Text3"/>
        </w:rPr>
        <w:t xml:space="preserve"> </w:t>
      </w:r>
      <w:r>
        <w:t xml:space="preserve"> Якобы «пламенная речь», взывавшая к представлениям о демонах евреях, после проверки оказывается достаточно жалкой попыткой рационализировать необходимость вырезание евреев как военный ответ на бомбардировку женщин и детей дома в Германии. Повторяющиеся показания людей о том, как они были потрясены, подавлены, огорчены, унылы, поражены, разозлены и обременены — отвергнуты Голдхагеном как самооправдательные показания, описывающие «кратковременную» неприязнь.</w:t>
      </w:r>
    </w:p>
    <w:p>
      <w:pPr>
        <w:pStyle w:val="Para 02"/>
      </w:pPr>
      <w:r>
        <w:t xml:space="preserve">Описывая первую казнь поляков в карательном расстреле в Тальчине, Голдхаген убеждает: «Этот показательный эпизод позволяет сравнить отношение немцев к полякам и евреям». </w:t>
        <w:t xml:space="preserve">В качестве доказательства </w:t>
        <w:t xml:space="preserve">он приводит цитаты всего двух свидетелей — одного, </w:t>
        <w:t xml:space="preserve">сообщившем </w:t>
        <w:t>о «плачущем» в Тальчине Траппе; и другом, утверждавшем, что «после этого часть людей заявило о своём нежелании участвовать в подобных миссиях в будущем».</w:t>
      </w:r>
      <w:hyperlink w:anchor="__629">
        <w:r>
          <w:rPr>
            <w:rStyle w:val="Text2"/>
          </w:rPr>
          <w:bookmarkStart w:id="715" w:name="629"/>
          <w:t>629</w:t>
          <w:bookmarkEnd w:id="715"/>
        </w:r>
      </w:hyperlink>
      <w:r>
        <w:rPr>
          <w:rStyle w:val="Text3"/>
        </w:rPr>
        <w:t xml:space="preserve"> </w:t>
      </w:r>
      <w:r>
        <w:t xml:space="preserve"> Иначе говоря, именно такие показания Голдхаген исключил или проигнорировал, когда описывал убийство батальоном евреев в Юзефуве. Теперь же они принимаются — даже если даны всего двумя свидетелями — для доказательства иного отношения немцев к убийству поляков.</w:t>
      </w:r>
    </w:p>
    <w:p>
      <w:pPr>
        <w:pStyle w:val="Para 02"/>
      </w:pPr>
      <w:r>
        <w:t xml:space="preserve">В добавок к этому, двойной стандарт в выборке доказательств может быть замечен в анализе Голдхагена мотивов людей. Неспособность </w:t>
        <w:t>людей</w:t>
        <w:t xml:space="preserve"> уклониться </w:t>
        <w:t xml:space="preserve">от убийств </w:t>
        <w:t>в Тальчине не рассматрив</w:t>
        <w:t>ае</w:t>
        <w:t>тся как доказательство желани</w:t>
        <w:t>я</w:t>
        <w:t xml:space="preserve"> убивать поляков, тогда как неспособность выйти вперёд в Юзефуве приводится как доказательство </w:t>
        <w:t>того</w:t>
        <w:t>, что они «хотели стать палачами в геноциде» евреев. Ничего кроме «кратковременной» слабости духа не находится в горе показаний о беспокойстве людей в Юзефуве, тогда как показания единственного свидетеля Тальчина якобы валидное подтверждение «очевидного нежелания и неприятия» убийства поляков.</w:t>
      </w:r>
      <w:hyperlink w:anchor="__630">
        <w:r>
          <w:rPr>
            <w:rStyle w:val="Text2"/>
          </w:rPr>
          <w:bookmarkStart w:id="716" w:name="630"/>
          <w:t>630</w:t>
          <w:bookmarkEnd w:id="716"/>
        </w:r>
      </w:hyperlink>
      <w:r>
        <w:rPr>
          <w:rStyle w:val="Text3"/>
        </w:rPr>
        <w:t xml:space="preserve"> </w:t>
      </w:r>
      <w:r>
        <w:t xml:space="preserve"> </w:t>
      </w:r>
    </w:p>
    <w:p>
      <w:pPr>
        <w:pStyle w:val="Para 02"/>
      </w:pPr>
      <w:r>
        <w:t xml:space="preserve">Можно и иначе увидеть двойной стандарт по отношению к жертвам полякам и евреям. Голдхаген цитирует многочисленные случаи беспричинного и добровольного убийства евреев как уместные для оценки поведения убийц, </w:t>
        <w:t xml:space="preserve">однако, </w:t>
        <w:t>такие же убийства поляков батальоном он игнорирует. Пока полицейские собирались сходить в кино в Ополе, приш</w:t>
        <w:t>ё</w:t>
        <w:t>л доклад об убитом в деревне Незд</w:t>
        <w:t>у</w:t>
        <w:t xml:space="preserve">в представителе немецкой полиции, </w:t>
        <w:t>и б</w:t>
        <w:t xml:space="preserve">атальон послали провести карательный расстрел. В деревне остались только старые поляки, в основном женщины, а молодые все сбежали. </w:t>
        <w:t>Стало известно</w:t>
        <w:t>, что представителя не убили, а всего лишь ранили. Тем не менее члены Полицейского Резервного Батальона 101 расстреляли стариков и сожгли деревню, после чего отправились развлекаться в кино.</w:t>
      </w:r>
      <w:hyperlink w:anchor="__631">
        <w:r>
          <w:rPr>
            <w:rStyle w:val="Text2"/>
          </w:rPr>
          <w:bookmarkStart w:id="717" w:name="631"/>
          <w:t>631</w:t>
          <w:bookmarkEnd w:id="717"/>
        </w:r>
      </w:hyperlink>
      <w:r>
        <w:rPr>
          <w:rStyle w:val="Text3"/>
        </w:rPr>
        <w:t xml:space="preserve"> </w:t>
      </w:r>
      <w:r>
        <w:t xml:space="preserve"> </w:t>
        <w:t xml:space="preserve"> Сложно увидеть</w:t>
        <w:t xml:space="preserve"> подтверждение</w:t>
        <w:t xml:space="preserve"> «нежелания и неприятия» убийства поляков в этом эпизоде. Умолчал бы об этом инциденте Голдхаген, если бы жертвы были евреями, и можно было легко выявить антисемитскую мотивацию?</w:t>
      </w:r>
    </w:p>
    <w:p>
      <w:pPr>
        <w:pStyle w:val="Para 02"/>
      </w:pPr>
      <w:r>
        <w:t>Паттерн избирательного отбора доказательств</w:t>
      </w:r>
      <w:hyperlink w:anchor="__632">
        <w:r>
          <w:rPr>
            <w:rStyle w:val="Text2"/>
          </w:rPr>
          <w:bookmarkStart w:id="718" w:name="632"/>
          <w:t>632</w:t>
          <w:bookmarkEnd w:id="718"/>
        </w:r>
      </w:hyperlink>
      <w:r>
        <w:rPr>
          <w:rStyle w:val="Text3"/>
        </w:rPr>
        <w:t xml:space="preserve"> </w:t>
      </w:r>
      <w:r>
        <w:t xml:space="preserve"> можно </w:t>
        <w:t>увидеть</w:t>
        <w:t xml:space="preserve"> и в изображении Голдхагена единомыслия среди людей. Член батальона лейтенант Хайнц Бухман был одним из тех, кто выразил принципиальный отказ участвовать в массовом убийстве и во всех связанных с этим задачах. Рассказывая о разнице в своём поведении и поведении капитанов СС Юлиуса Волауф и Вольфганга Хоффмана, Бухман нехотя сообщил, что ему было неважно повышение — у него было свой успешный бизнес. Волауф и Хоффман же стремились к карьере в полиции, «желали кем-то стать». Более того, он добавил: «В моем опыте ведения бизнеса, особенно с учётом его протяжённости за границу, я получил лучшее представление о вещах».</w:t>
      </w:r>
      <w:hyperlink w:anchor="__633">
        <w:r>
          <w:rPr>
            <w:rStyle w:val="Text2"/>
          </w:rPr>
          <w:bookmarkStart w:id="719" w:name="633"/>
          <w:t>633</w:t>
          <w:bookmarkEnd w:id="719"/>
        </w:r>
      </w:hyperlink>
      <w:r>
        <w:rPr>
          <w:rStyle w:val="Text3"/>
        </w:rPr>
        <w:t xml:space="preserve"> </w:t>
      </w:r>
      <w:r>
        <w:t xml:space="preserve"> Голдхаген быстро проскакивает мимо важного замечания Бухмана о карьеризме и его влиянии на мотивацию и истолковывает вторую часть заявления как то, что Бухман был единственным в батальоне, не подверженным немецким галлюцинациям и антисемитизму.</w:t>
      </w:r>
      <w:hyperlink w:anchor="__634">
        <w:r>
          <w:rPr>
            <w:rStyle w:val="Text2"/>
          </w:rPr>
          <w:bookmarkStart w:id="720" w:name="634"/>
          <w:t>634</w:t>
          <w:bookmarkEnd w:id="720"/>
        </w:r>
      </w:hyperlink>
      <w:r>
        <w:rPr>
          <w:rStyle w:val="Text3"/>
        </w:rPr>
        <w:t xml:space="preserve"> </w:t>
      </w:r>
      <w:r>
        <w:t xml:space="preserve"> </w:t>
      </w:r>
    </w:p>
    <w:p>
      <w:pPr>
        <w:pStyle w:val="Para 02"/>
      </w:pPr>
      <w:r>
        <w:t>Раз Бухман цитируется как главный свидетель единогласного антисемитизма в батальоне, не должны ли учитываться и его последующие заявления? Описывая реакцию товарищей на свой отказ от участия в действиях против евреев, Бухман рассказывает: «Среди моих подчинённых многие понимали мою позицию, но другие делали пренебрежительные комментарии обо мне и смотрели на меня свысока».</w:t>
      </w:r>
      <w:hyperlink w:anchor="__635">
        <w:r>
          <w:rPr>
            <w:rStyle w:val="Text2"/>
          </w:rPr>
          <w:bookmarkStart w:id="721" w:name="635"/>
          <w:t>635</w:t>
          <w:bookmarkEnd w:id="721"/>
        </w:r>
      </w:hyperlink>
      <w:r>
        <w:rPr>
          <w:rStyle w:val="Text3"/>
        </w:rPr>
        <w:t xml:space="preserve"> </w:t>
      </w:r>
      <w:r>
        <w:t xml:space="preserve"> Об их отношении к самим убийства, он заявлял, что «люди не занимались еврейским делом с энтузиазмом ... Они были очень подавлены».</w:t>
      </w:r>
      <w:hyperlink w:anchor="__636">
        <w:r>
          <w:rPr>
            <w:rStyle w:val="Text2"/>
          </w:rPr>
          <w:bookmarkStart w:id="722" w:name="636"/>
          <w:t>636</w:t>
          <w:bookmarkEnd w:id="722"/>
        </w:r>
      </w:hyperlink>
      <w:r>
        <w:rPr>
          <w:rStyle w:val="Text3"/>
        </w:rPr>
        <w:t xml:space="preserve"> </w:t>
      </w:r>
      <w:r>
        <w:t xml:space="preserve"> </w:t>
      </w:r>
    </w:p>
    <w:p>
      <w:pPr>
        <w:pStyle w:val="Para 02"/>
      </w:pPr>
      <w:r>
        <w:t>Последний пример избирательности в выборе доказательств. Голдхаген постоянно подчёркивает, что преступники «веселились», убивая евреев, и что эти «показания о разговорах, которые они вели на местах убийств, предполагают ... что эти люди в принципе одобряют геноцид и свои собственные действия».</w:t>
      </w:r>
      <w:hyperlink w:anchor="__637">
        <w:r>
          <w:rPr>
            <w:rStyle w:val="Text2"/>
          </w:rPr>
          <w:bookmarkStart w:id="723" w:name="637"/>
          <w:t>637</w:t>
          <w:bookmarkEnd w:id="723"/>
        </w:r>
      </w:hyperlink>
      <w:r>
        <w:rPr>
          <w:rStyle w:val="Text3"/>
        </w:rPr>
        <w:t xml:space="preserve"> </w:t>
      </w:r>
      <w:r>
        <w:t xml:space="preserve"> Типичный пример этого в его описании «охоты на евреев», проводимой отрядом сержанта Генриха Бекемейера в Ломазы после резни. Голдхаген пишет:</w:t>
      </w:r>
    </w:p>
    <w:p>
      <w:pPr>
        <w:pStyle w:val="Para 33"/>
      </w:pPr>
      <w:r>
        <w:t/>
      </w:r>
    </w:p>
    <w:p>
      <w:pPr>
        <w:pStyle w:val="Para 04"/>
      </w:pPr>
      <w:r>
        <w:t>«Когда люди Бекемейера находили евреев, они не просто убивали их, но в одном описываемом случае, они, или как минимум Бекемейер, сначала решили поразвлечься с жертвами:»</w:t>
      </w:r>
    </w:p>
    <w:p>
      <w:pPr>
        <w:pStyle w:val="Para 33"/>
      </w:pPr>
      <w:r>
        <w:t/>
      </w:r>
    </w:p>
    <w:p>
      <w:pPr>
        <w:pStyle w:val="Para 02"/>
      </w:pPr>
      <w:r>
        <w:t>Затем он приводит прямую цитату из показания полицейского:</w:t>
      </w:r>
    </w:p>
    <w:p>
      <w:pPr>
        <w:pStyle w:val="Para 33"/>
      </w:pPr>
      <w:r>
        <w:t/>
      </w:r>
    </w:p>
    <w:p>
      <w:pPr>
        <w:pStyle w:val="Para 04"/>
      </w:pPr>
      <w:r>
        <w:t>«До сих пор в памяти сохранился один эпизод. Под командованием сержанта Бекемейера мы конвоировали евреев в одно место. Он заставил евреев ползти по лужам и одновременно петь. Когда один старик уже больше не мог, к тому моменту эпизод с ползанием уже закончился, он застрелил его с близкого расстояния в рот ... »</w:t>
      </w:r>
    </w:p>
    <w:p>
      <w:pPr>
        <w:pStyle w:val="Para 33"/>
      </w:pPr>
      <w:r>
        <w:t/>
      </w:r>
    </w:p>
    <w:p>
      <w:pPr>
        <w:pStyle w:val="Para 02"/>
      </w:pPr>
      <w:r>
        <w:t>После этого Голдхаген прерывает цитату и продолжает описание того же инцидента из показания последующего допроса:</w:t>
      </w:r>
    </w:p>
    <w:p>
      <w:pPr>
        <w:pStyle w:val="Para 38"/>
      </w:pPr>
      <w:r>
        <w:t/>
      </w:r>
    </w:p>
    <w:p>
      <w:pPr>
        <w:pStyle w:val="Para 04"/>
      </w:pPr>
      <w:r>
        <w:t>«После того, как Бекемейер застрелил еврея, тот воздел руки будто обращался к богу и упал. Труп еврея просто оставили лежать. Мы о таком не беспокоились».</w:t>
      </w:r>
    </w:p>
    <w:p>
      <w:pPr>
        <w:pStyle w:val="Para 33"/>
      </w:pPr>
      <w:r>
        <w:t/>
      </w:r>
    </w:p>
    <w:p>
      <w:pPr>
        <w:pStyle w:val="Para 05"/>
      </w:pPr>
      <w:r>
        <w:rPr>
          <w:rStyle w:val="Text6"/>
        </w:rPr>
        <w:t/>
      </w:r>
      <w:r>
        <w:t>Насколько иначе звучало бы показание, если описание свидетеля не прерывалось бы, потому что после рассказа о застреленном в рот еврее, он продолжил: «Я сказал идущему рядом Хайнцу Рихтеру</w:t>
        <w:t>:</w:t>
        <w:t xml:space="preserve"> „Хотел бы я избавиться от этого мусора“». И действительно, согласно показаниям тех же свидетелей, среди «круга товарищей» Бекемейер считался «мерзким мусором» и «грязным псом». Он был печально известен своим «насилием и жестокостью» к «полякам и евреям», и даже к своим людям.</w:t>
      </w:r>
      <w:hyperlink w:anchor="__638">
        <w:r>
          <w:rPr>
            <w:rStyle w:val="Text2"/>
          </w:rPr>
          <w:bookmarkStart w:id="724" w:name="638"/>
          <w:t>638</w:t>
          <w:bookmarkEnd w:id="724"/>
        </w:r>
      </w:hyperlink>
      <w:r>
        <w:rPr>
          <w:rStyle w:val="Text3"/>
        </w:rPr>
        <w:t xml:space="preserve"> </w:t>
      </w:r>
      <w:r>
        <w:t xml:space="preserve"> </w:t>
        <w:t xml:space="preserve"> Говоря иначе, избирательно выбирая доказательства, Голдхаген на основе этого события рисует картину повсеместных жестокости и одобрения, тогда как полное показание демонстрирует жестокость особенно злобного и недолюбливаемого офицера СС, чьё поведение вызывает неодобрение его людей.</w:t>
      </w:r>
      <w:r>
        <w:rPr>
          <w:rStyle w:val="Text6"/>
        </w:rPr>
        <w:t xml:space="preserve"> </w:t>
      </w:r>
    </w:p>
    <w:p>
      <w:pPr>
        <w:pStyle w:val="Para 02"/>
      </w:pPr>
      <w:r>
        <w:t>В отличии от Голдхагена, я предложил многослойную картину батальона. Разные группы вели себя по-разному: «</w:t>
        <w:t>о</w:t>
        <w:t xml:space="preserve">хотливые убийцы» </w:t>
      </w:r>
      <w:r>
        <w:rPr>
          <w:rStyle w:val="Text0"/>
        </w:rPr>
        <w:t>—</w:t>
      </w:r>
      <w:r>
        <w:t xml:space="preserve"> чья численность со временем возрастала — искали возможности убивать и праздновали свои кровавые дела; </w:t>
        <w:t>с</w:t>
        <w:t xml:space="preserve">амая маленькая группа в батальоне состояла из «не стреляющих». За исключением лейтенанта Бухмана, они не делали принципиальных возражений против режима и его политики; </w:t>
        <w:t>своих товарищей не упрекали</w:t>
        <w:t>. Они заявляли о своей «слабости» или говорили о себе как о родителях с детьми, пользовались политикой Траппа в батальоне по предоставлению освобождения от стрельб тем, кто «не был готов к этому».</w:t>
      </w:r>
    </w:p>
    <w:p>
      <w:pPr>
        <w:pStyle w:val="Para 02"/>
      </w:pPr>
      <w:r>
        <w:t xml:space="preserve">Самая большая группа в батальоне делала то, что им скажут, не рискуя бросать вызов </w:t>
        <w:t>власти</w:t>
        <w:t xml:space="preserve"> или казаться слабым, но они и не вызывались добровольцами и не радовались убийствам. Онемевшие и огрубевшие, они больше чувствовали к себе жалость из-за </w:t>
        <w:t xml:space="preserve">перепавшей им </w:t>
        <w:t>«неприятной» работы, а не жалость к своим обесчеловеченным жертвам. По большей части, они не думали, что делают что-то неправильное или аморальное, потому что убийство было санкционировано легитимной властью. Действительно, по большей части они не думали, точка. Как заявил один полицейский: «По правде, я должен сказать, что в то время мы вообще не задумывались. Только годы спустя мы по-настоящему осознали происходившее тогда».</w:t>
      </w:r>
      <w:hyperlink w:anchor="__639">
        <w:r>
          <w:rPr>
            <w:rStyle w:val="Text2"/>
          </w:rPr>
          <w:bookmarkStart w:id="725" w:name="639"/>
          <w:t>639</w:t>
          <w:bookmarkEnd w:id="725"/>
        </w:r>
      </w:hyperlink>
      <w:r>
        <w:rPr>
          <w:rStyle w:val="Text3"/>
        </w:rPr>
        <w:t xml:space="preserve"> </w:t>
      </w:r>
      <w:r>
        <w:t xml:space="preserve"> Помогало много пить: «большинство людей пило так много только лишь из-за многих расстрелов евреев — такая жизнь была невыносима на трезвую голову».</w:t>
      </w:r>
      <w:hyperlink w:anchor="__640">
        <w:r>
          <w:rPr>
            <w:rStyle w:val="Text2"/>
          </w:rPr>
          <w:bookmarkStart w:id="726" w:name="640"/>
          <w:t>640</w:t>
          <w:bookmarkEnd w:id="726"/>
        </w:r>
      </w:hyperlink>
      <w:r>
        <w:rPr>
          <w:rStyle w:val="Text3"/>
        </w:rPr>
        <w:t xml:space="preserve"> </w:t>
      </w:r>
      <w:r>
        <w:t xml:space="preserve"> </w:t>
      </w:r>
    </w:p>
    <w:p>
      <w:pPr>
        <w:pStyle w:val="Para 02"/>
      </w:pPr>
      <w:r>
        <w:t>То, что полицейские были «добровольными палачами» не означает, что они «</w:t>
      </w:r>
      <w:r>
        <w:rPr>
          <w:rStyle w:val="Text0"/>
        </w:rPr>
        <w:t>хотели</w:t>
      </w:r>
      <w:r>
        <w:t xml:space="preserve"> стать палачами в геноциде». Это, по моему мнению, важн</w:t>
        <w:t>ая черта или граница</w:t>
        <w:t>, котор</w:t>
        <w:t>ую</w:t>
        <w:t xml:space="preserve"> Голдхаген постоянно размывает. Он так же постоянно представляет спор об интерпретации в форме ложной дихотомии: либо немецкие убийцы «находились на одной волне» с Гитлером в вопросе демонической природы евреев и, следовательно, верили в необходимость и справедливость массовых убийств, либо они должны были верить, что совершают величайшее в истории преступление. </w:t>
        <w:t>По моему мнению</w:t>
        <w:t xml:space="preserve">, большинство убийц нельзя описать такими полярно противоположными </w:t>
        <w:t>точками зрения</w:t>
        <w:t>.</w:t>
      </w:r>
    </w:p>
    <w:p>
      <w:pPr>
        <w:pStyle w:val="Para 02"/>
      </w:pPr>
      <w:r>
        <w:t xml:space="preserve">В дополнение к многослойному представлению батальона, я предложил мультифакторное объяснение мотивации. Я отметил важность конформизма, </w:t>
        <w:t xml:space="preserve">социального </w:t>
        <w:t xml:space="preserve">давления товарищей, подчинения авторитету. И мне следовало сильнее подчеркнуть способность правительства к легитимизации. Я так же </w:t>
        <w:t>подчёркивал важность</w:t>
        <w:t xml:space="preserve"> «взаимоусиливающ</w:t>
        <w:t>его</w:t>
        <w:t xml:space="preserve"> эффект</w:t>
        <w:t>а</w:t>
        <w:t xml:space="preserve"> войны и расизма», </w:t>
        <w:t>в котором</w:t>
        <w:t xml:space="preserve"> «годы антисемитской пропаганды ... слились с поляризирующем эффектом войны». Я утверждал, что «ничто не помогло нацистам вести расовую войну, как сама война», так как «дихотомия расового превосходства немцев и расовой неполноценности евреев, центральная для нацист</w:t>
        <w:t>с</w:t>
        <w:t xml:space="preserve">кой идеологии, легко сливается с образом Германии, осаждённой врагами». Для участия в геноциде обыкновенные немцы могли и не </w:t>
        <w:t>находиться</w:t>
        <w:t xml:space="preserve"> «на одной волне» с </w:t>
        <w:t>г</w:t>
        <w:t xml:space="preserve">итлеровской демонизацией евреев — </w:t>
        <w:t>д</w:t>
        <w:t>ля трансформации их из «обыкновенных людей» в «добровольных палачей» достаточно комбинации ситуационных факторов и идеологического слияния статуса врага и обесчеловечивания жертв.</w:t>
      </w:r>
    </w:p>
    <w:p>
      <w:pPr>
        <w:pStyle w:val="Para 02"/>
      </w:pPr>
      <w:r>
        <w:t xml:space="preserve">Голдхаген заявляет, что «у него не было выбора, кроме как принять» своё собственное объяснение, потому что оно «неопровержимо» и «громко» доказывает ложность «общепринятых объяснений» (принуждение, подчинение, социально-психологические наблюдения за человеческим поведением, личные интересы, ослабление и фрагментация личной ответственности). </w:t>
        <w:t>Это вызывает несколько проблем</w:t>
        <w:t xml:space="preserve">. </w:t>
        <w:t>Во-первых</w:t>
        <w:t>, «общепринятые объяснения» учёные не называют единственным достаточным объяснением для поведения преступников, но мультифакторным подходом, пренебрежительно называемый Голдхагеном «прачечный лист».</w:t>
      </w:r>
      <w:hyperlink w:anchor="__641">
        <w:r>
          <w:rPr>
            <w:rStyle w:val="Text2"/>
          </w:rPr>
          <w:bookmarkStart w:id="727" w:name="641"/>
          <w:t>641</w:t>
          <w:bookmarkEnd w:id="727"/>
        </w:r>
      </w:hyperlink>
      <w:r>
        <w:rPr>
          <w:rStyle w:val="Text3"/>
        </w:rPr>
        <w:t xml:space="preserve"> </w:t>
      </w:r>
      <w:r>
        <w:t xml:space="preserve"> Таким образом они не должны подходить под высокую планку «объяснения всего», которую Голдхаген ставит для своего объяснения. </w:t>
        <w:t>Во-вторых</w:t>
        <w:t xml:space="preserve">, заявить, что вы что-то «неопровержимо» доказали — значит задать высокую планку, до которой сам Голдхаген недотягивается. И </w:t>
        <w:t>в-третьих</w:t>
        <w:t>, даже доказательство исчерпывающей неправоты «общепринятых объяснений» не обязательно ведёт к принятию тезиса Голдхагена.</w:t>
      </w:r>
    </w:p>
    <w:p>
      <w:pPr>
        <w:pStyle w:val="Para 02"/>
      </w:pPr>
      <w:r>
        <w:t xml:space="preserve">Давайте взглянем поближе на якобы опровержение Голдхагена двух так называемых общепринятых объяснений: немецкую склонность следовать приказам и общие черты человеческого поведения, изучаемые социальными психологами (подчинение власти, адаптация к роли, реакция на давление товарищей). Голдхаген резко отвергает идею, что склонность выполнять приказы и бездумное подчинение </w:t>
        <w:t>власти</w:t>
        <w:t xml:space="preserve"> являются видными элементами немецкой политической культуры. В конце концов он </w:t>
        <w:t>упоминает,</w:t>
        <w:t xml:space="preserve"> как немцы сражались на улицах Веймара и открыто презирали Республику.</w:t>
      </w:r>
      <w:hyperlink w:anchor="__642">
        <w:r>
          <w:rPr>
            <w:rStyle w:val="Text2"/>
          </w:rPr>
          <w:bookmarkStart w:id="728" w:name="642"/>
          <w:t>642</w:t>
          <w:bookmarkEnd w:id="728"/>
        </w:r>
      </w:hyperlink>
      <w:r>
        <w:rPr>
          <w:rStyle w:val="Text3"/>
        </w:rPr>
        <w:t xml:space="preserve"> </w:t>
      </w:r>
      <w:r>
        <w:t xml:space="preserve"> Однако один инцидент не делает историю страны и не характеризует её политическую культуру. Заявлять, что немецкая политическая культура не показывает тенденции к повиновению из-за столкновения в Веймаре — это тоже самое как заявить, что антисемитизм не был частью немецкой политической культуры из-за эмансипации евреев в Германии 19 века — идея, решительно отвергаемая Голдхагеном.</w:t>
      </w:r>
    </w:p>
    <w:p>
      <w:pPr>
        <w:pStyle w:val="Para 02"/>
      </w:pPr>
      <w:r>
        <w:t/>
        <w:t>Ещё более в</w:t>
        <w:t xml:space="preserve">ажен исторический контекст неповиновения в Веймаре. Голдхаген </w:t>
        <w:t>указывает</w:t>
        <w:t>, что немцы повинуются лишь тому правительству и то</w:t>
        <w:t>й</w:t>
        <w:t xml:space="preserve"> власти</w:t>
        <w:t>, котор</w:t>
        <w:t>ую</w:t>
        <w:t xml:space="preserve"> считают легитимн</w:t>
        <w:t>ой</w:t>
        <w:t>. Это действительно крайне важный момент, так как именно демократический, не авторитарный характер Веймара делегитимизировал его в глазах тех, кто презирал и атаковал его. Именно разрушение демократии и восстановление авторитаризма нацистами позволило поставить на первую роль долг государству, а не права человека. Это дало им легитимность и популярность среди значительного сегмента немецкого общества. Многие историки утверждают, что именно неполные и нерешительные демократические революции в Германии 1848 и 1918 годов открыли путь к реставрации и успешной авторитарной контрреволюции. Проваленная демократизация — не антисемитизм — решительно отличал немецкую политическую культуру от таковой в Англии, Франции и США.</w:t>
      </w:r>
    </w:p>
    <w:p>
      <w:pPr>
        <w:pStyle w:val="Para 02"/>
      </w:pPr>
      <w:r>
        <w:t>Те же аргументы и доказательства, что Голдхаген цитировал как подтверждение повального антисемитизма и насаждения ненависти к евреям в Германии, можно использовать и для поддержки идеи, что Германия имеет сильные традиции авторитаризма и насаждения повиновения и антидемократического отношения. Все элементы, что сам Голдхаген цитирует как решающие для формирования политической культуры — образование, публичный диалог, законы и подкрепление институтами</w:t>
      </w:r>
      <w:hyperlink w:anchor="__643">
        <w:r>
          <w:rPr>
            <w:rStyle w:val="Text2"/>
          </w:rPr>
          <w:bookmarkStart w:id="729" w:name="643"/>
          <w:t>643</w:t>
          <w:bookmarkEnd w:id="729"/>
        </w:r>
      </w:hyperlink>
      <w:r>
        <w:rPr>
          <w:rStyle w:val="Text3"/>
        </w:rPr>
        <w:t xml:space="preserve"> </w:t>
      </w:r>
      <w:r>
        <w:t xml:space="preserve"> — работали на насаждение авторитарных ценностей в Германии задолго до того, как нацисты использовали их для постоянного насаждения антисемитизма.</w:t>
      </w:r>
    </w:p>
    <w:p>
      <w:pPr>
        <w:pStyle w:val="Para 02"/>
      </w:pPr>
      <w:r>
        <w:t xml:space="preserve">К тому же самые искренние антисемиты в Германии были так же </w:t>
        <w:t>и</w:t>
        <w:t xml:space="preserve"> антидемократами, и авторитаристами. Отрицать важность авторитарных традиций и ценностей в немецкой политической культуре, одновременно доказывая вездесущность антисемитизма — это как настаивать, что стакан наполовину пуст, но отрицать, что он наполовину полон. Аргументы Голдхагена, если считать их валидными, больше подходят для немецкой политической культуры и подчинения авторитету, а не для антисемитизма в ней же.</w:t>
      </w:r>
    </w:p>
    <w:p>
      <w:pPr>
        <w:pStyle w:val="Para 02"/>
      </w:pPr>
      <w:r>
        <w:t>Голдхаген заявляет, что социально-психологическая интерпретация «не исторична» и её последователи «подразумевают, что любую группу людей, независимо от их социума и системы ценностей, можно поставить в те же обстоятельства, и они будут действовать теми же путями против любой случайно выбранной группы жертв».</w:t>
      </w:r>
      <w:hyperlink w:anchor="__644">
        <w:r>
          <w:rPr>
            <w:rStyle w:val="Text2"/>
          </w:rPr>
          <w:bookmarkStart w:id="730" w:name="644"/>
          <w:t>644</w:t>
          <w:bookmarkEnd w:id="730"/>
        </w:r>
      </w:hyperlink>
      <w:r>
        <w:rPr>
          <w:rStyle w:val="Text3"/>
        </w:rPr>
        <w:t xml:space="preserve"> </w:t>
      </w:r>
      <w:r>
        <w:t xml:space="preserve"> Это серьёзная ошибка, которая путает экспериментальные исследования с последующим применением учёными полученных знаний. К примеру, целью эксперимента Милгрэма и Зимбардо состояла в изоляции переменных подчинения авторитету и адаптации к роли конкретным образом, при котором </w:t>
        <w:t>можно было лучше понять и исследовать</w:t>
        <w:t xml:space="preserve"> динамик</w:t>
        <w:t>у</w:t>
        <w:t xml:space="preserve"> этих факторов в человеческом поведении. Устраивать подобные эксперименты, ставя сербов против боснийских мусульман или Хуту против Тутси, было бы нелепо, </w:t>
        <w:t xml:space="preserve">потому </w:t>
        <w:t>что исторически специфичная этническая вражда привнесла бы дополнительную влиятельную переменную, испортив весь результат.</w:t>
      </w:r>
    </w:p>
    <w:p>
      <w:pPr>
        <w:pStyle w:val="Para 02"/>
      </w:pPr>
      <w:r>
        <w:t xml:space="preserve">Именно «не историчность» экспериментов и позволяет получить из них веские, </w:t>
        <w:t>валидные</w:t>
        <w:t xml:space="preserve"> заключения. </w:t>
        <w:t>К</w:t>
        <w:t xml:space="preserve"> примеру, позволило учёным выделить подчинение авторитету и адаптацию к роли в качестве влиятельных факторов человеческого поведения. В исторических ситуациях переменные нельзя изолировать, и акторы сами могут не знать о сложном взаимодействии факторов, формирующих их поведение. По моему мнению, подобные эксперименты незаменимы для работы с проблематичным</w:t>
        <w:t>и</w:t>
        <w:t xml:space="preserve"> доказательств</w:t>
        <w:t>ами</w:t>
        <w:t>.</w:t>
      </w:r>
    </w:p>
    <w:p>
      <w:pPr>
        <w:pStyle w:val="Para 02"/>
      </w:pPr>
      <w:r>
        <w:t xml:space="preserve">Раз за разом Голдхаген заявляет, что только его интерпретация — единственно верная </w:t>
      </w:r>
      <w:r>
        <w:rPr>
          <w:rStyle w:val="Text0"/>
        </w:rPr>
        <w:t>—</w:t>
      </w:r>
      <w:r>
        <w:t xml:space="preserve"> предполагает, что преступники рассматривали убийства евреев как необходимые и справедливые, тогда как «общепринятые объяснения» страдают от ошибочного предположения, что убийцы считали свои действия неправильными и были принуждены к убийству против своей воли. Это ошибочное представление чужой позиции и создаёт ложную дихотомию. Исследуя случаи «преступной покорности» во Вьетнаме, Кельман и Гамильтон выделяли спектр подчинения авторитету. Между теми, кто действовал из убеждённого согласия с ценностями режима с одной стороны, и номинальными исполнителями, действующими по принуждению, но не выполняющими приказы без надсмотра, есть и другие. Многие приняли и усвоили ожидаемую от солдата ролевую модель, по которой тот должен быть крепким и послушным, выполнять приказы государства независимо от самой сути этих приказов.</w:t>
      </w:r>
      <w:hyperlink w:anchor="__645">
        <w:r>
          <w:rPr>
            <w:rStyle w:val="Text2"/>
          </w:rPr>
          <w:bookmarkStart w:id="731" w:name="645"/>
          <w:t>645</w:t>
          <w:bookmarkEnd w:id="731"/>
        </w:r>
      </w:hyperlink>
      <w:r>
        <w:rPr>
          <w:rStyle w:val="Text3"/>
        </w:rPr>
        <w:t xml:space="preserve"> </w:t>
      </w:r>
      <w:r>
        <w:t xml:space="preserve"> Солдаты и полицейские вполне могут добровольно выполнять и имплементировать приказы, расходящиеся с их собственными ценностями даже без присмотра командиров точно так же, как могут добровольно следовать приказам и умирать, даже если умирать они и не хотят. Вещи, которые </w:t>
        <w:t xml:space="preserve">люди </w:t>
        <w:t>назвали бы неправильными и не стали бы делать по своей воле, но будучи солдатами и полицейскими и рассматривая действия как санкционированные государством, они могут не видеть в них ничего плохого.</w:t>
      </w:r>
      <w:hyperlink w:anchor="__646">
        <w:r>
          <w:rPr>
            <w:rStyle w:val="Text2"/>
          </w:rPr>
          <w:bookmarkStart w:id="732" w:name="646"/>
          <w:t>646</w:t>
          <w:bookmarkEnd w:id="732"/>
        </w:r>
      </w:hyperlink>
      <w:r>
        <w:rPr>
          <w:rStyle w:val="Text3"/>
        </w:rPr>
        <w:t xml:space="preserve"> </w:t>
      </w:r>
      <w:r>
        <w:t xml:space="preserve"> И люди могут менять свои ценности, принимать новые, не конфликтующие с их действиями, таким образом, становясь убийцами по убеждению пока убийства становятся рутиной. Взаимосвязь между авторитетом, ценностями и действиями не только сложна, но и </w:t>
        <w:t>не постоянна</w:t>
        <w:t xml:space="preserve">, </w:t>
        <w:t xml:space="preserve">она </w:t>
        <w:t>меняется со временем.</w:t>
      </w:r>
      <w:hyperlink w:anchor="__647">
        <w:r>
          <w:rPr>
            <w:rStyle w:val="Text2"/>
          </w:rPr>
          <w:bookmarkStart w:id="733" w:name="647"/>
          <w:t>647</w:t>
          <w:bookmarkEnd w:id="733"/>
        </w:r>
      </w:hyperlink>
      <w:r>
        <w:rPr>
          <w:rStyle w:val="Text3"/>
        </w:rPr>
        <w:t xml:space="preserve"> </w:t>
      </w:r>
      <w:r>
        <w:t xml:space="preserve"> </w:t>
      </w:r>
    </w:p>
    <w:p>
      <w:pPr>
        <w:pStyle w:val="Para 02"/>
      </w:pPr>
      <w:r>
        <w:t>Несмотря на заявление Голдхагена, социально-психологический подход не подразумевает, что идеология, моральные ценности и образ жертвы у преступника не имеют значения.</w:t>
      </w:r>
      <w:hyperlink w:anchor="__648">
        <w:r>
          <w:rPr>
            <w:rStyle w:val="Text2"/>
          </w:rPr>
          <w:bookmarkStart w:id="734" w:name="648"/>
          <w:t>648</w:t>
          <w:bookmarkEnd w:id="734"/>
        </w:r>
      </w:hyperlink>
      <w:r>
        <w:rPr>
          <w:rStyle w:val="Text3"/>
        </w:rPr>
        <w:t xml:space="preserve"> </w:t>
      </w:r>
      <w:r>
        <w:t xml:space="preserve"> Но </w:t>
        <w:t>этот подход</w:t>
        <w:t xml:space="preserve"> однозначно не </w:t>
        <w:t>предназначен</w:t>
        <w:t xml:space="preserve"> для сведения всех этих факторов в один единственный, к примеру, антисемитизм. Я согласен с Голдхагеном в том, что «„преступная покорность“ ... зависит от существующих благоприятствующих социальных и политических контекстов».</w:t>
      </w:r>
      <w:hyperlink w:anchor="__649">
        <w:r>
          <w:rPr>
            <w:rStyle w:val="Text2"/>
          </w:rPr>
          <w:bookmarkStart w:id="735" w:name="649"/>
          <w:t>649</w:t>
          <w:bookmarkEnd w:id="735"/>
        </w:r>
      </w:hyperlink>
      <w:r>
        <w:rPr>
          <w:rStyle w:val="Text3"/>
        </w:rPr>
        <w:t xml:space="preserve"> </w:t>
      </w:r>
      <w:r>
        <w:t xml:space="preserve"> Однако </w:t>
        <w:t>контексты</w:t>
        <w:t xml:space="preserve"> неизбежно создают множество факторов помимо представлений преступников и идентичности жертв, а так же создают сложный и изменчивый спектр или диапазон реакций.</w:t>
      </w:r>
    </w:p>
    <w:p>
      <w:pPr>
        <w:pStyle w:val="Para 02"/>
      </w:pPr>
      <w:r>
        <w:t>Подводя итоги, Голдхаген не подходит даже близко к аккуратному объяснению и затем «неоспоримо» опровергает несколько ключевых «общепринятых объяснений»,</w:t>
      </w:r>
      <w:hyperlink w:anchor="__650">
        <w:r>
          <w:rPr>
            <w:rStyle w:val="Text2"/>
          </w:rPr>
          <w:bookmarkStart w:id="736" w:name="650"/>
          <w:t>650</w:t>
          <w:bookmarkEnd w:id="736"/>
        </w:r>
      </w:hyperlink>
      <w:r>
        <w:rPr>
          <w:rStyle w:val="Text3"/>
        </w:rPr>
        <w:t xml:space="preserve"> </w:t>
      </w:r>
      <w:r>
        <w:t xml:space="preserve"> которые по его словам и не могут служить полным объяснением. Даже если пять из них Голдхагеном «неоспоримо» опровергнуты, мы не обязаны принимать его интерпретацию. Поиск понимания мотивации преступников Холокоста — это не ограниченный набор, задача учёных — не экзамен с несколькими вариантами ответов. </w:t>
        <w:t>Как минимум</w:t>
        <w:t xml:space="preserve"> должен быть вариант «ничего из вышеперечисленного».</w:t>
      </w:r>
    </w:p>
    <w:p>
      <w:pPr>
        <w:pStyle w:val="Para 02"/>
      </w:pPr>
      <w:r>
        <w:t xml:space="preserve">Во время всего спора Голдхаген заявлял, что его подход восстановил моральную сторону вопроса, упущенную другими историками. К примеру, в ответе на критику </w:t>
      </w:r>
      <w:r>
        <w:rPr>
          <w:rStyle w:val="Text0"/>
        </w:rPr>
        <w:t>The New Republic</w:t>
      </w:r>
      <w:r>
        <w:t xml:space="preserve"> он утверждает, что распознал «человечность» преступников. Его анализ «основан на понимании того, что каждый делал свой выбор как обращаться с евреями», что «восстановило идею личной ответственности». С другой стороны, он утверждает, что историки вроде меня «держат преступников на расстоянии вытянутой руки» и обращаются с ними как с «автоматонами или куклами».</w:t>
      </w:r>
      <w:hyperlink w:anchor="__651">
        <w:r>
          <w:rPr>
            <w:rStyle w:val="Text2"/>
          </w:rPr>
          <w:bookmarkStart w:id="737" w:name="651"/>
          <w:t>651</w:t>
          <w:bookmarkEnd w:id="737"/>
        </w:r>
      </w:hyperlink>
      <w:r>
        <w:rPr>
          <w:rStyle w:val="Text3"/>
        </w:rPr>
        <w:t xml:space="preserve"> </w:t>
      </w:r>
      <w:r>
        <w:t xml:space="preserve"> </w:t>
      </w:r>
    </w:p>
    <w:p>
      <w:pPr>
        <w:pStyle w:val="Para 02"/>
      </w:pPr>
      <w:r>
        <w:t>Такие заявления Голдхагена несостоятельны. Во-первых, социально-психологический подход, который он бесцеремонно отвергает, не считает личностей заменяемыми частями механизма и не отрицает культурные и идеологические факторы.</w:t>
      </w:r>
      <w:hyperlink w:anchor="__652">
        <w:r>
          <w:rPr>
            <w:rStyle w:val="Text2"/>
          </w:rPr>
          <w:bookmarkStart w:id="738" w:name="652"/>
          <w:t>652</w:t>
          <w:bookmarkEnd w:id="738"/>
        </w:r>
      </w:hyperlink>
      <w:r>
        <w:rPr>
          <w:rStyle w:val="Text3"/>
        </w:rPr>
        <w:t xml:space="preserve"> </w:t>
      </w:r>
      <w:r>
        <w:t xml:space="preserve"> Как отмечено выше, его утверждение «очевидной ложности»</w:t>
      </w:r>
      <w:hyperlink w:anchor="__653">
        <w:r>
          <w:rPr>
            <w:rStyle w:val="Text2"/>
          </w:rPr>
          <w:bookmarkStart w:id="739" w:name="653"/>
          <w:t>653</w:t>
          <w:bookmarkEnd w:id="739"/>
        </w:r>
      </w:hyperlink>
      <w:r>
        <w:rPr>
          <w:rStyle w:val="Text3"/>
        </w:rPr>
        <w:t xml:space="preserve"> </w:t>
      </w:r>
      <w:r>
        <w:t xml:space="preserve"> такого подхода основано на грубой карикатуре. Во-вторых, в вопросе «человечности» преступников и </w:t>
        <w:t>удерживании</w:t>
        <w:t xml:space="preserve"> их «на расстоянии вытянутой руки», сам Голдхаген предостерегает других учёных от идеи восприятия немцев третьего рейха как «таких же как нас» и </w:t>
        <w:t xml:space="preserve">понимания того, «что </w:t>
        <w:t xml:space="preserve">их </w:t>
        <w:t>чувства хоть как-то похожи на наши».</w:t>
      </w:r>
      <w:hyperlink w:anchor="__654">
        <w:r>
          <w:rPr>
            <w:rStyle w:val="Text2"/>
          </w:rPr>
          <w:bookmarkStart w:id="740" w:name="654"/>
          <w:t>654</w:t>
          <w:bookmarkEnd w:id="740"/>
        </w:r>
      </w:hyperlink>
      <w:r>
        <w:rPr>
          <w:rStyle w:val="Text3"/>
        </w:rPr>
        <w:t xml:space="preserve"> </w:t>
      </w:r>
      <w:r>
        <w:t xml:space="preserve"> А его заявление об обращении с преступниками как с «ответственными за свои собственные решения» сложно принять с учётом его детерминистского заключения: «Во время периода нацизма и задолго до него, большинство немцев не могло быть с когнитивной моделью, отличной от принятой в их обществе ... что они не могли бы бегло говорить на румынском без опыта общения на нем».</w:t>
      </w:r>
      <w:hyperlink w:anchor="__655">
        <w:r>
          <w:rPr>
            <w:rStyle w:val="Text2"/>
          </w:rPr>
          <w:bookmarkStart w:id="741" w:name="655"/>
          <w:t>655</w:t>
          <w:bookmarkEnd w:id="741"/>
        </w:r>
      </w:hyperlink>
      <w:r>
        <w:rPr>
          <w:rStyle w:val="Text3"/>
        </w:rPr>
        <w:t xml:space="preserve"> </w:t>
      </w:r>
      <w:r>
        <w:t xml:space="preserve"> </w:t>
      </w:r>
    </w:p>
    <w:p>
      <w:pPr>
        <w:pStyle w:val="Para 02"/>
      </w:pPr>
      <w:r>
        <w:t>Моя же позиция, напротив, что социально-психологические теории предоставляют важное понимание поведения преступников, если основа</w:t>
        <w:t>ны</w:t>
        <w:t xml:space="preserve"> на </w:t>
        <w:t>допущениях</w:t>
        <w:t xml:space="preserve"> о склонностях </w:t>
        <w:t xml:space="preserve">и предрасположенностях </w:t>
        <w:t>общих для человеческой природы и не исключают культурного влияния. Я верю, что преступники не только имели возможность выбора, но и использовали её различными способами, расходясь на спектр поведения от энтузиазма, выполнения долга, номинального или печального подчинения, до разной степени уклонизма. Какой из этих двух подходов, я спрошу, основан на человечности и индивидуальности преступников и раскрывает моральную сторону для анализа их выбора?</w:t>
      </w:r>
    </w:p>
    <w:p>
      <w:pPr>
        <w:pStyle w:val="Para 02"/>
      </w:pPr>
      <w:r>
        <w:t xml:space="preserve">Полицейский Резервный Батальон 101 является репрезентацией «обыкновенных немцев», и «обыкновенные немцы» случайным образом в разные моменты их жизни стали «добровольными палачами» </w:t>
      </w:r>
      <w:r>
        <w:rPr>
          <w:rStyle w:val="Text0"/>
        </w:rPr>
        <w:t>—</w:t>
      </w:r>
      <w:r>
        <w:t xml:space="preserve"> в этом я с Голдхагеном согласен. Однако я не думаю, что его описание батальона репрезентативно. Он совершенно прав в том, что многие убийцы-энтузиасты, ищущие возможности убивать, находили удовлетворение в совершении кошмарных жестокостей и радовались своим делам. Слишком уж много пугающих примеров такого поведения можно найти в этой и других книгах. Но он принижает или отрицает другие слои поведения, важные для понимания </w:t>
        <w:t>внутренней</w:t>
        <w:t xml:space="preserve"> динамики отрядов убийц в геноциде. Это вызывает сомнения в его оценке батальона, как единогласно поддерживающего и «гордящегося» своим участием в массовых убийствах.</w:t>
      </w:r>
    </w:p>
    <w:p>
      <w:pPr>
        <w:pStyle w:val="Para 02"/>
      </w:pPr>
      <w:r>
        <w:t xml:space="preserve">Его описание искажено, потому как </w:t>
        <w:t>он</w:t>
        <w:t xml:space="preserve"> путает частное с общим и подобную ошибку совершает по всей книге. К примеру, я согласен, что в Германии девятнадцатого века существовал антисемитизм как идеологическое течение , но я не могу принять утверждение Голдхагена, что антисемитизм «более или менее главенствовал в идейной жизни гражданского общества» в Германии до нацизма.</w:t>
      </w:r>
      <w:hyperlink w:anchor="__656">
        <w:r>
          <w:rPr>
            <w:rStyle w:val="Text2"/>
          </w:rPr>
          <w:bookmarkStart w:id="742" w:name="656"/>
          <w:t>656</w:t>
          <w:bookmarkEnd w:id="742"/>
        </w:r>
      </w:hyperlink>
      <w:r>
        <w:rPr>
          <w:rStyle w:val="Text3"/>
        </w:rPr>
        <w:t xml:space="preserve"> </w:t>
      </w:r>
      <w:r>
        <w:t xml:space="preserve"> Я согласен, что к 1933 году антисемитизм стал частью «здравого смысла» правых в Германии, но не согласен, что всё немецкое общество было «на одной волне с Гитлером», и что «центральная роль антисемитизма в мировоззрении партии, программах и риторике ... отражало саму немецкую культуру».</w:t>
      </w:r>
      <w:hyperlink w:anchor="__657">
        <w:r>
          <w:rPr>
            <w:rStyle w:val="Text2"/>
          </w:rPr>
          <w:bookmarkStart w:id="743" w:name="657"/>
          <w:t>657</w:t>
          <w:bookmarkEnd w:id="743"/>
        </w:r>
      </w:hyperlink>
      <w:r>
        <w:rPr>
          <w:rStyle w:val="Text3"/>
        </w:rPr>
        <w:t xml:space="preserve"> </w:t>
      </w:r>
      <w:r>
        <w:t xml:space="preserve"> Я соглашусь, что антисемитизм — негативная стереотипизация, обесчеловечивание и ненависть к евреям были широко распространены среди убийц в 1942-</w:t>
        <w:t>м</w:t>
        <w:t>, но не соглашусь, что антисемитизм «существовал давно, был накоплен» и Гитлер просто «освободил его» и «спустил с поводка».</w:t>
      </w:r>
      <w:hyperlink w:anchor="__658">
        <w:r>
          <w:rPr>
            <w:rStyle w:val="Text2"/>
          </w:rPr>
          <w:bookmarkStart w:id="744" w:name="658"/>
          <w:t>658</w:t>
          <w:bookmarkEnd w:id="744"/>
        </w:r>
      </w:hyperlink>
      <w:r>
        <w:rPr>
          <w:rStyle w:val="Text3"/>
        </w:rPr>
        <w:t xml:space="preserve"> </w:t>
      </w:r>
      <w:r>
        <w:t xml:space="preserve"> </w:t>
      </w:r>
    </w:p>
    <w:p>
      <w:pPr>
        <w:pStyle w:val="Para 02"/>
      </w:pPr>
      <w:r>
        <w:t xml:space="preserve">Говоря иначе, фундаментальный вопрос не состоит в том, чтобы объяснить как обыкновенные немцы при </w:t>
        <w:t>появлении</w:t>
        <w:t xml:space="preserve"> возможности </w:t>
        <w:t xml:space="preserve">стали </w:t>
        <w:t>убива</w:t>
        <w:t xml:space="preserve">ть </w:t>
        <w:t xml:space="preserve">евреев, </w:t>
        <w:t xml:space="preserve">будучи </w:t>
        <w:t>член</w:t>
        <w:t xml:space="preserve">ами </w:t>
        <w:t xml:space="preserve">совершенно отличного от нас общества и сформированные культурой, позволявшей им думать и действовать не иначе как палачи в геноциде. Фундаментальный вопрос </w:t>
        <w:t>напротив</w:t>
        <w:t xml:space="preserve"> заключается в попытке найти объяснение тому, как обыкновенные люди — сформированные культурой со своими особенностями, но все же являющейся частью западных, христианских и просвещённых традиций — в определённых условиях добровольно участвовали в самом экстремальном геноциде в человеческой истории.</w:t>
      </w:r>
    </w:p>
    <w:p>
      <w:pPr>
        <w:pStyle w:val="Para 02"/>
      </w:pPr>
      <w:r>
        <w:t>Почему так важно какая из картин и какое заключение о Полицейском Резервном Батальоне 101 ближе к истине? Было бы очень хорошо, если бы Голдхаген был прав, что очень мало социумов имеют длительные, культурно-когнитивные основы для совершения геноцида, что режимы могут себе такое позволять, лишь когда подавляющее большинство людей их поддерживает и считает подобное приоритетом, справедливостью и необходимостью. Если бы это было правдой, мы бы жили в лучшем мире, но я не настолько оптимистичен. Я боюсь, что мы живём в мире, где войны и геноцид вездесущи, где способность правительств к мобилизации и легитимизации всё усиливаются, где границы личной ответственности размываются бюрократизацией и специализацией, и где общество оказывает сильнейшее влияние на поведение и задаёт моральные нормы. В таком мире, я боюсь, современные правительства редко провалят свои попытки геноцида, превращая «обыкновенных людей» в «добровольных палачей».</w:t>
      </w:r>
    </w:p>
    <w:p>
      <w:pPr>
        <w:pStyle w:val="Para 09"/>
      </w:pPr>
      <w:r>
        <w:t xml:space="preserve"> </w:t>
        <w:br w:clear="none"/>
      </w:r>
    </w:p>
    <w:p>
      <w:pPr>
        <w:pStyle w:val="Para 09"/>
      </w:pPr>
      <w:r>
        <w:t xml:space="preserve"> </w:t>
        <w:br w:clear="none"/>
      </w:r>
    </w:p>
    <w:p>
      <w:pPr>
        <w:pStyle w:val="Para 13"/>
      </w:pPr>
      <w:r>
        <w:bookmarkStart w:id="745" w:name="anchor43"/>
        <w:t/>
        <w:bookmarkEnd w:id="745"/>
        <w:t>Благодарности</w:t>
        <w:bookmarkStart w:id="746" w:name="anchor90"/>
        <w:t/>
        <w:bookmarkEnd w:id="746"/>
        <w:bookmarkStart w:id="747" w:name="anchor91"/>
        <w:t/>
        <w:bookmarkEnd w:id="747"/>
      </w:r>
    </w:p>
    <w:p>
      <w:pPr>
        <w:pStyle w:val="Para 05"/>
      </w:pPr>
      <w:r>
        <w:rPr>
          <w:rStyle w:val="Text6"/>
        </w:rPr>
        <w:t/>
      </w:r>
      <w:r>
        <w:t xml:space="preserve">Я крайне признателен Теодору Рафаэлю </w:t>
        <w:t>[Theodore Raphael]</w:t>
        <w:t>, Майклу Маррусу, С</w:t>
        <w:t>ау</w:t>
        <w:t xml:space="preserve">лу Фридлендеру, Лоуренсу Лангеру </w:t>
        <w:t>[Lawrence Langer]</w:t>
        <w:t xml:space="preserve">, Аарону Эшеру </w:t>
        <w:t>[Aaron Asher]</w:t>
        <w:t xml:space="preserve">, Э. Уэйн Карпу </w:t>
        <w:t>[E. Wayne Carp]</w:t>
        <w:t xml:space="preserve"> и Марку Дженсену </w:t>
        <w:t>[Mark Jensen]</w:t>
        <w:t xml:space="preserve"> за многие глубокие предложения по улучшению этой рукописи. Все имеющиеся недостатки, конечно же, моя ответственность.</w:t>
      </w:r>
      <w:r>
        <w:rPr>
          <w:rStyle w:val="Text6"/>
        </w:rPr>
        <w:t xml:space="preserve"> </w:t>
      </w:r>
    </w:p>
    <w:p>
      <w:pPr>
        <w:pStyle w:val="Para 09"/>
      </w:pPr>
      <w:r>
        <w:t xml:space="preserve"> </w:t>
        <w:br w:clear="none"/>
      </w:r>
    </w:p>
    <w:p>
      <w:pPr>
        <w:pStyle w:val="Para 40"/>
      </w:pPr>
      <w:r>
        <w:t/>
      </w:r>
    </w:p>
    <w:p>
      <w:pPr>
        <w:pStyle w:val="Para 13"/>
      </w:pPr>
      <w:r>
        <w:bookmarkStart w:id="748" w:name="anchor44"/>
        <w:t/>
        <w:bookmarkEnd w:id="748"/>
        <w:t>Приложение</w:t>
        <w:bookmarkStart w:id="749" w:name="anchor92"/>
        <w:t/>
        <w:bookmarkEnd w:id="749"/>
        <w:bookmarkStart w:id="750" w:name="anchor93"/>
        <w:t/>
        <w:bookmarkEnd w:id="750"/>
      </w:r>
    </w:p>
    <w:p>
      <w:pPr>
        <w:pStyle w:val="Para 41"/>
      </w:pPr>
      <w:r>
        <w:t/>
      </w:r>
    </w:p>
    <w:tbl>
      <w:tblPr>
        <w:tblW w:type="dxa" w:w="9638"/>
      </w:tblPr>
      <w:tr>
        <w:tc>
          <w:tcPr>
            <w:tcW w:type="auto" w:w="0"/>
            <w:vAlign w:val="center"/>
            <w:hMerge w:val="restart"/>
          </w:tcPr>
          <w:p>
            <w:pPr>
              <w:pStyle w:val="Para 03"/>
            </w:pPr>
            <w:r>
              <w:t>Таблица 1. Количество Застреленных Евреев Полицейским Резервным Батальоном 101.</w:t>
            </w:r>
          </w:p>
        </w:tc>
        <w:tc>
          <w:tcPr>
            <w:hMerge w:val="continue"/>
          </w:tcPr>
          <w:p/>
        </w:tc>
        <w:tc>
          <w:tcPr>
            <w:hMerge w:val="continue"/>
          </w:tcPr>
          <w:p/>
        </w:tc>
      </w:tr>
      <w:tr>
        <w:tc>
          <w:tcPr>
            <w:tcW w:type="auto" w:w="0"/>
            <w:vAlign w:val="center"/>
          </w:tcPr>
          <w:p>
            <w:pPr>
              <w:pStyle w:val="Para 03"/>
            </w:pPr>
            <w:r>
              <w:t>Локация</w:t>
            </w:r>
          </w:p>
        </w:tc>
        <w:tc>
          <w:tcPr>
            <w:tcW w:type="auto" w:w="0"/>
            <w:vAlign w:val="center"/>
          </w:tcPr>
          <w:p>
            <w:pPr>
              <w:pStyle w:val="Para 03"/>
            </w:pPr>
            <w:r>
              <w:t>Месяц/Год</w:t>
            </w:r>
          </w:p>
        </w:tc>
        <w:tc>
          <w:tcPr>
            <w:tcW w:type="auto" w:w="0"/>
            <w:vAlign w:val="center"/>
          </w:tcPr>
          <w:p>
            <w:pPr>
              <w:pStyle w:val="Para 03"/>
            </w:pPr>
            <w:r>
              <w:t>Минимальная оценка расстрелянных</w:t>
            </w:r>
          </w:p>
        </w:tc>
      </w:tr>
      <w:tr>
        <w:tc>
          <w:tcPr>
            <w:tcW w:type="auto" w:w="0"/>
            <w:vAlign w:val="center"/>
          </w:tcPr>
          <w:p>
            <w:pPr>
              <w:pStyle w:val="Para 03"/>
            </w:pPr>
            <w:r>
              <w:t>Юзефув</w:t>
            </w:r>
          </w:p>
        </w:tc>
        <w:tc>
          <w:tcPr>
            <w:tcW w:type="auto" w:w="0"/>
            <w:vAlign w:val="center"/>
          </w:tcPr>
          <w:p>
            <w:pPr>
              <w:pStyle w:val="Para 03"/>
            </w:pPr>
            <w:r>
              <w:t>7/42</w:t>
            </w:r>
          </w:p>
        </w:tc>
        <w:tc>
          <w:tcPr>
            <w:tcW w:type="auto" w:w="0"/>
            <w:vAlign w:val="center"/>
          </w:tcPr>
          <w:p>
            <w:pPr>
              <w:pStyle w:val="Para 03"/>
            </w:pPr>
            <w:r>
              <w:t>1 500</w:t>
            </w:r>
          </w:p>
        </w:tc>
      </w:tr>
      <w:tr>
        <w:tc>
          <w:tcPr>
            <w:tcW w:type="auto" w:w="0"/>
            <w:vAlign w:val="center"/>
          </w:tcPr>
          <w:p>
            <w:pPr>
              <w:pStyle w:val="Para 03"/>
            </w:pPr>
            <w:r>
              <w:t>Ломазы</w:t>
            </w:r>
          </w:p>
        </w:tc>
        <w:tc>
          <w:tcPr>
            <w:tcW w:type="auto" w:w="0"/>
            <w:vAlign w:val="center"/>
          </w:tcPr>
          <w:p>
            <w:pPr>
              <w:pStyle w:val="Para 03"/>
            </w:pPr>
            <w:r>
              <w:t>8/42</w:t>
            </w:r>
          </w:p>
        </w:tc>
        <w:tc>
          <w:tcPr>
            <w:tcW w:type="auto" w:w="0"/>
            <w:vAlign w:val="center"/>
          </w:tcPr>
          <w:p>
            <w:pPr>
              <w:pStyle w:val="Para 03"/>
            </w:pPr>
            <w:r>
              <w:t>1 700</w:t>
            </w:r>
          </w:p>
        </w:tc>
      </w:tr>
      <w:tr>
        <w:tc>
          <w:tcPr>
            <w:tcW w:type="auto" w:w="0"/>
            <w:vAlign w:val="center"/>
          </w:tcPr>
          <w:p>
            <w:pPr>
              <w:pStyle w:val="Para 03"/>
            </w:pPr>
            <w:r>
              <w:t>Мендзыжец</w:t>
            </w:r>
          </w:p>
        </w:tc>
        <w:tc>
          <w:tcPr>
            <w:tcW w:type="auto" w:w="0"/>
            <w:vAlign w:val="center"/>
          </w:tcPr>
          <w:p>
            <w:pPr>
              <w:pStyle w:val="Para 03"/>
            </w:pPr>
            <w:r>
              <w:t>8/42</w:t>
            </w:r>
          </w:p>
        </w:tc>
        <w:tc>
          <w:tcPr>
            <w:tcW w:type="auto" w:w="0"/>
            <w:vAlign w:val="center"/>
          </w:tcPr>
          <w:p>
            <w:pPr>
              <w:pStyle w:val="Para 03"/>
            </w:pPr>
            <w:r>
              <w:t>960</w:t>
            </w:r>
          </w:p>
        </w:tc>
      </w:tr>
      <w:tr>
        <w:tc>
          <w:tcPr>
            <w:tcW w:type="auto" w:w="0"/>
            <w:vAlign w:val="center"/>
          </w:tcPr>
          <w:p>
            <w:pPr>
              <w:pStyle w:val="Para 03"/>
            </w:pPr>
            <w:r>
              <w:t>Серокомл</w:t>
              <w:t>а</w:t>
              <w:t xml:space="preserve"> </w:t>
            </w:r>
          </w:p>
        </w:tc>
        <w:tc>
          <w:tcPr>
            <w:tcW w:type="auto" w:w="0"/>
            <w:vAlign w:val="center"/>
          </w:tcPr>
          <w:p>
            <w:pPr>
              <w:pStyle w:val="Para 03"/>
            </w:pPr>
            <w:r>
              <w:t>9/42</w:t>
            </w:r>
          </w:p>
        </w:tc>
        <w:tc>
          <w:tcPr>
            <w:tcW w:type="auto" w:w="0"/>
            <w:vAlign w:val="center"/>
          </w:tcPr>
          <w:p>
            <w:pPr>
              <w:pStyle w:val="Para 03"/>
            </w:pPr>
            <w:r>
              <w:t>200</w:t>
            </w:r>
          </w:p>
        </w:tc>
      </w:tr>
      <w:tr>
        <w:tc>
          <w:tcPr>
            <w:tcW w:type="auto" w:w="0"/>
            <w:vAlign w:val="center"/>
          </w:tcPr>
          <w:p>
            <w:pPr>
              <w:pStyle w:val="Para 03"/>
            </w:pPr>
            <w:r>
              <w:t>Коцк</w:t>
            </w:r>
          </w:p>
        </w:tc>
        <w:tc>
          <w:tcPr>
            <w:tcW w:type="auto" w:w="0"/>
            <w:vAlign w:val="center"/>
          </w:tcPr>
          <w:p>
            <w:pPr>
              <w:pStyle w:val="Para 03"/>
            </w:pPr>
            <w:r>
              <w:t>9/42</w:t>
            </w:r>
          </w:p>
        </w:tc>
        <w:tc>
          <w:tcPr>
            <w:tcW w:type="auto" w:w="0"/>
            <w:vAlign w:val="center"/>
          </w:tcPr>
          <w:p>
            <w:pPr>
              <w:pStyle w:val="Para 03"/>
            </w:pPr>
            <w:r>
              <w:t>200</w:t>
            </w:r>
          </w:p>
        </w:tc>
      </w:tr>
      <w:tr>
        <w:tc>
          <w:tcPr>
            <w:tcW w:type="auto" w:w="0"/>
            <w:vAlign w:val="center"/>
          </w:tcPr>
          <w:p>
            <w:pPr>
              <w:pStyle w:val="Para 03"/>
            </w:pPr>
            <w:r>
              <w:t>Парчев</w:t>
            </w:r>
          </w:p>
        </w:tc>
        <w:tc>
          <w:tcPr>
            <w:tcW w:type="auto" w:w="0"/>
            <w:vAlign w:val="center"/>
          </w:tcPr>
          <w:p>
            <w:pPr>
              <w:pStyle w:val="Para 03"/>
            </w:pPr>
            <w:r>
              <w:t>10/42</w:t>
            </w:r>
          </w:p>
        </w:tc>
        <w:tc>
          <w:tcPr>
            <w:tcW w:type="auto" w:w="0"/>
            <w:vAlign w:val="center"/>
          </w:tcPr>
          <w:p>
            <w:pPr>
              <w:pStyle w:val="Para 03"/>
            </w:pPr>
            <w:r>
              <w:t>100</w:t>
            </w:r>
          </w:p>
        </w:tc>
      </w:tr>
      <w:tr>
        <w:tc>
          <w:tcPr>
            <w:tcW w:type="auto" w:w="0"/>
            <w:vAlign w:val="center"/>
          </w:tcPr>
          <w:p>
            <w:pPr>
              <w:pStyle w:val="Para 03"/>
            </w:pPr>
            <w:r>
              <w:t>Коньсковоля</w:t>
            </w:r>
          </w:p>
        </w:tc>
        <w:tc>
          <w:tcPr>
            <w:tcW w:type="auto" w:w="0"/>
            <w:vAlign w:val="center"/>
          </w:tcPr>
          <w:p>
            <w:pPr>
              <w:pStyle w:val="Para 03"/>
            </w:pPr>
            <w:r>
              <w:t>10/42</w:t>
            </w:r>
          </w:p>
        </w:tc>
        <w:tc>
          <w:tcPr>
            <w:tcW w:type="auto" w:w="0"/>
            <w:vAlign w:val="center"/>
          </w:tcPr>
          <w:p>
            <w:pPr>
              <w:pStyle w:val="Para 03"/>
            </w:pPr>
            <w:r>
              <w:t>1 100</w:t>
            </w:r>
          </w:p>
        </w:tc>
      </w:tr>
      <w:tr>
        <w:tc>
          <w:tcPr>
            <w:tcW w:type="auto" w:w="0"/>
            <w:vAlign w:val="center"/>
          </w:tcPr>
          <w:p>
            <w:pPr>
              <w:pStyle w:val="Para 03"/>
            </w:pPr>
            <w:r>
              <w:t>Мендзыжец</w:t>
            </w:r>
          </w:p>
        </w:tc>
        <w:tc>
          <w:tcPr>
            <w:tcW w:type="auto" w:w="0"/>
            <w:vAlign w:val="center"/>
          </w:tcPr>
          <w:p>
            <w:pPr>
              <w:pStyle w:val="Para 03"/>
            </w:pPr>
            <w:r>
              <w:t>10/42</w:t>
            </w:r>
          </w:p>
        </w:tc>
        <w:tc>
          <w:tcPr>
            <w:tcW w:type="auto" w:w="0"/>
            <w:vAlign w:val="center"/>
          </w:tcPr>
          <w:p>
            <w:pPr>
              <w:pStyle w:val="Para 03"/>
            </w:pPr>
            <w:r>
              <w:t>150</w:t>
            </w:r>
          </w:p>
        </w:tc>
      </w:tr>
      <w:tr>
        <w:tc>
          <w:tcPr>
            <w:tcW w:type="auto" w:w="0"/>
            <w:vAlign w:val="center"/>
          </w:tcPr>
          <w:p>
            <w:pPr>
              <w:pStyle w:val="Para 03"/>
            </w:pPr>
            <w:r>
              <w:t>Лукув</w:t>
            </w:r>
          </w:p>
        </w:tc>
        <w:tc>
          <w:tcPr>
            <w:tcW w:type="auto" w:w="0"/>
            <w:vAlign w:val="center"/>
          </w:tcPr>
          <w:p>
            <w:pPr>
              <w:pStyle w:val="Para 03"/>
            </w:pPr>
            <w:r>
              <w:t>11/42</w:t>
            </w:r>
          </w:p>
        </w:tc>
        <w:tc>
          <w:tcPr>
            <w:tcW w:type="auto" w:w="0"/>
            <w:vAlign w:val="center"/>
          </w:tcPr>
          <w:p>
            <w:pPr>
              <w:pStyle w:val="Para 03"/>
            </w:pPr>
            <w:r>
              <w:t>290</w:t>
            </w:r>
          </w:p>
        </w:tc>
      </w:tr>
      <w:tr>
        <w:tc>
          <w:tcPr>
            <w:tcW w:type="auto" w:w="0"/>
            <w:vAlign w:val="center"/>
          </w:tcPr>
          <w:p>
            <w:pPr>
              <w:pStyle w:val="Para 03"/>
            </w:pPr>
            <w:r>
              <w:t>Округ</w:t>
              <w:t xml:space="preserve"> Люблина (различные облавы)</w:t>
            </w:r>
          </w:p>
        </w:tc>
        <w:tc>
          <w:tcPr>
            <w:tcW w:type="auto" w:w="0"/>
            <w:vAlign w:val="center"/>
          </w:tcPr>
          <w:p>
            <w:pPr>
              <w:pStyle w:val="Para 03"/>
            </w:pPr>
            <w:r>
              <w:t>С 7/42</w:t>
            </w:r>
          </w:p>
        </w:tc>
        <w:tc>
          <w:tcPr>
            <w:tcW w:type="auto" w:w="0"/>
            <w:vAlign w:val="center"/>
          </w:tcPr>
          <w:p>
            <w:pPr>
              <w:pStyle w:val="Para 03"/>
            </w:pPr>
            <w:r>
              <w:t>300</w:t>
            </w:r>
          </w:p>
        </w:tc>
      </w:tr>
      <w:tr>
        <w:tc>
          <w:tcPr>
            <w:tcW w:type="auto" w:w="0"/>
            <w:vAlign w:val="center"/>
          </w:tcPr>
          <w:p>
            <w:pPr>
              <w:pStyle w:val="Para 03"/>
            </w:pPr>
            <w:r>
              <w:t>Округ</w:t>
              <w:t xml:space="preserve"> Люблина («охота на евреев»</w:t>
              <w:t>)</w:t>
              <w:t xml:space="preserve"> </w:t>
            </w:r>
          </w:p>
        </w:tc>
        <w:tc>
          <w:tcPr>
            <w:tcW w:type="auto" w:w="0"/>
            <w:vAlign w:val="center"/>
          </w:tcPr>
          <w:p>
            <w:pPr>
              <w:pStyle w:val="Para 03"/>
            </w:pPr>
            <w:r>
              <w:t>С 10/42</w:t>
            </w:r>
          </w:p>
        </w:tc>
        <w:tc>
          <w:tcPr>
            <w:tcW w:type="auto" w:w="0"/>
            <w:vAlign w:val="center"/>
          </w:tcPr>
          <w:p>
            <w:pPr>
              <w:pStyle w:val="Para 03"/>
            </w:pPr>
            <w:r>
              <w:t>1 000</w:t>
            </w:r>
          </w:p>
        </w:tc>
      </w:tr>
      <w:tr>
        <w:tc>
          <w:tcPr>
            <w:tcW w:type="auto" w:w="0"/>
            <w:vAlign w:val="center"/>
          </w:tcPr>
          <w:p>
            <w:pPr>
              <w:pStyle w:val="Para 03"/>
            </w:pPr>
            <w:r>
              <w:t>Майданек</w:t>
            </w:r>
          </w:p>
        </w:tc>
        <w:tc>
          <w:tcPr>
            <w:tcW w:type="auto" w:w="0"/>
            <w:vAlign w:val="center"/>
          </w:tcPr>
          <w:p>
            <w:pPr>
              <w:pStyle w:val="Para 03"/>
            </w:pPr>
            <w:r>
              <w:t>11/43</w:t>
            </w:r>
          </w:p>
        </w:tc>
        <w:tc>
          <w:tcPr>
            <w:tcW w:type="auto" w:w="0"/>
            <w:vAlign w:val="center"/>
          </w:tcPr>
          <w:p>
            <w:pPr>
              <w:pStyle w:val="Para 03"/>
            </w:pPr>
            <w:r>
              <w:t>16 500</w:t>
            </w:r>
          </w:p>
        </w:tc>
      </w:tr>
      <w:tr>
        <w:tc>
          <w:tcPr>
            <w:tcW w:type="auto" w:w="0"/>
            <w:vAlign w:val="center"/>
          </w:tcPr>
          <w:p>
            <w:pPr>
              <w:pStyle w:val="Para 03"/>
            </w:pPr>
            <w:r>
              <w:t>Понятова</w:t>
            </w:r>
          </w:p>
        </w:tc>
        <w:tc>
          <w:tcPr>
            <w:tcW w:type="auto" w:w="0"/>
            <w:vAlign w:val="center"/>
          </w:tcPr>
          <w:p>
            <w:pPr>
              <w:pStyle w:val="Para 03"/>
            </w:pPr>
            <w:r>
              <w:t>11/43</w:t>
            </w:r>
          </w:p>
        </w:tc>
        <w:tc>
          <w:tcPr>
            <w:tcW w:type="auto" w:w="0"/>
            <w:vAlign w:val="center"/>
          </w:tcPr>
          <w:p>
            <w:pPr>
              <w:pStyle w:val="Para 03"/>
            </w:pPr>
            <w:r>
              <w:t>14 000</w:t>
            </w:r>
          </w:p>
        </w:tc>
      </w:tr>
      <w:tr>
        <w:tc>
          <w:tcPr>
            <w:tcW w:type="auto" w:w="0"/>
            <w:vAlign w:val="center"/>
            <w:hMerge w:val="restart"/>
          </w:tcPr>
          <w:p>
            <w:pPr>
              <w:pStyle w:val="Para 03"/>
            </w:pPr>
            <w:r>
              <w:t>ВСЕГО</w:t>
            </w:r>
          </w:p>
        </w:tc>
        <w:tc>
          <w:tcPr>
            <w:hMerge w:val="continue"/>
          </w:tcPr>
          <w:p/>
        </w:tc>
        <w:tc>
          <w:tcPr>
            <w:tcW w:type="auto" w:w="0"/>
            <w:vAlign w:val="center"/>
          </w:tcPr>
          <w:p>
            <w:pPr>
              <w:pStyle w:val="Para 03"/>
            </w:pPr>
            <w:r>
              <w:t>38 000</w:t>
            </w:r>
          </w:p>
        </w:tc>
      </w:tr>
    </w:tbl>
    <w:p>
      <w:pPr>
        <w:pStyle w:val="Para 33"/>
      </w:pPr>
      <w:r>
        <w:t/>
      </w:r>
    </w:p>
    <w:p>
      <w:pPr>
        <w:pStyle w:val="Para 33"/>
      </w:pPr>
      <w:r>
        <w:t/>
      </w:r>
    </w:p>
    <w:tbl>
      <w:tblPr>
        <w:tblW w:type="dxa" w:w="9633"/>
      </w:tblPr>
      <w:tr>
        <w:tc>
          <w:tcPr>
            <w:tcW w:type="auto" w:w="0"/>
            <w:vAlign w:val="center"/>
            <w:hMerge w:val="restart"/>
          </w:tcPr>
          <w:p>
            <w:pPr>
              <w:pStyle w:val="Para 03"/>
            </w:pPr>
            <w:r>
              <w:t>Таблица 2. Количество Депортированных в Треблинку Евреев Полицейским Резервным Батальоном 101</w:t>
            </w:r>
          </w:p>
        </w:tc>
        <w:tc>
          <w:tcPr>
            <w:hMerge w:val="continue"/>
          </w:tcPr>
          <w:p/>
        </w:tc>
        <w:tc>
          <w:tcPr>
            <w:hMerge w:val="continue"/>
          </w:tcPr>
          <w:p/>
        </w:tc>
        <w:tc>
          <w:tcPr>
            <w:hMerge w:val="continue"/>
          </w:tcPr>
          <w:p/>
        </w:tc>
      </w:tr>
      <w:tr>
        <w:tc>
          <w:tcPr>
            <w:tcW w:type="auto" w:w="0"/>
            <w:vAlign w:val="center"/>
            <w:hMerge w:val="restart"/>
          </w:tcPr>
          <w:p>
            <w:pPr>
              <w:pStyle w:val="Para 03"/>
            </w:pPr>
            <w:r>
              <w:t>Локация</w:t>
            </w:r>
          </w:p>
        </w:tc>
        <w:tc>
          <w:tcPr>
            <w:hMerge w:val="continue"/>
          </w:tcPr>
          <w:p/>
        </w:tc>
        <w:tc>
          <w:tcPr>
            <w:tcW w:type="auto" w:w="0"/>
            <w:vAlign w:val="center"/>
          </w:tcPr>
          <w:p>
            <w:pPr>
              <w:pStyle w:val="Para 03"/>
            </w:pPr>
            <w:r>
              <w:t>Месяц/Год</w:t>
            </w:r>
          </w:p>
        </w:tc>
        <w:tc>
          <w:tcPr>
            <w:tcW w:type="auto" w:w="0"/>
            <w:vAlign w:val="center"/>
          </w:tcPr>
          <w:p>
            <w:pPr>
              <w:pStyle w:val="Para 03"/>
            </w:pPr>
            <w:r>
              <w:t>Минимальная оценка депортированных</w:t>
            </w:r>
          </w:p>
        </w:tc>
      </w:tr>
      <w:tr>
        <w:tc>
          <w:tcPr>
            <w:tcW w:type="auto" w:w="0"/>
            <w:vAlign w:val="center"/>
            <w:hMerge w:val="restart"/>
          </w:tcPr>
          <w:p>
            <w:pPr>
              <w:pStyle w:val="Para 03"/>
            </w:pPr>
            <w:r>
              <w:t>Парчев</w:t>
            </w:r>
          </w:p>
        </w:tc>
        <w:tc>
          <w:tcPr>
            <w:hMerge w:val="continue"/>
          </w:tcPr>
          <w:p/>
        </w:tc>
        <w:tc>
          <w:tcPr>
            <w:tcW w:type="auto" w:w="0"/>
            <w:vAlign w:val="center"/>
          </w:tcPr>
          <w:p>
            <w:pPr>
              <w:pStyle w:val="Para 03"/>
            </w:pPr>
            <w:r>
              <w:t>8/42</w:t>
            </w:r>
          </w:p>
        </w:tc>
        <w:tc>
          <w:tcPr>
            <w:tcW w:type="auto" w:w="0"/>
            <w:vAlign w:val="center"/>
          </w:tcPr>
          <w:p>
            <w:pPr>
              <w:pStyle w:val="Para 03"/>
            </w:pPr>
            <w:r>
              <w:t>5 000</w:t>
            </w:r>
          </w:p>
        </w:tc>
      </w:tr>
      <w:tr>
        <w:tc>
          <w:tcPr>
            <w:tcW w:type="auto" w:w="0"/>
            <w:vAlign w:val="center"/>
            <w:hMerge w:val="restart"/>
          </w:tcPr>
          <w:p>
            <w:pPr>
              <w:pStyle w:val="Para 03"/>
            </w:pPr>
            <w:r>
              <w:t>Мендзыжец</w:t>
            </w:r>
          </w:p>
        </w:tc>
        <w:tc>
          <w:tcPr>
            <w:hMerge w:val="continue"/>
          </w:tcPr>
          <w:p/>
        </w:tc>
        <w:tc>
          <w:tcPr>
            <w:tcW w:type="auto" w:w="0"/>
            <w:vAlign w:val="center"/>
          </w:tcPr>
          <w:p>
            <w:pPr>
              <w:pStyle w:val="Para 03"/>
            </w:pPr>
            <w:r>
              <w:t>8/42</w:t>
            </w:r>
          </w:p>
        </w:tc>
        <w:tc>
          <w:tcPr>
            <w:tcW w:type="auto" w:w="0"/>
            <w:vAlign w:val="center"/>
          </w:tcPr>
          <w:p>
            <w:pPr>
              <w:pStyle w:val="Para 03"/>
            </w:pPr>
            <w:r>
              <w:t>10 000</w:t>
            </w:r>
          </w:p>
        </w:tc>
      </w:tr>
      <w:tr>
        <w:tc>
          <w:tcPr>
            <w:tcW w:type="auto" w:w="0"/>
            <w:vAlign w:val="center"/>
            <w:hMerge w:val="restart"/>
          </w:tcPr>
          <w:p>
            <w:pPr>
              <w:pStyle w:val="Para 03"/>
            </w:pPr>
            <w:r>
              <w:t>Радзинь</w:t>
            </w:r>
          </w:p>
        </w:tc>
        <w:tc>
          <w:tcPr>
            <w:hMerge w:val="continue"/>
          </w:tcPr>
          <w:p/>
        </w:tc>
        <w:tc>
          <w:tcPr>
            <w:tcW w:type="auto" w:w="0"/>
            <w:vAlign w:val="center"/>
          </w:tcPr>
          <w:p>
            <w:pPr>
              <w:pStyle w:val="Para 03"/>
            </w:pPr>
            <w:r>
              <w:t>10/42</w:t>
            </w:r>
          </w:p>
        </w:tc>
        <w:tc>
          <w:tcPr>
            <w:tcW w:type="auto" w:w="0"/>
            <w:vAlign w:val="center"/>
          </w:tcPr>
          <w:p>
            <w:pPr>
              <w:pStyle w:val="Para 03"/>
            </w:pPr>
            <w:r>
              <w:t>2 000</w:t>
            </w:r>
          </w:p>
        </w:tc>
      </w:tr>
      <w:tr>
        <w:tc>
          <w:tcPr>
            <w:tcW w:type="auto" w:w="0"/>
            <w:vAlign w:val="center"/>
            <w:hMerge w:val="restart"/>
          </w:tcPr>
          <w:p>
            <w:pPr>
              <w:pStyle w:val="Para 03"/>
            </w:pPr>
            <w:r>
              <w:t>Лукув</w:t>
            </w:r>
          </w:p>
        </w:tc>
        <w:tc>
          <w:tcPr>
            <w:hMerge w:val="continue"/>
          </w:tcPr>
          <w:p/>
        </w:tc>
        <w:tc>
          <w:tcPr>
            <w:tcW w:type="auto" w:w="0"/>
            <w:vAlign w:val="center"/>
          </w:tcPr>
          <w:p>
            <w:pPr>
              <w:pStyle w:val="Para 03"/>
            </w:pPr>
            <w:r>
              <w:t>10/42</w:t>
            </w:r>
          </w:p>
        </w:tc>
        <w:tc>
          <w:tcPr>
            <w:tcW w:type="auto" w:w="0"/>
            <w:vAlign w:val="center"/>
          </w:tcPr>
          <w:p>
            <w:pPr>
              <w:pStyle w:val="Para 03"/>
            </w:pPr>
            <w:r>
              <w:t>7 000</w:t>
            </w:r>
          </w:p>
        </w:tc>
      </w:tr>
      <w:tr>
        <w:tc>
          <w:tcPr>
            <w:tcW w:type="auto" w:w="0"/>
            <w:vAlign w:val="center"/>
            <w:hMerge w:val="restart"/>
          </w:tcPr>
          <w:p>
            <w:pPr>
              <w:pStyle w:val="Para 03"/>
            </w:pPr>
            <w:r>
              <w:t>Мендзыжец</w:t>
            </w:r>
          </w:p>
        </w:tc>
        <w:tc>
          <w:tcPr>
            <w:hMerge w:val="continue"/>
          </w:tcPr>
          <w:p/>
        </w:tc>
        <w:tc>
          <w:tcPr>
            <w:tcW w:type="auto" w:w="0"/>
            <w:vAlign w:val="center"/>
          </w:tcPr>
          <w:p>
            <w:pPr>
              <w:pStyle w:val="Para 03"/>
            </w:pPr>
            <w:r>
              <w:t>10/42-11/42</w:t>
            </w:r>
          </w:p>
        </w:tc>
        <w:tc>
          <w:tcPr>
            <w:tcW w:type="auto" w:w="0"/>
            <w:vAlign w:val="center"/>
          </w:tcPr>
          <w:p>
            <w:pPr>
              <w:pStyle w:val="Para 03"/>
            </w:pPr>
            <w:r>
              <w:t/>
            </w:r>
          </w:p>
        </w:tc>
      </w:tr>
      <w:tr>
        <w:tc>
          <w:tcPr>
            <w:tcW w:type="auto" w:w="0"/>
            <w:vAlign w:val="center"/>
          </w:tcPr>
          <w:p>
            <w:pPr>
              <w:pStyle w:val="Para 03"/>
            </w:pPr>
            <w:r>
              <w:t/>
            </w:r>
          </w:p>
        </w:tc>
        <w:tc>
          <w:tcPr>
            <w:tcW w:type="auto" w:w="0"/>
            <w:vAlign w:val="center"/>
          </w:tcPr>
          <w:p>
            <w:pPr>
              <w:pStyle w:val="Para 03"/>
            </w:pPr>
            <w:r>
              <w:t>Бяла</w:t>
            </w:r>
          </w:p>
        </w:tc>
        <w:tc>
          <w:tcPr>
            <w:tcW w:type="auto" w:w="0"/>
            <w:vAlign w:val="center"/>
          </w:tcPr>
          <w:p>
            <w:pPr>
              <w:pStyle w:val="Para 03"/>
            </w:pPr>
            <w:r>
              <w:t/>
            </w:r>
          </w:p>
        </w:tc>
        <w:tc>
          <w:tcPr>
            <w:tcW w:type="auto" w:w="0"/>
            <w:vAlign w:val="center"/>
          </w:tcPr>
          <w:p>
            <w:pPr>
              <w:pStyle w:val="Para 03"/>
            </w:pPr>
            <w:r>
              <w:t>4 800</w:t>
            </w:r>
          </w:p>
        </w:tc>
      </w:tr>
      <w:tr>
        <w:tc>
          <w:tcPr>
            <w:tcW w:type="auto" w:w="0"/>
            <w:vAlign w:val="center"/>
          </w:tcPr>
          <w:p>
            <w:pPr>
              <w:pStyle w:val="Para 03"/>
            </w:pPr>
            <w:r>
              <w:t/>
            </w:r>
          </w:p>
        </w:tc>
        <w:tc>
          <w:tcPr>
            <w:tcW w:type="auto" w:w="0"/>
            <w:vAlign w:val="center"/>
          </w:tcPr>
          <w:p>
            <w:pPr>
              <w:pStyle w:val="Para 03"/>
            </w:pPr>
            <w:r>
              <w:t>район</w:t>
              <w:t xml:space="preserve"> Бяла Подляска</w:t>
            </w:r>
          </w:p>
        </w:tc>
        <w:tc>
          <w:tcPr>
            <w:tcW w:type="auto" w:w="0"/>
            <w:vAlign w:val="center"/>
          </w:tcPr>
          <w:p>
            <w:pPr>
              <w:pStyle w:val="Para 03"/>
            </w:pPr>
            <w:r>
              <w:t/>
            </w:r>
          </w:p>
        </w:tc>
        <w:tc>
          <w:tcPr>
            <w:tcW w:type="auto" w:w="0"/>
            <w:vAlign w:val="center"/>
          </w:tcPr>
          <w:p>
            <w:pPr>
              <w:pStyle w:val="Para 03"/>
            </w:pPr>
            <w:r>
              <w:t>6 000</w:t>
            </w:r>
          </w:p>
        </w:tc>
      </w:tr>
      <w:tr>
        <w:tc>
          <w:tcPr>
            <w:tcW w:type="auto" w:w="0"/>
            <w:vAlign w:val="center"/>
          </w:tcPr>
          <w:p>
            <w:pPr>
              <w:pStyle w:val="Para 03"/>
            </w:pPr>
            <w:r>
              <w:t/>
            </w:r>
          </w:p>
        </w:tc>
        <w:tc>
          <w:tcPr>
            <w:tcW w:type="auto" w:w="0"/>
            <w:vAlign w:val="center"/>
          </w:tcPr>
          <w:p>
            <w:pPr>
              <w:pStyle w:val="Para 03"/>
            </w:pPr>
            <w:r>
              <w:t>Комаровка</w:t>
            </w:r>
          </w:p>
        </w:tc>
        <w:tc>
          <w:tcPr>
            <w:tcW w:type="auto" w:w="0"/>
            <w:vAlign w:val="center"/>
          </w:tcPr>
          <w:p>
            <w:pPr>
              <w:pStyle w:val="Para 03"/>
            </w:pPr>
            <w:r>
              <w:t/>
            </w:r>
          </w:p>
        </w:tc>
        <w:tc>
          <w:tcPr>
            <w:tcW w:type="auto" w:w="0"/>
            <w:vAlign w:val="center"/>
          </w:tcPr>
          <w:p>
            <w:pPr>
              <w:pStyle w:val="Para 03"/>
            </w:pPr>
            <w:r>
              <w:t>600</w:t>
            </w:r>
          </w:p>
        </w:tc>
      </w:tr>
      <w:tr>
        <w:tc>
          <w:tcPr>
            <w:tcW w:type="auto" w:w="0"/>
            <w:vAlign w:val="center"/>
          </w:tcPr>
          <w:p>
            <w:pPr>
              <w:pStyle w:val="Para 03"/>
            </w:pPr>
            <w:r>
              <w:t/>
            </w:r>
          </w:p>
        </w:tc>
        <w:tc>
          <w:tcPr>
            <w:tcW w:type="auto" w:w="0"/>
            <w:vAlign w:val="center"/>
          </w:tcPr>
          <w:p>
            <w:pPr>
              <w:pStyle w:val="Para 03"/>
            </w:pPr>
            <w:r>
              <w:t>Вохинь</w:t>
            </w:r>
          </w:p>
        </w:tc>
        <w:tc>
          <w:tcPr>
            <w:tcW w:type="auto" w:w="0"/>
            <w:vAlign w:val="center"/>
          </w:tcPr>
          <w:p>
            <w:pPr>
              <w:pStyle w:val="Para 03"/>
            </w:pPr>
            <w:r>
              <w:t/>
            </w:r>
          </w:p>
        </w:tc>
        <w:tc>
          <w:tcPr>
            <w:tcW w:type="auto" w:w="0"/>
            <w:vAlign w:val="center"/>
          </w:tcPr>
          <w:p>
            <w:pPr>
              <w:pStyle w:val="Para 03"/>
            </w:pPr>
            <w:r>
              <w:t>800</w:t>
            </w:r>
          </w:p>
        </w:tc>
      </w:tr>
      <w:tr>
        <w:tc>
          <w:tcPr>
            <w:tcW w:type="auto" w:w="0"/>
            <w:vAlign w:val="center"/>
          </w:tcPr>
          <w:p>
            <w:pPr>
              <w:pStyle w:val="Para 03"/>
            </w:pPr>
            <w:r>
              <w:t/>
            </w:r>
          </w:p>
        </w:tc>
        <w:tc>
          <w:tcPr>
            <w:tcW w:type="auto" w:w="0"/>
            <w:vAlign w:val="center"/>
          </w:tcPr>
          <w:p>
            <w:pPr>
              <w:pStyle w:val="Para 03"/>
            </w:pPr>
            <w:r>
              <w:t>Чемерники</w:t>
            </w:r>
          </w:p>
        </w:tc>
        <w:tc>
          <w:tcPr>
            <w:tcW w:type="auto" w:w="0"/>
            <w:vAlign w:val="center"/>
          </w:tcPr>
          <w:p>
            <w:pPr>
              <w:pStyle w:val="Para 03"/>
            </w:pPr>
            <w:r>
              <w:t/>
            </w:r>
          </w:p>
        </w:tc>
        <w:tc>
          <w:tcPr>
            <w:tcW w:type="auto" w:w="0"/>
            <w:vAlign w:val="center"/>
          </w:tcPr>
          <w:p>
            <w:pPr>
              <w:pStyle w:val="Para 03"/>
            </w:pPr>
            <w:r>
              <w:t>1 000</w:t>
            </w:r>
          </w:p>
        </w:tc>
      </w:tr>
      <w:tr>
        <w:tc>
          <w:tcPr>
            <w:tcW w:type="auto" w:w="0"/>
            <w:vAlign w:val="center"/>
          </w:tcPr>
          <w:p>
            <w:pPr>
              <w:pStyle w:val="Para 03"/>
            </w:pPr>
            <w:r>
              <w:t/>
            </w:r>
          </w:p>
        </w:tc>
        <w:tc>
          <w:tcPr>
            <w:tcW w:type="auto" w:w="0"/>
            <w:vAlign w:val="center"/>
          </w:tcPr>
          <w:p>
            <w:pPr>
              <w:pStyle w:val="Para 03"/>
            </w:pPr>
            <w:r>
              <w:t>Радзинь</w:t>
            </w:r>
          </w:p>
        </w:tc>
        <w:tc>
          <w:tcPr>
            <w:tcW w:type="auto" w:w="0"/>
            <w:vAlign w:val="center"/>
          </w:tcPr>
          <w:p>
            <w:pPr>
              <w:pStyle w:val="Para 03"/>
            </w:pPr>
            <w:r>
              <w:t/>
            </w:r>
          </w:p>
        </w:tc>
        <w:tc>
          <w:tcPr>
            <w:tcW w:type="auto" w:w="0"/>
            <w:vAlign w:val="center"/>
          </w:tcPr>
          <w:p>
            <w:pPr>
              <w:pStyle w:val="Para 03"/>
            </w:pPr>
            <w:r>
              <w:t>2 000</w:t>
            </w:r>
          </w:p>
        </w:tc>
      </w:tr>
      <w:tr>
        <w:tc>
          <w:tcPr>
            <w:tcW w:type="auto" w:w="0"/>
            <w:vAlign w:val="center"/>
            <w:hMerge w:val="restart"/>
          </w:tcPr>
          <w:p>
            <w:pPr>
              <w:pStyle w:val="Para 03"/>
            </w:pPr>
            <w:r>
              <w:t>Лукув</w:t>
            </w:r>
          </w:p>
        </w:tc>
        <w:tc>
          <w:tcPr>
            <w:hMerge w:val="continue"/>
          </w:tcPr>
          <w:p/>
        </w:tc>
        <w:tc>
          <w:tcPr>
            <w:tcW w:type="auto" w:w="0"/>
            <w:vAlign w:val="center"/>
          </w:tcPr>
          <w:p>
            <w:pPr>
              <w:pStyle w:val="Para 03"/>
            </w:pPr>
            <w:r>
              <w:t>11/42</w:t>
            </w:r>
          </w:p>
        </w:tc>
        <w:tc>
          <w:tcPr>
            <w:tcW w:type="auto" w:w="0"/>
            <w:vAlign w:val="center"/>
          </w:tcPr>
          <w:p>
            <w:pPr>
              <w:pStyle w:val="Para 03"/>
            </w:pPr>
            <w:r>
              <w:t>3 000</w:t>
            </w:r>
          </w:p>
        </w:tc>
      </w:tr>
      <w:tr>
        <w:tc>
          <w:tcPr>
            <w:tcW w:type="auto" w:w="0"/>
            <w:vAlign w:val="center"/>
            <w:hMerge w:val="restart"/>
          </w:tcPr>
          <w:p>
            <w:pPr>
              <w:pStyle w:val="Para 03"/>
            </w:pPr>
            <w:r>
              <w:t>Мендзыжец</w:t>
            </w:r>
          </w:p>
        </w:tc>
        <w:tc>
          <w:tcPr>
            <w:hMerge w:val="continue"/>
          </w:tcPr>
          <w:p/>
        </w:tc>
        <w:tc>
          <w:tcPr>
            <w:tcW w:type="auto" w:w="0"/>
            <w:vAlign w:val="center"/>
          </w:tcPr>
          <w:p>
            <w:pPr>
              <w:pStyle w:val="Para 03"/>
            </w:pPr>
            <w:r>
              <w:t>5/43</w:t>
            </w:r>
          </w:p>
        </w:tc>
        <w:tc>
          <w:tcPr>
            <w:tcW w:type="auto" w:w="0"/>
            <w:vAlign w:val="center"/>
          </w:tcPr>
          <w:p>
            <w:pPr>
              <w:pStyle w:val="Para 03"/>
            </w:pPr>
            <w:r>
              <w:t>3 000</w:t>
            </w:r>
          </w:p>
        </w:tc>
      </w:tr>
      <w:tr>
        <w:tc>
          <w:tcPr>
            <w:tcW w:type="auto" w:w="0"/>
            <w:vAlign w:val="center"/>
            <w:hMerge w:val="restart"/>
          </w:tcPr>
          <w:p>
            <w:pPr>
              <w:pStyle w:val="Para 03"/>
            </w:pPr>
            <w:r>
              <w:t>ВСЕГО</w:t>
            </w:r>
          </w:p>
        </w:tc>
        <w:tc>
          <w:tcPr>
            <w:hMerge w:val="continue"/>
          </w:tcPr>
          <w:p/>
        </w:tc>
        <w:tc>
          <w:tcPr>
            <w:hMerge w:val="continue"/>
          </w:tcPr>
          <w:p/>
        </w:tc>
        <w:tc>
          <w:tcPr>
            <w:tcW w:type="auto" w:w="0"/>
            <w:vAlign w:val="center"/>
          </w:tcPr>
          <w:p>
            <w:pPr>
              <w:pStyle w:val="Para 03"/>
            </w:pPr>
            <w:r>
              <w:t>45 200</w:t>
            </w:r>
          </w:p>
        </w:tc>
      </w:tr>
    </w:tbl>
    <w:p>
      <w:pPr>
        <w:pStyle w:val="Para 13"/>
      </w:pPr>
      <w:r>
        <w:bookmarkStart w:id="751" w:name="anchor45"/>
        <w:t/>
        <w:bookmarkEnd w:id="751"/>
        <w:t xml:space="preserve">Сокращения и Адаптации, </w:t>
        <w:t>Сноски</w:t>
        <w:bookmarkStart w:id="752" w:name="anchor94"/>
        <w:t/>
        <w:bookmarkEnd w:id="752"/>
        <w:bookmarkStart w:id="753" w:name="anchor49"/>
        <w:t/>
        <w:bookmarkEnd w:id="753"/>
      </w:r>
    </w:p>
    <w:p>
      <w:pPr>
        <w:pStyle w:val="Para 33"/>
      </w:pPr>
      <w:r>
        <w:t/>
      </w:r>
    </w:p>
    <w:p>
      <w:pPr>
        <w:pStyle w:val="Para 02"/>
      </w:pPr>
      <w:r>
        <w:rPr>
          <w:rStyle w:val="Text4"/>
        </w:rPr>
        <w:t>BA</w:t>
      </w:r>
      <w:r>
        <w:t xml:space="preserve"> </w:t>
        <w:t>Федеральный Архив Германии, Кобленц. [</w:t>
        <w:t>Bu</w:t>
        <w:t>nd</w:t>
        <w:t>esarchiv, Koblenz</w:t>
        <w:t>]</w:t>
        <w:t xml:space="preserve"> </w:t>
      </w:r>
    </w:p>
    <w:p>
      <w:pPr>
        <w:pStyle w:val="Para 02"/>
      </w:pPr>
      <w:r>
        <w:rPr>
          <w:rStyle w:val="Text4"/>
        </w:rPr>
        <w:t>BDC</w:t>
      </w:r>
      <w:r>
        <w:t xml:space="preserve"> </w:t>
        <w:t>Берлинский Центр Документации. [</w:t>
        <w:t>Berlin Document Center</w:t>
        <w:t>]</w:t>
        <w:t xml:space="preserve"> </w:t>
      </w:r>
    </w:p>
    <w:p>
      <w:pPr>
        <w:pStyle w:val="Para 02"/>
      </w:pPr>
      <w:r>
        <w:rPr>
          <w:rStyle w:val="Text4"/>
        </w:rPr>
        <w:t>BZIH</w:t>
      </w:r>
      <w:r>
        <w:t xml:space="preserve"> </w:t>
        <w:t>Вестник Еврейского Исторического Института, Варшава. [</w:t>
        <w:t>Biuletyn Żydowskiego Instytutu Historycznego</w:t>
        <w:t>]</w:t>
        <w:t xml:space="preserve">. </w:t>
        <w:t>[</w:t>
        <w:t>Bulletin of the Jewish Historical Institute</w:t>
        <w:t>]</w:t>
        <w:t>.</w:t>
      </w:r>
    </w:p>
    <w:p>
      <w:pPr>
        <w:pStyle w:val="Para 02"/>
      </w:pPr>
      <w:r>
        <w:rPr>
          <w:rStyle w:val="Text4"/>
        </w:rPr>
        <w:t>G</w:t>
      </w:r>
      <w:r>
        <w:t xml:space="preserve"> </w:t>
        <w:t xml:space="preserve">Расследование Г. И Других, Государственная Прокуратура, Гамбург. </w:t>
        <w:t>[</w:t>
        <w:t>Investig</w:t>
        <w:t>a</w:t>
        <w:t>tion of G. And others, Office of the state Prosecutor, Hamburg, 141 Js 128/65</w:t>
        <w:t>]</w:t>
        <w:t xml:space="preserve"> </w:t>
      </w:r>
    </w:p>
    <w:p>
      <w:pPr>
        <w:pStyle w:val="Para 02"/>
      </w:pPr>
      <w:r>
        <w:rPr>
          <w:rStyle w:val="Text4"/>
        </w:rPr>
        <w:t>HW</w:t>
      </w:r>
      <w:r>
        <w:t xml:space="preserve"> </w:t>
        <w:t>Расследование и суд над Хоффманом, Волауфом и Другими, Государственная Прокуратура, Гамбург. [</w:t>
        <w:t>Investigation and trial of Hoffman, Wolhauf and others, Office of the State Prosecutor, Hamburg, 141 Js 1957/62</w:t>
        <w:t>].</w:t>
        <w:t xml:space="preserve"> </w:t>
      </w:r>
    </w:p>
    <w:p>
      <w:pPr>
        <w:pStyle w:val="Para 02"/>
      </w:pPr>
      <w:r>
        <w:rPr>
          <w:rStyle w:val="Text4"/>
        </w:rPr>
        <w:t>IMT</w:t>
      </w:r>
      <w:r>
        <w:t xml:space="preserve"> </w:t>
        <w:t>Суды над Главными Военными Преступниками перед Международным Военным Трибуналом В Нюрнберге, 42 тома. [</w:t>
        <w:t>Trials of the Major War Criminals before the International Military Tribunal, 42 vols.</w:t>
        <w:t>]</w:t>
        <w:t xml:space="preserve"> </w:t>
      </w:r>
    </w:p>
    <w:p>
      <w:pPr>
        <w:pStyle w:val="Para 02"/>
      </w:pPr>
      <w:r>
        <w:rPr>
          <w:rStyle w:val="Text4"/>
        </w:rPr>
        <w:t>JNSV</w:t>
      </w:r>
      <w:r>
        <w:t xml:space="preserve"> </w:t>
        <w:t>Правосудие и Нацистские Преступления. Сборник приговоров за убийства, совершенные национал-социалистами 1945-1966, 20 томов.[</w:t>
        <w:t>Jus</w:t>
        <w:t>ti</w:t>
        <w:t xml:space="preserve">z und NS-Verbrechen. Sammlung Strafurteile wegen Nationalsozialistische Tötungsverbrechen </w:t>
        <w:t>1945-1966, 20 vols.</w:t>
        <w:t>]</w:t>
        <w:t xml:space="preserve"> </w:t>
      </w:r>
    </w:p>
    <w:p>
      <w:pPr>
        <w:pStyle w:val="Para 02"/>
      </w:pPr>
      <w:r>
        <w:rPr>
          <w:rStyle w:val="Text4"/>
        </w:rPr>
        <w:t>NO</w:t>
      </w:r>
      <w:r>
        <w:t xml:space="preserve"> </w:t>
        <w:t>Нюрнбергский Документ о партийных организациях. [</w:t>
        <w:t>Nürnberg document relating to party organizations</w:t>
        <w:t>].</w:t>
        <w:t xml:space="preserve"> </w:t>
      </w:r>
    </w:p>
    <w:p>
      <w:pPr>
        <w:pStyle w:val="Para 02"/>
      </w:pPr>
      <w:r>
        <w:rPr>
          <w:rStyle w:val="Text4"/>
        </w:rPr>
        <w:t>NOKW</w:t>
      </w:r>
      <w:r>
        <w:t xml:space="preserve"> </w:t>
        <w:t>Нюрнбергский документ о военных. [</w:t>
        <w:t>Nürnberg document relating to the military</w:t>
        <w:t>].</w:t>
        <w:t xml:space="preserve"> </w:t>
      </w:r>
    </w:p>
    <w:p>
      <w:pPr>
        <w:pStyle w:val="Para 02"/>
      </w:pPr>
      <w:r>
        <w:rPr>
          <w:rStyle w:val="Text4"/>
        </w:rPr>
        <w:t xml:space="preserve">YVA </w:t>
      </w:r>
      <w:r>
        <w:t>Архивы Яд Вашем, Иерусалим. [</w:t>
        <w:t>Yad Vashem Archives, Jerusalem</w:t>
        <w:t>].</w:t>
        <w:t xml:space="preserve"> </w:t>
      </w:r>
    </w:p>
    <w:p>
      <w:pPr>
        <w:pStyle w:val="Para 02"/>
      </w:pPr>
      <w:r>
        <w:rPr>
          <w:rStyle w:val="Text4"/>
        </w:rPr>
        <w:t xml:space="preserve">ZStL </w:t>
      </w:r>
      <w:r>
        <w:t xml:space="preserve">Центральное Управление Государственной Юстиции по Расследованию Преступлений Национал Социалистов, </w:t>
        <w:t>Людвигсбург</w:t>
        <w:t xml:space="preserve"> </w:t>
        <w:t>[</w:t>
        <w:t>Zentrale Stelle der Landesjustizverwaltungen, Ludwigsburg</w:t>
        <w:t>].</w:t>
        <w:t xml:space="preserve"> </w:t>
      </w:r>
    </w:p>
    <w:p>
      <w:pPr>
        <w:pStyle w:val="Para 02"/>
      </w:pPr>
      <w:r>
        <w:rPr>
          <w:rStyle w:val="Text4"/>
        </w:rPr>
        <w:t>K</w:t>
        <w:t>d</w:t>
        <w:t>S</w:t>
      </w:r>
      <w:r>
        <w:t xml:space="preserve"> </w:t>
        <w:t>Управление Командующих Полиции Безопасности и Дивизий Безопасности. [</w:t>
        <w:t>Office of the Commanders of the Security Police and The SD</w:t>
        <w:t>].</w:t>
        <w:t xml:space="preserve"> </w:t>
      </w:r>
    </w:p>
    <w:p>
      <w:pPr>
        <w:pStyle w:val="Para 02"/>
      </w:pPr>
      <w:r>
        <w:rPr>
          <w:rStyle w:val="Text4"/>
        </w:rPr>
        <w:t xml:space="preserve">BdO </w:t>
      </w:r>
      <w:r>
        <w:t xml:space="preserve">Главнокомандующий Полиции Порядка </w:t>
        <w:t>(Befehlshaber der Ordnungspolizei</w:t>
        <w:t xml:space="preserve"> </w:t>
      </w:r>
    </w:p>
    <w:p>
      <w:pPr>
        <w:pStyle w:val="Para 02"/>
      </w:pPr>
      <w:r>
        <w:rPr>
          <w:rStyle w:val="Text4"/>
        </w:rPr>
        <w:t xml:space="preserve">KdO </w:t>
      </w:r>
      <w:r>
        <w:t xml:space="preserve">Командир Полиции Порядка </w:t>
        <w:t>[Kommandeur der Ordnungspolizei]</w:t>
        <w:t xml:space="preserve"> </w:t>
      </w:r>
    </w:p>
    <w:p>
      <w:pPr>
        <w:pStyle w:val="Para 02"/>
      </w:pPr>
      <w:r>
        <w:rPr>
          <w:rStyle w:val="Text4"/>
        </w:rPr>
        <w:t xml:space="preserve">SSPF </w:t>
      </w:r>
      <w:r>
        <w:t xml:space="preserve">Руководитель СС и Полиции </w:t>
        <w:t>[</w:t>
        <w:t>SS und Polizeif</w:t>
        <w:t>ü</w:t>
        <w:t>hrer</w:t>
        <w:t>]</w:t>
        <w:t xml:space="preserve"> </w:t>
      </w:r>
    </w:p>
    <w:p>
      <w:pPr>
        <w:pStyle w:val="Para 02"/>
      </w:pPr>
      <w:r>
        <w:rPr>
          <w:rStyle w:val="Text4"/>
        </w:rPr>
        <w:t>HSSPF</w:t>
      </w:r>
      <w:r>
        <w:t xml:space="preserve"> </w:t>
        <w:t xml:space="preserve">Высший Руководитель СС и Полиции </w:t>
        <w:t>[</w:t>
        <w:t>H</w:t>
        <w:t>ö</w:t>
        <w:t>herer SS und Polizeiführer</w:t>
        <w:t>]</w:t>
        <w:t xml:space="preserve"> </w:t>
      </w:r>
    </w:p>
    <w:p>
      <w:pPr>
        <w:pStyle w:val="Para 02"/>
      </w:pPr>
      <w:r>
        <w:rPr>
          <w:rStyle w:val="Text4"/>
        </w:rPr>
        <w:t>HöSSPF</w:t>
      </w:r>
      <w:r>
        <w:t xml:space="preserve"> Верховный Руководитель СС и Полиции </w:t>
        <w:t>[</w:t>
        <w:t>Höchster und Polizeiführer</w:t>
        <w:t>]</w:t>
        <w:t xml:space="preserve"> </w:t>
      </w:r>
    </w:p>
    <w:p>
      <w:pPr>
        <w:pStyle w:val="Para 02"/>
      </w:pPr>
      <w:r>
        <w:rPr>
          <w:rStyle w:val="Text4"/>
        </w:rPr>
        <w:t>KdSchupo</w:t>
      </w:r>
      <w:r>
        <w:t xml:space="preserve"> Командир Полиции Охраны </w:t>
        <w:t>[</w:t>
        <w:t>Kommandeur der Schutzpolizei].</w:t>
        <w:t xml:space="preserve"> </w:t>
      </w:r>
    </w:p>
    <w:p>
      <w:pPr>
        <w:pStyle w:val="Para 02"/>
      </w:pPr>
      <w:r>
        <w:rPr>
          <w:rStyle w:val="Text4"/>
        </w:rPr>
        <w:t>S</w:t>
        <w:t xml:space="preserve">D </w:t>
      </w:r>
      <w:r>
        <w:t xml:space="preserve">Служба Безопасности Рейхсфюрера СС </w:t>
        <w:t>[</w:t>
        <w:t>Sicherheitsdienst des Reichsführers-SS]</w:t>
      </w:r>
      <w:r>
        <w:rPr>
          <w:rStyle w:val="Text9"/>
        </w:rPr>
        <w:t xml:space="preserve"> </w:t>
      </w:r>
    </w:p>
    <w:p>
      <w:pPr>
        <w:pStyle w:val="Para 02"/>
      </w:pPr>
      <w:r>
        <w:t>Прим. переводчика – оригинальные сканы книги, что есть в моём распоряжении, весьма посредственного качества. В сносках присутствует с десяток цифр, которые заменены на “?”.</w:t>
      </w:r>
    </w:p>
    <w:p>
      <w:pPr>
        <w:pStyle w:val="Heading 1"/>
        <w:pageBreakBefore w:val="on"/>
      </w:pPr>
      <w:r>
        <w:t>Notes</w:t>
      </w:r>
    </w:p>
    <w:p>
      <w:bookmarkStart w:id="754" w:name="__1"/>
      <w:pPr>
        <w:pStyle w:val="Normal"/>
      </w:pPr>
      <w:r>
        <w:t>[</w:t>
      </w:r>
      <w:hyperlink w:anchor="1">
        <w:r>
          <w:rPr>
            <w:rStyle w:val="Text1"/>
          </w:rPr>
          <w:t>←1</w:t>
        </w:r>
      </w:hyperlink>
      <w:r>
        <w:t xml:space="preserve"> ] </w:t>
      </w:r>
      <w:bookmarkEnd w:id="754"/>
    </w:p>
    <w:p>
      <w:pPr>
        <w:pStyle w:val="Para 01"/>
      </w:pPr>
      <w:r>
        <w:t xml:space="preserve">Далее Карта 1 и Карта 2. </w:t>
        <w:t xml:space="preserve">На </w:t>
        <w:t xml:space="preserve"> </w:t>
        <w:t xml:space="preserve">Карте 1 </w:t>
        <w:t xml:space="preserve">— Карта Польши в 1942 и 1943 гг. </w:t>
        <w:t xml:space="preserve">На </w:t>
        <w:t xml:space="preserve">ней </w:t>
        <w:t>звёздочками отмечены названия: Тильзит [</w:t>
        <w:t xml:space="preserve">Tilsit </w:t>
        <w:t xml:space="preserve">или </w:t>
        <w:t>Tilžė</w:t>
        <w:t xml:space="preserve">] — </w:t>
        <w:t>после Второй Мировой аннексирован СССР и переименован в</w:t>
        <w:t xml:space="preserve"> Советск; Вильна — старый экзоним для города Вильнюс, до сих пор в ходу во многих странах; Марцинканце [Marcinkańce] — польское название, сейчас Марцинконис </w:t>
        <w:t>[</w:t>
        <w:t>Marcinkonys</w:t>
        <w:t>]</w:t>
        <w:t xml:space="preserve">; Белая Русь — адаптация немецкого названия того периода времени для Беларуси «Weissruthenian»; Волынь-Подолье [Volhynia-Podolia] — округ на территории оккупированной Украины; </w:t>
        <w:t xml:space="preserve">Восточная Верхняя Силезия — так же известна как Польская (верхняя) Силезия, </w:t>
        <w:t>з</w:t>
        <w:t xml:space="preserve">ападной управляла Германия. Такой раздел возник по результату Первой Мировой; Челядзь — Czeladź. </w:t>
        <w:t>Ковно/Каунас не отмечен, т.к. об этом далее говорится в книге.</w:t>
        <w:t xml:space="preserve"> </w:t>
      </w:r>
    </w:p>
    <w:p>
      <w:bookmarkStart w:id="755" w:name="__2"/>
      <w:pPr>
        <w:pStyle w:val="Normal"/>
      </w:pPr>
      <w:r>
        <w:t>[</w:t>
      </w:r>
      <w:hyperlink w:anchor="2">
        <w:r>
          <w:rPr>
            <w:rStyle w:val="Text1"/>
          </w:rPr>
          <w:t>←2</w:t>
        </w:r>
      </w:hyperlink>
      <w:r>
        <w:t xml:space="preserve"> ] </w:t>
      </w:r>
      <w:bookmarkEnd w:id="755"/>
    </w:p>
    <w:p>
      <w:pPr>
        <w:pStyle w:val="Para 01"/>
      </w:pPr>
      <w:r>
        <w:t xml:space="preserve">Прим. </w:t>
        <w:t>п</w:t>
        <w:t>ереводчика — Книга писалась в 1989-1991 годах американским историком, так что в ней вместо «СССР» автор использует «Россия». Возможно для людей из других стран и в то время это было одним и тем же, однако, посоветовавшись со своими редакторами, я пришёл к решению адаптировать этот элемент книги.</w:t>
      </w:r>
    </w:p>
    <w:p>
      <w:bookmarkStart w:id="756" w:name="__3"/>
      <w:pPr>
        <w:pStyle w:val="Normal"/>
      </w:pPr>
      <w:r>
        <w:t>[</w:t>
      </w:r>
      <w:hyperlink w:anchor="3">
        <w:r>
          <w:rPr>
            <w:rStyle w:val="Text1"/>
          </w:rPr>
          <w:t>←3</w:t>
        </w:r>
      </w:hyperlink>
      <w:r>
        <w:t xml:space="preserve"> ] </w:t>
      </w:r>
      <w:bookmarkEnd w:id="756"/>
    </w:p>
    <w:p>
      <w:pPr>
        <w:pStyle w:val="Para 01"/>
      </w:pPr>
      <w:r>
        <w:t>Рауль Хил</w:t>
        <w:t>ь</w:t>
        <w:t>берг оценивает количество погибших жертв в Холокосте от расстрелов в 25%. Более 50% погибло в газовых камерах шести крупнейших лагерей смерти. Остальные погибли от ужасных условий гетто, рабочих и концентрационных лагерей, маршей смерти и так далее.</w:t>
      </w:r>
      <w:r>
        <w:rPr>
          <w:rStyle w:val="Text0"/>
        </w:rPr>
        <w:t xml:space="preserve"> </w:t>
        <w:t xml:space="preserve">Уничтожение Евреев Европы </w:t>
      </w:r>
      <w:r>
        <w:t>[</w:t>
      </w:r>
      <w:r>
        <w:rPr>
          <w:rStyle w:val="Text0"/>
        </w:rPr>
        <w:t>The Destruction of the European Jews</w:t>
      </w:r>
      <w:r>
        <w:t>]</w:t>
      </w:r>
      <w:r>
        <w:rPr>
          <w:rStyle w:val="Text0"/>
        </w:rPr>
        <w:t xml:space="preserve"> </w:t>
      </w:r>
      <w:r>
        <w:t>(</w:t>
        <w:t>Нью-Йорк</w:t>
        <w:t>, 1985), 1219.</w:t>
      </w:r>
    </w:p>
    <w:p>
      <w:bookmarkStart w:id="757" w:name="__4"/>
      <w:pPr>
        <w:pStyle w:val="Normal"/>
      </w:pPr>
      <w:r>
        <w:t>[</w:t>
      </w:r>
      <w:hyperlink w:anchor="4">
        <w:r>
          <w:rPr>
            <w:rStyle w:val="Text1"/>
          </w:rPr>
          <w:t>←4</w:t>
        </w:r>
      </w:hyperlink>
      <w:r>
        <w:t xml:space="preserve"> ] </w:t>
      </w:r>
      <w:bookmarkEnd w:id="757"/>
    </w:p>
    <w:p>
      <w:pPr>
        <w:pStyle w:val="Para 01"/>
      </w:pPr>
      <w:r>
        <w:t xml:space="preserve">Zentrale Stelle der Landesjustizverwaltungen zur Aufklärung nationalsozialistischer Verbrechen. </w:t>
        <w:t>С</w:t>
        <w:t xml:space="preserve">окращённо </w:t>
        <w:t xml:space="preserve">просто </w:t>
      </w:r>
      <w:r>
        <w:rPr>
          <w:rStyle w:val="Text0"/>
        </w:rPr>
        <w:t xml:space="preserve">Zentrale Stelle </w:t>
      </w:r>
      <w:r>
        <w:t>или</w:t>
        <w:t xml:space="preserve"> «Z commission» </w:t>
        <w:t xml:space="preserve">— </w:t>
        <w:t>«Комиссия Z».</w:t>
        <w:t xml:space="preserve"> </w:t>
      </w:r>
    </w:p>
    <w:p>
      <w:bookmarkStart w:id="758" w:name="__5"/>
      <w:pPr>
        <w:pStyle w:val="Normal"/>
      </w:pPr>
      <w:r>
        <w:t>[</w:t>
      </w:r>
      <w:hyperlink w:anchor="5">
        <w:r>
          <w:rPr>
            <w:rStyle w:val="Text1"/>
          </w:rPr>
          <w:t>←5</w:t>
        </w:r>
      </w:hyperlink>
      <w:r>
        <w:t xml:space="preserve"> ] </w:t>
      </w:r>
      <w:bookmarkEnd w:id="758"/>
    </w:p>
    <w:p>
      <w:pPr>
        <w:pStyle w:val="Para 01"/>
      </w:pPr>
      <w:r>
        <w:t xml:space="preserve">Прим. </w:t>
        <w:t>п</w:t>
        <w:t xml:space="preserve">ереводчика. Названия немецкой бюрократии, званий и их английских сокращений в основном тексте книги всегда переведены, а их оригинальное название либо в [ ] </w:t>
        <w:t>(</w:t>
        <w:t xml:space="preserve">сделано так </w:t>
        <w:t>по примеру Издательской программы Общества «Мемориал»)</w:t>
        <w:t xml:space="preserve">, либо в сносках, либо в разделе «Сокращения и адаптации». Во многих сносках перевод не осуществлялся, так как нельзя полностью перевести источник из немецкого архива без потери смысла в предоставлении источника в первую очередь. К примеру, сноска « </w:t>
        <w:t xml:space="preserve">Landgericht Regensburg, judgement Ks 6/70». </w:t>
        <w:t xml:space="preserve">Можно перевести первую часть или «judgement», но я, как переводчик, не вижу в этом смысла, </w:t>
        <w:t>ведь для проверки источника тогда придётся переводить обратно, а само наличие перевода на русский ничего не даёт</w:t>
        <w:t xml:space="preserve">. Когда в источник включена информация о ком-то из книги, </w:t>
        <w:t>о каком-то известном нацистском деятеле</w:t>
        <w:t xml:space="preserve"> или </w:t>
        <w:t>автору есть что сообщить об этом источнике,</w:t>
        <w:t xml:space="preserve"> то он переведён.</w:t>
      </w:r>
    </w:p>
    <w:p>
      <w:bookmarkStart w:id="759" w:name="__6"/>
      <w:pPr>
        <w:pStyle w:val="Normal"/>
      </w:pPr>
      <w:r>
        <w:t>[</w:t>
      </w:r>
      <w:hyperlink w:anchor="6">
        <w:r>
          <w:rPr>
            <w:rStyle w:val="Text1"/>
          </w:rPr>
          <w:t>←6</w:t>
        </w:r>
      </w:hyperlink>
      <w:r>
        <w:t xml:space="preserve"> ] </w:t>
      </w:r>
      <w:bookmarkEnd w:id="759"/>
    </w:p>
    <w:p>
      <w:pPr>
        <w:pStyle w:val="Para 01"/>
      </w:pPr>
      <w:r>
        <w:t>Прим. переводчика — и</w:t>
        <w:t>меется в виду, что нет (или не было на тот момент) документов, которые описывали массовые убийства документально и со стороны немцев.</w:t>
      </w:r>
    </w:p>
    <w:p>
      <w:bookmarkStart w:id="760" w:name="__7"/>
      <w:pPr>
        <w:pStyle w:val="Normal"/>
      </w:pPr>
      <w:r>
        <w:t>[</w:t>
      </w:r>
      <w:hyperlink w:anchor="7">
        <w:r>
          <w:rPr>
            <w:rStyle w:val="Text1"/>
          </w:rPr>
          <w:t>←7</w:t>
        </w:r>
      </w:hyperlink>
      <w:r>
        <w:t xml:space="preserve"> ] </w:t>
      </w:r>
      <w:bookmarkEnd w:id="760"/>
    </w:p>
    <w:p>
      <w:pPr>
        <w:pStyle w:val="Para 01"/>
      </w:pPr>
      <w:r>
        <w:t>Единственное другое крупное исследование отдельного отряда убийц — это исследование Ганса Генриха Вильгельма и Хельмута Краусника «Die Einsatzgruppe A der Sicherheitspolizei und des SD 1938-1942“ (Штутгарт, 1981). Исследование Вильгельма основано на намного более многочисленной (в сравнении с Батальоном 101) сохранившейся документации той эпохи. Однако, Вильгельму не был доступен состав отряда. Его работа ограничена только офицерами.</w:t>
      </w:r>
    </w:p>
    <w:p>
      <w:bookmarkStart w:id="761" w:name="__8"/>
      <w:pPr>
        <w:pStyle w:val="Normal"/>
      </w:pPr>
      <w:r>
        <w:t>[</w:t>
      </w:r>
      <w:hyperlink w:anchor="8">
        <w:r>
          <w:rPr>
            <w:rStyle w:val="Text1"/>
          </w:rPr>
          <w:t>←8</w:t>
        </w:r>
      </w:hyperlink>
      <w:r>
        <w:t xml:space="preserve"> ] </w:t>
      </w:r>
      <w:bookmarkEnd w:id="761"/>
    </w:p>
    <w:p>
      <w:pPr>
        <w:pStyle w:val="Para 01"/>
      </w:pPr>
      <w:r>
        <w:t xml:space="preserve">Марк Блок </w:t>
        <w:t>[Marc Bloch]</w:t>
        <w:t xml:space="preserve">, </w:t>
      </w:r>
      <w:r>
        <w:rPr>
          <w:rStyle w:val="Text0"/>
        </w:rPr>
        <w:t>Ремесло Историка</w:t>
      </w:r>
      <w:r>
        <w:t xml:space="preserve"> [</w:t>
      </w:r>
      <w:r>
        <w:rPr>
          <w:rStyle w:val="Text0"/>
        </w:rPr>
        <w:t>The Historian’s Craft</w:t>
      </w:r>
      <w:r>
        <w:t>]</w:t>
        <w:t xml:space="preserve"> (</w:t>
        <w:t>Нью-Йорк</w:t>
        <w:t>, 1964), 143.</w:t>
      </w:r>
    </w:p>
    <w:p>
      <w:bookmarkStart w:id="762" w:name="__9"/>
      <w:pPr>
        <w:pStyle w:val="Normal"/>
      </w:pPr>
      <w:r>
        <w:t>[</w:t>
      </w:r>
      <w:hyperlink w:anchor="9">
        <w:r>
          <w:rPr>
            <w:rStyle w:val="Text1"/>
          </w:rPr>
          <w:t>←9</w:t>
        </w:r>
      </w:hyperlink>
      <w:r>
        <w:t xml:space="preserve"> ] </w:t>
      </w:r>
      <w:bookmarkEnd w:id="762"/>
    </w:p>
    <w:p>
      <w:pPr>
        <w:pStyle w:val="Para 01"/>
      </w:pPr>
      <w:r>
        <w:t xml:space="preserve">Прим. </w:t>
        <w:t>п</w:t>
        <w:t xml:space="preserve">ереводчика — Имена, которые, встречаются в основном тексте книге </w:t>
        <w:t xml:space="preserve">всегда </w:t>
        <w:t xml:space="preserve">переведены и к ним в [ ] </w:t>
        <w:t xml:space="preserve">часто </w:t>
        <w:t xml:space="preserve">предоставляется непереведённый вариант. Если они уже были переведены или есть некое общепризнанная форма перевода их имени, к примеру, «Гитта Серени», то будут переведены и в сносках, так же как и названия их книг/работ </w:t>
        <w:t>(с английского, но не с немецкого или какого-либо другого)</w:t>
        <w:t xml:space="preserve">, даже если официального перевода на русский не было. </w:t>
        <w:t xml:space="preserve">Псевдонимы </w:t>
        <w:t>и</w:t>
        <w:t xml:space="preserve"> и</w:t>
        <w:t>мена людей, не встречающиеся в основном тексте и не имеющие какого-</w:t>
        <w:t>—</w:t>
        <w:t>либо перевода книг на русском ранее, а так же названия их работ, если таковые имеются, оставлены без перевода.</w:t>
      </w:r>
    </w:p>
    <w:p>
      <w:bookmarkStart w:id="763" w:name="__10"/>
      <w:pPr>
        <w:pStyle w:val="Normal"/>
      </w:pPr>
      <w:r>
        <w:t>[</w:t>
      </w:r>
      <w:hyperlink w:anchor="10">
        <w:r>
          <w:rPr>
            <w:rStyle w:val="Text1"/>
          </w:rPr>
          <w:t>←10</w:t>
        </w:r>
      </w:hyperlink>
      <w:r>
        <w:t xml:space="preserve"> ] </w:t>
      </w:r>
      <w:bookmarkEnd w:id="763"/>
    </w:p>
    <w:p>
      <w:pPr>
        <w:pStyle w:val="Para 01"/>
      </w:pPr>
      <w:r>
        <w:t xml:space="preserve">Oberstaatsanwalt. </w:t>
        <w:t xml:space="preserve">Прим. переводчика </w:t>
        <w:t>——</w:t>
        <w:t xml:space="preserve"> </w:t>
        <w:t xml:space="preserve">главный или, </w:t>
        <w:t xml:space="preserve">более классический вариант, </w:t>
        <w:t xml:space="preserve">старший прокурор. </w:t>
        <w:t>Можно перевести это слово от простого «прокурор</w:t>
        <w:t>а</w:t>
        <w:t xml:space="preserve">», до «генерального прокурора» (по крайней мере, </w:t>
        <w:t>это один из возможных</w:t>
        <w:t xml:space="preserve"> перевод</w:t>
        <w:t>ов</w:t>
        <w:t xml:space="preserve"> на английский). Однако Альфред </w:t>
        <w:t xml:space="preserve">Стрейм с 1984 руководил </w:t>
      </w:r>
      <w:r>
        <w:rPr>
          <w:rStyle w:val="Text0"/>
        </w:rPr>
        <w:t>Zentrale Stelle</w:t>
      </w:r>
      <w:r>
        <w:t>, так что какой бы перевод вам не был ближе, суть не меняется и в тексте по отношению к нему употребляется именно форма «главный прокурор».</w:t>
        <w:t xml:space="preserve"> </w:t>
      </w:r>
    </w:p>
    <w:p>
      <w:bookmarkStart w:id="764" w:name="__11"/>
      <w:pPr>
        <w:pStyle w:val="Normal"/>
      </w:pPr>
      <w:r>
        <w:t>[</w:t>
      </w:r>
      <w:hyperlink w:anchor="11">
        <w:r>
          <w:rPr>
            <w:rStyle w:val="Text1"/>
          </w:rPr>
          <w:t>←11</w:t>
        </w:r>
      </w:hyperlink>
      <w:r>
        <w:t xml:space="preserve"> ] </w:t>
      </w:r>
      <w:bookmarkEnd w:id="764"/>
    </w:p>
    <w:p>
      <w:pPr>
        <w:pStyle w:val="Para 01"/>
      </w:pPr>
      <w:r>
        <w:t xml:space="preserve">Helge Grabitz, </w:t>
        <w:t xml:space="preserve">Oberstaatsanwältin. </w:t>
        <w:t xml:space="preserve">Прим. переводчика </w:t>
        <w:t>—</w:t>
        <w:t xml:space="preserve"> </w:t>
        <w:t>тоже самое, что и в предыдущей сноске, но женского рода.</w:t>
        <w:t xml:space="preserve"> </w:t>
      </w:r>
    </w:p>
    <w:p>
      <w:bookmarkStart w:id="765" w:name="__12"/>
      <w:pPr>
        <w:pStyle w:val="Normal"/>
      </w:pPr>
      <w:r>
        <w:t>[</w:t>
      </w:r>
      <w:hyperlink w:anchor="12">
        <w:r>
          <w:rPr>
            <w:rStyle w:val="Text1"/>
          </w:rPr>
          <w:t>←12</w:t>
        </w:r>
      </w:hyperlink>
      <w:r>
        <w:t xml:space="preserve"> ] </w:t>
      </w:r>
      <w:bookmarkEnd w:id="765"/>
    </w:p>
    <w:p>
      <w:pPr>
        <w:pStyle w:val="Para 01"/>
      </w:pPr>
      <w:r>
        <w:t>Рауль Хил</w:t>
        <w:t>ь</w:t>
        <w:t>берг</w:t>
        <w:t>, «</w:t>
        <w:t>Бюрократия Истребления» [</w:t>
        <w:t>The Bureaucracy of Annihilation</w:t>
        <w:t>]</w:t>
        <w:t xml:space="preserve"> в</w:t>
      </w:r>
      <w:r>
        <w:rPr>
          <w:rStyle w:val="Text0"/>
        </w:rPr>
        <w:t xml:space="preserve"> Вопросы без ответа: Нацистская Германия и Геноцид Евреев</w:t>
      </w:r>
      <w:r>
        <w:t xml:space="preserve"> [</w:t>
      </w:r>
      <w:r>
        <w:rPr>
          <w:rStyle w:val="Text0"/>
        </w:rPr>
        <w:t>Unanswered Questions: Nazi Germany and the Genocide of the Jews</w:t>
        <w:t>]</w:t>
      </w:r>
      <w:r>
        <w:t xml:space="preserve">, </w:t>
        <w:t>ре</w:t>
        <w:t>д</w:t>
        <w:t xml:space="preserve">. </w:t>
        <w:t>Франсуа Фюре [</w:t>
        <w:t>François Furet</w:t>
        <w:t>]</w:t>
        <w:t xml:space="preserve"> (</w:t>
        <w:t>Нью-Йорк</w:t>
        <w:t>, 1989), 124-26.</w:t>
      </w:r>
    </w:p>
    <w:p>
      <w:bookmarkStart w:id="766" w:name="__13"/>
      <w:pPr>
        <w:pStyle w:val="Normal"/>
      </w:pPr>
      <w:r>
        <w:t>[</w:t>
      </w:r>
      <w:hyperlink w:anchor="13">
        <w:r>
          <w:rPr>
            <w:rStyle w:val="Text1"/>
          </w:rPr>
          <w:t>←13</w:t>
        </w:r>
      </w:hyperlink>
      <w:r>
        <w:t xml:space="preserve"> ] </w:t>
      </w:r>
      <w:bookmarkEnd w:id="766"/>
    </w:p>
    <w:p>
      <w:pPr>
        <w:pStyle w:val="Para 01"/>
      </w:pPr>
      <w:r>
        <w:t>Adolf B., HW 440</w:t>
      </w:r>
    </w:p>
    <w:p>
      <w:bookmarkStart w:id="767" w:name="__14"/>
      <w:pPr>
        <w:pStyle w:val="Normal"/>
      </w:pPr>
      <w:r>
        <w:t>[</w:t>
      </w:r>
      <w:hyperlink w:anchor="14">
        <w:r>
          <w:rPr>
            <w:rStyle w:val="Text1"/>
          </w:rPr>
          <w:t>←14</w:t>
        </w:r>
      </w:hyperlink>
      <w:r>
        <w:t xml:space="preserve"> ] </w:t>
      </w:r>
      <w:bookmarkEnd w:id="767"/>
    </w:p>
    <w:p>
      <w:pPr>
        <w:pStyle w:val="Para 01"/>
      </w:pPr>
      <w:r>
        <w:t>Erwin G., HW 2502-3; Johannes R., HW 1808; Karl F., HW 1868.</w:t>
      </w:r>
    </w:p>
    <w:p>
      <w:bookmarkStart w:id="768" w:name="__15"/>
      <w:pPr>
        <w:pStyle w:val="Normal"/>
      </w:pPr>
      <w:r>
        <w:t>[</w:t>
      </w:r>
      <w:hyperlink w:anchor="15">
        <w:r>
          <w:rPr>
            <w:rStyle w:val="Text1"/>
          </w:rPr>
          <w:t>←15</w:t>
        </w:r>
      </w:hyperlink>
      <w:r>
        <w:t xml:space="preserve"> ] </w:t>
      </w:r>
      <w:bookmarkEnd w:id="768"/>
    </w:p>
    <w:p>
      <w:pPr>
        <w:pStyle w:val="Para 01"/>
      </w:pPr>
      <w:r>
        <w:t>О поведении Траппа во время речи: George A., HW 421; Alfred L., HW 1351; Bruno P., HW 1915; Walter N., HW 3927; Hein</w:t>
        <w:t>z</w:t>
        <w:t xml:space="preserve"> B., HW 4415; August Z., G 275; О содержании речи: Georg A., HW 421; Adolf B., HW 439; Martin D., HW 1596; </w:t>
        <w:t>Walter N., HW 1685; Bruno D., HW 1874; Otto-Julius S., HW 1952; Bruno G., HW 2019; August W., HW 2039-40; Wilhelm Gb., HW 2146; Franz K., HW 2482; Anton B., HW 2655, 4346; Ernst Hn., G 505. Об экстраординарном предложении: Otto-Julius S., HW 1953; August W., HW 2041-42, 3298, 4589.</w:t>
        <w:t xml:space="preserve"> </w:t>
      </w:r>
    </w:p>
    <w:p>
      <w:bookmarkStart w:id="769" w:name="__16"/>
      <w:pPr>
        <w:pStyle w:val="Normal"/>
      </w:pPr>
      <w:r>
        <w:t>[</w:t>
      </w:r>
      <w:hyperlink w:anchor="16">
        <w:r>
          <w:rPr>
            <w:rStyle w:val="Text1"/>
          </w:rPr>
          <w:t>←16</w:t>
        </w:r>
      </w:hyperlink>
      <w:r>
        <w:t xml:space="preserve"> ] </w:t>
      </w:r>
      <w:bookmarkEnd w:id="769"/>
    </w:p>
    <w:p>
      <w:pPr>
        <w:pStyle w:val="Para 01"/>
      </w:pPr>
      <w:r>
        <w:t xml:space="preserve">Единственная институциональная история Полиции Порядка это </w:t>
      </w:r>
      <w:r>
        <w:rPr>
          <w:rStyle w:val="Text0"/>
        </w:rPr>
        <w:t>Zur Geschichte der Ordnungspolizei 1936-1945</w:t>
      </w:r>
      <w:r>
        <w:t xml:space="preserve"> (Koblenz, 1957): </w:t>
        <w:t>часть</w:t>
        <w:t xml:space="preserve"> 1, Hans-Joachim Neufeldt, «Entstehung und Organisation des Hauptamtes Ordnungspolizei», </w:t>
        <w:t>и</w:t>
        <w:t xml:space="preserve"> часть </w:t>
        <w:t xml:space="preserve">2, Georg Tessin, «Die Stäbe und Truppeneinheiten der Ordnungspolizei». Работа Heiner Lichtenstein, </w:t>
      </w:r>
      <w:r>
        <w:rPr>
          <w:rStyle w:val="Text0"/>
        </w:rPr>
        <w:t>Himmlers grüne Helfer: Die Schutzpolizei und Ordnungspolizei</w:t>
      </w:r>
      <w:r>
        <w:t xml:space="preserve"> </w:t>
        <w:t>в</w:t>
        <w:t xml:space="preserve"> </w:t>
      </w:r>
      <w:r>
        <w:rPr>
          <w:rStyle w:val="Text0"/>
        </w:rPr>
        <w:t>«</w:t>
      </w:r>
      <w:r>
        <w:t>Dritten Reich</w:t>
      </w:r>
      <w:r>
        <w:rPr>
          <w:rStyle w:val="Text0"/>
        </w:rPr>
        <w:t>»</w:t>
      </w:r>
      <w:r>
        <w:t xml:space="preserve"> (Köln, 1990) вышла слишком поздно для консультации с ней.</w:t>
      </w:r>
    </w:p>
    <w:p>
      <w:bookmarkStart w:id="770" w:name="__17"/>
      <w:pPr>
        <w:pStyle w:val="Normal"/>
      </w:pPr>
      <w:r>
        <w:t>[</w:t>
      </w:r>
      <w:hyperlink w:anchor="17">
        <w:r>
          <w:rPr>
            <w:rStyle w:val="Text1"/>
          </w:rPr>
          <w:t>←17</w:t>
        </w:r>
      </w:hyperlink>
      <w:r>
        <w:t xml:space="preserve"> ] </w:t>
      </w:r>
      <w:bookmarkEnd w:id="770"/>
    </w:p>
    <w:p>
      <w:pPr>
        <w:pStyle w:val="Para 01"/>
      </w:pPr>
      <w:r>
        <w:t>Tessin, 7-8.</w:t>
      </w:r>
    </w:p>
    <w:p>
      <w:bookmarkStart w:id="771" w:name="__18"/>
      <w:pPr>
        <w:pStyle w:val="Normal"/>
      </w:pPr>
      <w:r>
        <w:t>[</w:t>
      </w:r>
      <w:hyperlink w:anchor="18">
        <w:r>
          <w:rPr>
            <w:rStyle w:val="Text1"/>
          </w:rPr>
          <w:t>←18</w:t>
        </w:r>
      </w:hyperlink>
      <w:r>
        <w:t xml:space="preserve"> ] </w:t>
      </w:r>
      <w:bookmarkEnd w:id="771"/>
    </w:p>
    <w:p>
      <w:pPr>
        <w:pStyle w:val="Para 01"/>
      </w:pPr>
      <w:r>
        <w:t>Tessin, 13-15, 24, 27, 49.</w:t>
      </w:r>
    </w:p>
    <w:p>
      <w:bookmarkStart w:id="772" w:name="__19"/>
      <w:pPr>
        <w:pStyle w:val="Normal"/>
      </w:pPr>
      <w:r>
        <w:t>[</w:t>
      </w:r>
      <w:hyperlink w:anchor="19">
        <w:r>
          <w:rPr>
            <w:rStyle w:val="Text1"/>
          </w:rPr>
          <w:t>←19</w:t>
        </w:r>
      </w:hyperlink>
      <w:r>
        <w:t xml:space="preserve"> ] </w:t>
      </w:r>
      <w:bookmarkEnd w:id="772"/>
    </w:p>
    <w:p>
      <w:pPr>
        <w:pStyle w:val="Para 01"/>
      </w:pPr>
      <w:r>
        <w:t>Средний возраст рядовых — 39 лет. См. Главу 5.</w:t>
      </w:r>
    </w:p>
    <w:p>
      <w:bookmarkStart w:id="773" w:name="__20"/>
      <w:pPr>
        <w:pStyle w:val="Normal"/>
      </w:pPr>
      <w:r>
        <w:t>[</w:t>
      </w:r>
      <w:hyperlink w:anchor="20">
        <w:r>
          <w:rPr>
            <w:rStyle w:val="Text1"/>
          </w:rPr>
          <w:t>←20</w:t>
        </w:r>
      </w:hyperlink>
      <w:r>
        <w:t xml:space="preserve"> ] </w:t>
      </w:r>
      <w:bookmarkEnd w:id="773"/>
    </w:p>
    <w:p>
      <w:pPr>
        <w:pStyle w:val="Para 01"/>
      </w:pPr>
      <w:r>
        <w:t>Tessin, 32-34.</w:t>
      </w:r>
    </w:p>
    <w:p>
      <w:bookmarkStart w:id="774" w:name="__21"/>
      <w:pPr>
        <w:pStyle w:val="Normal"/>
      </w:pPr>
      <w:r>
        <w:t>[</w:t>
      </w:r>
      <w:hyperlink w:anchor="21">
        <w:r>
          <w:rPr>
            <w:rStyle w:val="Text1"/>
          </w:rPr>
          <w:t>←21</w:t>
        </w:r>
      </w:hyperlink>
      <w:r>
        <w:t xml:space="preserve"> ] </w:t>
      </w:r>
      <w:bookmarkEnd w:id="774"/>
    </w:p>
    <w:p>
      <w:pPr>
        <w:pStyle w:val="Para 01"/>
      </w:pPr>
      <w:r>
        <w:t>Tessin, 15, 34.</w:t>
      </w:r>
    </w:p>
    <w:p>
      <w:bookmarkStart w:id="775" w:name="__22"/>
      <w:pPr>
        <w:pStyle w:val="Normal"/>
      </w:pPr>
      <w:r>
        <w:t>[</w:t>
      </w:r>
      <w:hyperlink w:anchor="22">
        <w:r>
          <w:rPr>
            <w:rStyle w:val="Text1"/>
          </w:rPr>
          <w:t>←22</w:t>
        </w:r>
      </w:hyperlink>
      <w:r>
        <w:t xml:space="preserve"> ] </w:t>
      </w:r>
      <w:bookmarkEnd w:id="775"/>
    </w:p>
    <w:p>
      <w:pPr>
        <w:pStyle w:val="Para 01"/>
      </w:pPr>
      <w:r>
        <w:t xml:space="preserve">NO-2861 (Годовой рапорт Далюге за 1942 </w:t>
        <w:t>г.</w:t>
        <w:t xml:space="preserve">, представлен высокопоставленным офицерам Полиции Порядка в январе 1943 </w:t>
        <w:t>г.</w:t>
        <w:t xml:space="preserve">). Немного другие цифры даются в </w:t>
      </w:r>
      <w:r>
        <w:rPr>
          <w:rStyle w:val="Text0"/>
        </w:rPr>
        <w:t>Des Diensttagebuch des deutschen Generalgouverneurs in Polen 1939-1945</w:t>
      </w:r>
      <w:r>
        <w:t xml:space="preserve">, </w:t>
        <w:t>ред</w:t>
        <w:t xml:space="preserve">. Werner Präg </w:t>
        <w:t>и</w:t>
        <w:t xml:space="preserve"> Wolfgang Jacobmeyer (Штутгарт, 1975), 574. 21 ноября 1</w:t>
        <w:t>9</w:t>
        <w:t>42-</w:t>
        <w:t>го</w:t>
        <w:t xml:space="preserve"> командующий Полиции Порядка в Генерал-губернаторстве рапортовал о численности полицейских следующее: 12 000 немецких, 12 000 польских, от 1 500 до 1 800 украинских (предположительно в Галиции). Командующий Полицией Безопасности рапортовал о 2 000 немецких и </w:t>
        <w:t xml:space="preserve">900 или </w:t>
        <w:t>1 000 польских сотрудниках.</w:t>
      </w:r>
    </w:p>
    <w:p>
      <w:bookmarkStart w:id="776" w:name="__23"/>
      <w:pPr>
        <w:pStyle w:val="Normal"/>
      </w:pPr>
      <w:r>
        <w:t>[</w:t>
      </w:r>
      <w:hyperlink w:anchor="23">
        <w:r>
          <w:rPr>
            <w:rStyle w:val="Text1"/>
          </w:rPr>
          <w:t>←23</w:t>
        </w:r>
      </w:hyperlink>
      <w:r>
        <w:t xml:space="preserve"> ] </w:t>
      </w:r>
      <w:bookmarkEnd w:id="776"/>
    </w:p>
    <w:p>
      <w:pPr>
        <w:pStyle w:val="Para 01"/>
      </w:pPr>
      <w:r>
        <w:t xml:space="preserve">Befehlshaber der Ordnungspolizei, </w:t>
        <w:t>далее в переводе</w:t>
        <w:t xml:space="preserve"> Bd</w:t>
        <w:t>O</w:t>
        <w:t xml:space="preserve">. </w:t>
        <w:t xml:space="preserve">Прим. переводчика — официально переводится просто как «командир» как и KdO </w:t>
        <w:t>или «командующий»</w:t>
        <w:t xml:space="preserve">, однако последние </w:t>
        <w:t>в вертикали власти</w:t>
        <w:t xml:space="preserve"> </w:t>
        <w:t>находились в подчинении к</w:t>
        <w:t xml:space="preserve"> BdO, </w:t>
        <w:t xml:space="preserve">а «командующий» и «командир» на русском звучит слишком похоже, </w:t>
        <w:t xml:space="preserve">поэтому в тексте </w:t>
        <w:t xml:space="preserve">для избежания </w:t>
        <w:t xml:space="preserve">путаницы </w:t>
        <w:t xml:space="preserve">используется </w:t>
        <w:t>намеренно искажённая версия.</w:t>
        <w:t xml:space="preserve"> Также смотри раздел Сокращения и Адаптации.</w:t>
        <w:t xml:space="preserve"> </w:t>
      </w:r>
    </w:p>
    <w:p>
      <w:bookmarkStart w:id="777" w:name="__24"/>
      <w:pPr>
        <w:pStyle w:val="Normal"/>
      </w:pPr>
      <w:r>
        <w:t>[</w:t>
      </w:r>
      <w:hyperlink w:anchor="24">
        <w:r>
          <w:rPr>
            <w:rStyle w:val="Text1"/>
          </w:rPr>
          <w:t>←24</w:t>
        </w:r>
      </w:hyperlink>
      <w:r>
        <w:t xml:space="preserve"> ] </w:t>
      </w:r>
      <w:bookmarkEnd w:id="777"/>
    </w:p>
    <w:p>
      <w:pPr>
        <w:pStyle w:val="Para 01"/>
      </w:pPr>
      <w:r>
        <w:t xml:space="preserve">Прим. переводчика — должен признать за собой непоследовательную адаптацию польских названий. По примеру Комаровки/Комарувки, следовало бы и Краков назвать Кракув </w:t>
        <w:t>(потому что KrakÓw)</w:t>
        <w:t xml:space="preserve">, однако первый вариант </w:t>
        <w:t>—</w:t>
        <w:t xml:space="preserve"> вполне устоявшееся название этого города на русском. В тексте периодически встречаются подобные непостоянности.</w:t>
      </w:r>
    </w:p>
    <w:p>
      <w:bookmarkStart w:id="778" w:name="__25"/>
      <w:pPr>
        <w:pStyle w:val="Normal"/>
      </w:pPr>
      <w:r>
        <w:t>[</w:t>
      </w:r>
      <w:hyperlink w:anchor="25">
        <w:r>
          <w:rPr>
            <w:rStyle w:val="Text1"/>
          </w:rPr>
          <w:t>←25</w:t>
        </w:r>
      </w:hyperlink>
      <w:r>
        <w:t xml:space="preserve"> ] </w:t>
      </w:r>
      <w:bookmarkEnd w:id="778"/>
    </w:p>
    <w:p>
      <w:pPr>
        <w:pStyle w:val="Para 01"/>
      </w:pPr>
      <w:r>
        <w:t xml:space="preserve">За расшифровками и оригинальным названием всех таких сокращений смотри раздел </w:t>
      </w:r>
      <w:r>
        <w:rPr>
          <w:rStyle w:val="Text0"/>
        </w:rPr>
        <w:t>Сокращения и Адаптации</w:t>
      </w:r>
      <w:r>
        <w:t xml:space="preserve"> </w:t>
      </w:r>
    </w:p>
    <w:p>
      <w:bookmarkStart w:id="779" w:name="__26"/>
      <w:pPr>
        <w:pStyle w:val="Normal"/>
      </w:pPr>
      <w:r>
        <w:t>[</w:t>
      </w:r>
      <w:hyperlink w:anchor="26">
        <w:r>
          <w:rPr>
            <w:rStyle w:val="Text1"/>
          </w:rPr>
          <w:t>←26</w:t>
        </w:r>
      </w:hyperlink>
      <w:r>
        <w:t xml:space="preserve"> ] </w:t>
      </w:r>
      <w:bookmarkEnd w:id="779"/>
    </w:p>
    <w:p>
      <w:pPr>
        <w:pStyle w:val="Para 01"/>
      </w:pPr>
      <w:r>
        <w:t>Краусник и Вильгельм</w:t>
        <w:t>, 146; Tessin, 96.</w:t>
      </w:r>
    </w:p>
    <w:p>
      <w:bookmarkStart w:id="780" w:name="__27"/>
      <w:pPr>
        <w:pStyle w:val="Normal"/>
      </w:pPr>
      <w:r>
        <w:t>[</w:t>
      </w:r>
      <w:hyperlink w:anchor="27">
        <w:r>
          <w:rPr>
            <w:rStyle w:val="Text1"/>
          </w:rPr>
          <w:t>←27</w:t>
        </w:r>
      </w:hyperlink>
      <w:r>
        <w:t xml:space="preserve"> ] </w:t>
      </w:r>
      <w:bookmarkEnd w:id="780"/>
    </w:p>
    <w:p>
      <w:pPr>
        <w:pStyle w:val="Para 01"/>
      </w:pPr>
      <w:r>
        <w:t xml:space="preserve">IMT 38:86-94 (221-L: Конференция Гитлера от 16 июля 1941, совместно с Герингом, </w:t>
        <w:t>Ламмерсом, Розенбергом и Кейтелем).</w:t>
        <w:t xml:space="preserve"> </w:t>
      </w:r>
    </w:p>
    <w:p>
      <w:bookmarkStart w:id="781" w:name="__28"/>
      <w:pPr>
        <w:pStyle w:val="Normal"/>
      </w:pPr>
      <w:r>
        <w:t>[</w:t>
      </w:r>
      <w:hyperlink w:anchor="28">
        <w:r>
          <w:rPr>
            <w:rStyle w:val="Text1"/>
          </w:rPr>
          <w:t>←28</w:t>
        </w:r>
      </w:hyperlink>
      <w:r>
        <w:t xml:space="preserve"> ] </w:t>
      </w:r>
      <w:bookmarkEnd w:id="781"/>
    </w:p>
    <w:p>
      <w:pPr>
        <w:pStyle w:val="Para 01"/>
      </w:pPr>
      <w:r>
        <w:t xml:space="preserve">Yehoshua Büchler, «Kommandostab Reichsführer-SS: Himmler’s Personal Murder Brigades in 1941», </w:t>
      </w:r>
      <w:r>
        <w:rPr>
          <w:rStyle w:val="Text0"/>
        </w:rPr>
        <w:t>Holocaust and Genocide Studies</w:t>
      </w:r>
      <w:r>
        <w:t xml:space="preserve"> 1, no. 1, 1986):13-17.</w:t>
      </w:r>
    </w:p>
    <w:p>
      <w:bookmarkStart w:id="782" w:name="__29"/>
      <w:pPr>
        <w:pStyle w:val="Normal"/>
      </w:pPr>
      <w:r>
        <w:t>[</w:t>
      </w:r>
      <w:hyperlink w:anchor="29">
        <w:r>
          <w:rPr>
            <w:rStyle w:val="Text1"/>
          </w:rPr>
          <w:t>←29</w:t>
        </w:r>
      </w:hyperlink>
      <w:r>
        <w:t xml:space="preserve"> ] </w:t>
      </w:r>
      <w:bookmarkEnd w:id="782"/>
    </w:p>
    <w:p>
      <w:pPr>
        <w:pStyle w:val="Para 01"/>
      </w:pPr>
      <w:r>
        <w:t xml:space="preserve">К примеру, передача 23 июля </w:t>
        <w:t>а</w:t>
        <w:t xml:space="preserve">1941 года прямого руководства Полицейским Батальоном 322 Высшему Руководителю СС и Полиции фон дем Бах-Зелевски «для </w:t>
        <w:t>неотложных</w:t>
        <w:t xml:space="preserve"> задач батальона». YVA, 0-53/127/53 (Военный дневник </w:t>
        <w:t>Полицейского Батальона (ПБ)</w:t>
        <w:t xml:space="preserve"> 322, запись от 23 июля 1941; здесь и далее «военный дневник»).</w:t>
      </w:r>
    </w:p>
    <w:p>
      <w:bookmarkStart w:id="783" w:name="__30"/>
      <w:pPr>
        <w:pStyle w:val="Normal"/>
      </w:pPr>
      <w:r>
        <w:t>[</w:t>
      </w:r>
      <w:hyperlink w:anchor="30">
        <w:r>
          <w:rPr>
            <w:rStyle w:val="Text1"/>
          </w:rPr>
          <w:t>←30</w:t>
        </w:r>
      </w:hyperlink>
      <w:r>
        <w:t xml:space="preserve"> ] </w:t>
      </w:r>
      <w:bookmarkEnd w:id="783"/>
    </w:p>
    <w:p>
      <w:pPr>
        <w:pStyle w:val="Para 01"/>
      </w:pPr>
      <w:r>
        <w:t>NOKW-1076 (Kommissarbefehl, June 6, 1941).</w:t>
      </w:r>
    </w:p>
    <w:p>
      <w:bookmarkStart w:id="784" w:name="__31"/>
      <w:pPr>
        <w:pStyle w:val="Normal"/>
      </w:pPr>
      <w:r>
        <w:t>[</w:t>
      </w:r>
      <w:hyperlink w:anchor="31">
        <w:r>
          <w:rPr>
            <w:rStyle w:val="Text1"/>
          </w:rPr>
          <w:t>←31</w:t>
        </w:r>
      </w:hyperlink>
      <w:r>
        <w:t xml:space="preserve"> ] </w:t>
      </w:r>
      <w:bookmarkEnd w:id="784"/>
    </w:p>
    <w:p>
      <w:pPr>
        <w:pStyle w:val="Para 01"/>
      </w:pPr>
      <w:r>
        <w:rPr>
          <w:rStyle w:val="Text0"/>
        </w:rPr>
        <w:t>Gerichtsbarkeiterlass Barbarossa</w:t>
      </w:r>
      <w:r>
        <w:t xml:space="preserve">, подписан Кейтелем 13 мая 1941 </w:t>
        <w:t>г</w:t>
        <w:t>. Hans-Adolf Jacobsen, «Kommissarbefehl und Massenexekutionen sowjeti</w:t>
        <w:t xml:space="preserve">scher Kriegsgefangener», </w:t>
      </w:r>
      <w:r>
        <w:rPr>
          <w:rStyle w:val="Text0"/>
        </w:rPr>
        <w:t>Anatomie des SS-States</w:t>
      </w:r>
      <w:r>
        <w:t xml:space="preserve"> (Freiburg, 1965), 126-18 (doc. 8).</w:t>
        <w:t xml:space="preserve"> </w:t>
      </w:r>
    </w:p>
    <w:p>
      <w:bookmarkStart w:id="785" w:name="__32"/>
      <w:pPr>
        <w:pStyle w:val="Normal"/>
      </w:pPr>
      <w:r>
        <w:t>[</w:t>
      </w:r>
      <w:hyperlink w:anchor="32">
        <w:r>
          <w:rPr>
            <w:rStyle w:val="Text1"/>
          </w:rPr>
          <w:t>←32</w:t>
        </w:r>
      </w:hyperlink>
      <w:r>
        <w:t xml:space="preserve"> ] </w:t>
      </w:r>
      <w:bookmarkEnd w:id="785"/>
    </w:p>
    <w:p>
      <w:pPr>
        <w:pStyle w:val="Para 01"/>
      </w:pPr>
      <w:r>
        <w:t>YVA, TR-10/823 (Landgericht Wuppertal, judgement 12 Ks 1/67):29-30.</w:t>
      </w:r>
    </w:p>
    <w:p>
      <w:bookmarkStart w:id="786" w:name="__33"/>
      <w:pPr>
        <w:pStyle w:val="Normal"/>
      </w:pPr>
      <w:r>
        <w:t>[</w:t>
      </w:r>
      <w:hyperlink w:anchor="33">
        <w:r>
          <w:rPr>
            <w:rStyle w:val="Text1"/>
          </w:rPr>
          <w:t>←33</w:t>
        </w:r>
      </w:hyperlink>
      <w:r>
        <w:t xml:space="preserve"> ] </w:t>
      </w:r>
      <w:bookmarkEnd w:id="786"/>
    </w:p>
    <w:p>
      <w:pPr>
        <w:pStyle w:val="Para 01"/>
      </w:pPr>
      <w:r>
        <w:t>Бензином или газолином</w:t>
      </w:r>
    </w:p>
    <w:p>
      <w:bookmarkStart w:id="787" w:name="__34"/>
      <w:pPr>
        <w:pStyle w:val="Normal"/>
      </w:pPr>
      <w:r>
        <w:t>[</w:t>
      </w:r>
      <w:hyperlink w:anchor="34">
        <w:r>
          <w:rPr>
            <w:rStyle w:val="Text1"/>
          </w:rPr>
          <w:t>←34</w:t>
        </w:r>
      </w:hyperlink>
      <w:r>
        <w:t xml:space="preserve"> ] </w:t>
      </w:r>
      <w:bookmarkEnd w:id="787"/>
    </w:p>
    <w:p>
      <w:pPr>
        <w:pStyle w:val="Para 01"/>
      </w:pPr>
      <w:r>
        <w:t xml:space="preserve">Прим. Переводчика — wagonloads. Можно понять как вагоны, можно как фургоны или даже телеги, </w:t>
        <w:t>однако «вагоны» наиболее корректный вариант.</w:t>
        <w:t xml:space="preserve"> </w:t>
      </w:r>
    </w:p>
    <w:p>
      <w:bookmarkStart w:id="788" w:name="__35"/>
      <w:pPr>
        <w:pStyle w:val="Normal"/>
      </w:pPr>
      <w:r>
        <w:t>[</w:t>
      </w:r>
      <w:hyperlink w:anchor="35">
        <w:r>
          <w:rPr>
            <w:rStyle w:val="Text1"/>
          </w:rPr>
          <w:t>←35</w:t>
        </w:r>
      </w:hyperlink>
      <w:r>
        <w:t xml:space="preserve"> ] </w:t>
      </w:r>
      <w:bookmarkEnd w:id="788"/>
    </w:p>
    <w:p>
      <w:pPr>
        <w:pStyle w:val="Para 01"/>
      </w:pPr>
      <w:r>
        <w:t>YVA, TR-10/823 (Landgericht Wuppertal, judgement 12 Ks 1/67):40-45.</w:t>
      </w:r>
    </w:p>
    <w:p>
      <w:bookmarkStart w:id="789" w:name="__36"/>
      <w:pPr>
        <w:pStyle w:val="Normal"/>
      </w:pPr>
      <w:r>
        <w:t>[</w:t>
      </w:r>
      <w:hyperlink w:anchor="36">
        <w:r>
          <w:rPr>
            <w:rStyle w:val="Text1"/>
          </w:rPr>
          <w:t>←36</w:t>
        </w:r>
      </w:hyperlink>
      <w:r>
        <w:t xml:space="preserve"> ] </w:t>
      </w:r>
      <w:bookmarkEnd w:id="789"/>
    </w:p>
    <w:p>
      <w:pPr>
        <w:pStyle w:val="Para 01"/>
      </w:pPr>
      <w:r>
        <w:t xml:space="preserve">Военный дневник, 15, запись от 10 июня 1941 </w:t>
        <w:t>г</w:t>
        <w:t>.</w:t>
      </w:r>
    </w:p>
    <w:p>
      <w:bookmarkStart w:id="790" w:name="__37"/>
      <w:pPr>
        <w:pStyle w:val="Normal"/>
      </w:pPr>
      <w:r>
        <w:t>[</w:t>
      </w:r>
      <w:hyperlink w:anchor="37">
        <w:r>
          <w:rPr>
            <w:rStyle w:val="Text1"/>
          </w:rPr>
          <w:t>←37</w:t>
        </w:r>
      </w:hyperlink>
      <w:r>
        <w:t xml:space="preserve"> ] </w:t>
      </w:r>
      <w:bookmarkEnd w:id="790"/>
    </w:p>
    <w:p>
      <w:pPr>
        <w:pStyle w:val="Para 01"/>
      </w:pPr>
      <w:r>
        <w:t xml:space="preserve">Военный дневник, 28, запись от 2 июля 1941 </w:t>
        <w:t>г</w:t>
        <w:t>.</w:t>
      </w:r>
    </w:p>
    <w:p>
      <w:bookmarkStart w:id="791" w:name="__38"/>
      <w:pPr>
        <w:pStyle w:val="Normal"/>
      </w:pPr>
      <w:r>
        <w:t>[</w:t>
      </w:r>
      <w:hyperlink w:anchor="38">
        <w:r>
          <w:rPr>
            <w:rStyle w:val="Text1"/>
          </w:rPr>
          <w:t>←38</w:t>
        </w:r>
      </w:hyperlink>
      <w:r>
        <w:t xml:space="preserve"> ] </w:t>
      </w:r>
      <w:bookmarkEnd w:id="791"/>
    </w:p>
    <w:p>
      <w:pPr>
        <w:pStyle w:val="Para 01"/>
      </w:pPr>
      <w:r>
        <w:t xml:space="preserve">Военный дневник, 35-41, записи от 5, 7 и 8 июля 1941 </w:t>
        <w:t>г</w:t>
        <w:t>.</w:t>
      </w:r>
    </w:p>
    <w:p>
      <w:bookmarkStart w:id="792" w:name="__39"/>
      <w:pPr>
        <w:pStyle w:val="Normal"/>
      </w:pPr>
      <w:r>
        <w:t>[</w:t>
      </w:r>
      <w:hyperlink w:anchor="39">
        <w:r>
          <w:rPr>
            <w:rStyle w:val="Text1"/>
          </w:rPr>
          <w:t>←39</w:t>
        </w:r>
      </w:hyperlink>
      <w:r>
        <w:t xml:space="preserve"> ] </w:t>
      </w:r>
      <w:bookmarkEnd w:id="792"/>
    </w:p>
    <w:p>
      <w:pPr>
        <w:pStyle w:val="Para 01"/>
      </w:pPr>
      <w:r>
        <w:t xml:space="preserve">Военный дневник, 40-42, записи от 8 и 9 июля 1941 </w:t>
        <w:t>г</w:t>
        <w:t>.</w:t>
      </w:r>
    </w:p>
    <w:p>
      <w:bookmarkStart w:id="793" w:name="__40"/>
      <w:pPr>
        <w:pStyle w:val="Normal"/>
      </w:pPr>
      <w:r>
        <w:t>[</w:t>
      </w:r>
      <w:hyperlink w:anchor="40">
        <w:r>
          <w:rPr>
            <w:rStyle w:val="Text1"/>
          </w:rPr>
          <w:t>←40</w:t>
        </w:r>
      </w:hyperlink>
      <w:r>
        <w:t xml:space="preserve"> ] </w:t>
      </w:r>
      <w:bookmarkEnd w:id="793"/>
    </w:p>
    <w:p>
      <w:pPr>
        <w:pStyle w:val="Para 01"/>
      </w:pPr>
      <w:r>
        <w:t xml:space="preserve">YVA, 0-53/128/219 (секретный приказ полковника Монтуа </w:t>
        <w:t xml:space="preserve">[Montua] </w:t>
        <w:t xml:space="preserve">от 11 июля 1941 </w:t>
        <w:t>г.</w:t>
        <w:t>).</w:t>
      </w:r>
    </w:p>
    <w:p>
      <w:bookmarkStart w:id="794" w:name="__41"/>
      <w:pPr>
        <w:pStyle w:val="Normal"/>
      </w:pPr>
      <w:r>
        <w:t>[</w:t>
      </w:r>
      <w:hyperlink w:anchor="41">
        <w:r>
          <w:rPr>
            <w:rStyle w:val="Text1"/>
          </w:rPr>
          <w:t>←41</w:t>
        </w:r>
      </w:hyperlink>
      <w:r>
        <w:t xml:space="preserve"> ] </w:t>
      </w:r>
      <w:bookmarkEnd w:id="794"/>
    </w:p>
    <w:p>
      <w:pPr>
        <w:pStyle w:val="Para 01"/>
      </w:pPr>
      <w:r>
        <w:t xml:space="preserve">О Полицейском Батальоне 322 смотри </w:t>
      </w:r>
      <w:r>
        <w:rPr>
          <w:rStyle w:val="Text0"/>
        </w:rPr>
        <w:t>JNSV</w:t>
      </w:r>
      <w:r>
        <w:t xml:space="preserve"> 19, no. 555 (Landgericht Freiburg, judgement 1 AK 1/63):437-8. О Полицейском Батальоне 316 смотри YVA, TR-10/721 (Landgericht Bochum, judgement 15 Ks 1/66):142-77.</w:t>
      </w:r>
    </w:p>
    <w:p>
      <w:bookmarkStart w:id="795" w:name="__42"/>
      <w:pPr>
        <w:pStyle w:val="Normal"/>
      </w:pPr>
      <w:r>
        <w:t>[</w:t>
      </w:r>
      <w:hyperlink w:anchor="42">
        <w:r>
          <w:rPr>
            <w:rStyle w:val="Text1"/>
          </w:rPr>
          <w:t>←42</w:t>
        </w:r>
      </w:hyperlink>
      <w:r>
        <w:t xml:space="preserve"> ] </w:t>
      </w:r>
      <w:bookmarkEnd w:id="795"/>
    </w:p>
    <w:p>
      <w:pPr>
        <w:pStyle w:val="Para 01"/>
      </w:pPr>
      <w:r>
        <w:t xml:space="preserve">Военный дневник, 53, запись от 23 июля 1941 </w:t>
        <w:t>г</w:t>
        <w:t>.</w:t>
      </w:r>
    </w:p>
    <w:p>
      <w:bookmarkStart w:id="796" w:name="__43"/>
      <w:pPr>
        <w:pStyle w:val="Normal"/>
      </w:pPr>
      <w:r>
        <w:t>[</w:t>
      </w:r>
      <w:hyperlink w:anchor="43">
        <w:r>
          <w:rPr>
            <w:rStyle w:val="Text1"/>
          </w:rPr>
          <w:t>←43</w:t>
        </w:r>
      </w:hyperlink>
      <w:r>
        <w:t xml:space="preserve"> ] </w:t>
      </w:r>
      <w:bookmarkEnd w:id="796"/>
    </w:p>
    <w:p>
      <w:pPr>
        <w:pStyle w:val="Para 01"/>
      </w:pPr>
      <w:r>
        <w:t xml:space="preserve">Военный дневник, 64, запись от 2 августа 1941 </w:t>
        <w:t>г</w:t>
        <w:t>.</w:t>
      </w:r>
    </w:p>
    <w:p>
      <w:bookmarkStart w:id="797" w:name="__44"/>
      <w:pPr>
        <w:pStyle w:val="Normal"/>
      </w:pPr>
      <w:r>
        <w:t>[</w:t>
      </w:r>
      <w:hyperlink w:anchor="44">
        <w:r>
          <w:rPr>
            <w:rStyle w:val="Text1"/>
          </w:rPr>
          <w:t>←44</w:t>
        </w:r>
      </w:hyperlink>
      <w:r>
        <w:t xml:space="preserve"> ] </w:t>
      </w:r>
      <w:bookmarkEnd w:id="797"/>
    </w:p>
    <w:p>
      <w:pPr>
        <w:pStyle w:val="Para 01"/>
      </w:pPr>
      <w:r>
        <w:t xml:space="preserve">YVA, 0-53/128/80 (Рибель, третья рота, батальону 322 от 10 августа 1941 </w:t>
        <w:t>г.</w:t>
        <w:t>).</w:t>
      </w:r>
    </w:p>
    <w:p>
      <w:bookmarkStart w:id="798" w:name="__45"/>
      <w:pPr>
        <w:pStyle w:val="Normal"/>
      </w:pPr>
      <w:r>
        <w:t>[</w:t>
      </w:r>
      <w:hyperlink w:anchor="45">
        <w:r>
          <w:rPr>
            <w:rStyle w:val="Text1"/>
          </w:rPr>
          <w:t>←45</w:t>
        </w:r>
      </w:hyperlink>
      <w:r>
        <w:t xml:space="preserve"> ] </w:t>
      </w:r>
      <w:bookmarkEnd w:id="798"/>
    </w:p>
    <w:p>
      <w:pPr>
        <w:pStyle w:val="Para 01"/>
      </w:pPr>
      <w:r>
        <w:t>YVA, 0-53/128/8</w:t>
        <w:t>1</w:t>
        <w:t xml:space="preserve"> (Рибель, третья рота, батальону 322 от 15 августа 1941 </w:t>
        <w:t>г.</w:t>
        <w:t>).</w:t>
      </w:r>
    </w:p>
    <w:p>
      <w:bookmarkStart w:id="799" w:name="__46"/>
      <w:pPr>
        <w:pStyle w:val="Normal"/>
      </w:pPr>
      <w:r>
        <w:t>[</w:t>
      </w:r>
      <w:hyperlink w:anchor="46">
        <w:r>
          <w:rPr>
            <w:rStyle w:val="Text1"/>
          </w:rPr>
          <w:t>←46</w:t>
        </w:r>
      </w:hyperlink>
      <w:r>
        <w:t xml:space="preserve"> ] </w:t>
      </w:r>
      <w:bookmarkEnd w:id="799"/>
    </w:p>
    <w:p>
      <w:pPr>
        <w:pStyle w:val="Para 01"/>
      </w:pPr>
      <w:r>
        <w:t xml:space="preserve">Военный дневник, 79, запись от 29 августа 1941 </w:t>
        <w:t>г</w:t>
        <w:t>.</w:t>
      </w:r>
    </w:p>
    <w:p>
      <w:bookmarkStart w:id="800" w:name="__47"/>
      <w:pPr>
        <w:pStyle w:val="Normal"/>
      </w:pPr>
      <w:r>
        <w:t>[</w:t>
      </w:r>
      <w:hyperlink w:anchor="47">
        <w:r>
          <w:rPr>
            <w:rStyle w:val="Text1"/>
          </w:rPr>
          <w:t>←47</w:t>
        </w:r>
      </w:hyperlink>
      <w:r>
        <w:t xml:space="preserve"> ] </w:t>
      </w:r>
      <w:bookmarkEnd w:id="800"/>
    </w:p>
    <w:p>
      <w:pPr>
        <w:pStyle w:val="Para 01"/>
      </w:pPr>
      <w:r>
        <w:t xml:space="preserve">Военный дневник, 82, запись от 30 августа 1941 </w:t>
        <w:t>г</w:t>
        <w:t>.</w:t>
      </w:r>
    </w:p>
    <w:p>
      <w:bookmarkStart w:id="801" w:name="__48"/>
      <w:pPr>
        <w:pStyle w:val="Normal"/>
      </w:pPr>
      <w:r>
        <w:t>[</w:t>
      </w:r>
      <w:hyperlink w:anchor="48">
        <w:r>
          <w:rPr>
            <w:rStyle w:val="Text1"/>
          </w:rPr>
          <w:t>←48</w:t>
        </w:r>
      </w:hyperlink>
      <w:r>
        <w:t xml:space="preserve"> ] </w:t>
      </w:r>
      <w:bookmarkEnd w:id="801"/>
    </w:p>
    <w:p>
      <w:pPr>
        <w:pStyle w:val="Para 01"/>
      </w:pPr>
      <w:r>
        <w:t>Жёлтая Звезда Давида</w:t>
      </w:r>
    </w:p>
    <w:p>
      <w:bookmarkStart w:id="802" w:name="__49"/>
      <w:pPr>
        <w:pStyle w:val="Normal"/>
      </w:pPr>
      <w:r>
        <w:t>[</w:t>
      </w:r>
      <w:hyperlink w:anchor="49">
        <w:r>
          <w:rPr>
            <w:rStyle w:val="Text1"/>
          </w:rPr>
          <w:t>←49</w:t>
        </w:r>
      </w:hyperlink>
      <w:r>
        <w:t xml:space="preserve"> ] </w:t>
      </w:r>
      <w:bookmarkEnd w:id="802"/>
    </w:p>
    <w:p>
      <w:pPr>
        <w:pStyle w:val="Para 01"/>
      </w:pPr>
      <w:r>
        <w:t xml:space="preserve">Военный дневник, 83-85, записи от 31 августа и 1 сентября 1941 </w:t>
        <w:t>г</w:t>
        <w:t>.</w:t>
      </w:r>
    </w:p>
    <w:p>
      <w:bookmarkStart w:id="803" w:name="__50"/>
      <w:pPr>
        <w:pStyle w:val="Normal"/>
      </w:pPr>
      <w:r>
        <w:t>[</w:t>
      </w:r>
      <w:hyperlink w:anchor="50">
        <w:r>
          <w:rPr>
            <w:rStyle w:val="Text1"/>
          </w:rPr>
          <w:t>←50</w:t>
        </w:r>
      </w:hyperlink>
      <w:r>
        <w:t xml:space="preserve"> ] </w:t>
      </w:r>
      <w:bookmarkEnd w:id="803"/>
    </w:p>
    <w:p>
      <w:pPr>
        <w:pStyle w:val="Para 01"/>
      </w:pPr>
      <w:r>
        <w:t xml:space="preserve">YVA, 0-53/128/87 (Рибель, девятая рота, третьему подразделению «Mitte» Полицейского Батальона от 1 сентября 1941 </w:t>
        <w:t>г</w:t>
        <w:t>).</w:t>
      </w:r>
    </w:p>
    <w:p>
      <w:bookmarkStart w:id="804" w:name="__51"/>
      <w:pPr>
        <w:pStyle w:val="Normal"/>
      </w:pPr>
      <w:r>
        <w:t>[</w:t>
      </w:r>
      <w:hyperlink w:anchor="51">
        <w:r>
          <w:rPr>
            <w:rStyle w:val="Text1"/>
          </w:rPr>
          <w:t>←51</w:t>
        </w:r>
      </w:hyperlink>
      <w:r>
        <w:t xml:space="preserve"> ] </w:t>
      </w:r>
      <w:bookmarkEnd w:id="804"/>
    </w:p>
    <w:p>
      <w:pPr>
        <w:pStyle w:val="Para 01"/>
      </w:pPr>
      <w:r>
        <w:t>Прим. переводчика — нацистский «сл</w:t>
        <w:t>е</w:t>
        <w:t xml:space="preserve">нг» включал в себя активное использование слова «Aktion» - акция, действие, операция или даже сражение или бой. К примеру, </w:t>
      </w:r>
      <w:r>
        <w:rPr>
          <w:rStyle w:val="Text0"/>
        </w:rPr>
        <w:t>Polenaktion —</w:t>
      </w:r>
      <w:r>
        <w:t xml:space="preserve"> </w:t>
        <w:t xml:space="preserve">польская акция, </w:t>
      </w:r>
      <w:r>
        <w:rPr>
          <w:rStyle w:val="Text0"/>
        </w:rPr>
        <w:t>Judenaktion</w:t>
      </w:r>
      <w:r>
        <w:t xml:space="preserve"> — еврейская акция,</w:t>
      </w:r>
      <w:r>
        <w:rPr>
          <w:rStyle w:val="Text0"/>
        </w:rPr>
        <w:t xml:space="preserve"> </w:t>
        <w:t>Aktion 3</w:t>
      </w:r>
      <w:r>
        <w:t xml:space="preserve"> — </w:t>
        <w:t xml:space="preserve">конфискация имущества депортированных евреев </w:t>
        <w:t xml:space="preserve">и так далее. В </w:t>
        <w:t xml:space="preserve">переводе </w:t>
        <w:t>книг</w:t>
        <w:t>и</w:t>
        <w:t xml:space="preserve">, и без того весьма репетативной, используются различные вышеуказанные формы перевода. </w:t>
        <w:t xml:space="preserve"> </w:t>
      </w:r>
    </w:p>
    <w:p>
      <w:bookmarkStart w:id="805" w:name="__52"/>
      <w:pPr>
        <w:pStyle w:val="Normal"/>
      </w:pPr>
      <w:r>
        <w:t>[</w:t>
      </w:r>
      <w:hyperlink w:anchor="52">
        <w:r>
          <w:rPr>
            <w:rStyle w:val="Text1"/>
          </w:rPr>
          <w:t>←52</w:t>
        </w:r>
      </w:hyperlink>
      <w:r>
        <w:t xml:space="preserve"> ] </w:t>
      </w:r>
      <w:bookmarkEnd w:id="805"/>
    </w:p>
    <w:p>
      <w:pPr>
        <w:pStyle w:val="Para 01"/>
      </w:pPr>
      <w:r>
        <w:t xml:space="preserve">Военный дневник, 116 и 118, записи от 2 и 3 октября 1941 </w:t>
        <w:t>г</w:t>
        <w:t xml:space="preserve">. На самом деле рапорт Рибеля приводит </w:t>
        <w:t>цифру</w:t>
        <w:t xml:space="preserve"> жертв его девятой роты в 555 человек. YVA, 0-53/86/150 (Рибель, «Рапорт о еврейской акции 2-3 октября 1941 </w:t>
        <w:t>г.</w:t>
        <w:t>» третьему подразделению «Mitte» Полицейского Батальона).</w:t>
      </w:r>
    </w:p>
    <w:p>
      <w:bookmarkStart w:id="806" w:name="__53"/>
      <w:pPr>
        <w:pStyle w:val="Normal"/>
      </w:pPr>
      <w:r>
        <w:t>[</w:t>
      </w:r>
      <w:hyperlink w:anchor="53">
        <w:r>
          <w:rPr>
            <w:rStyle w:val="Text1"/>
          </w:rPr>
          <w:t>←53</w:t>
        </w:r>
      </w:hyperlink>
      <w:r>
        <w:t xml:space="preserve"> ] </w:t>
      </w:r>
      <w:bookmarkEnd w:id="806"/>
    </w:p>
    <w:p>
      <w:pPr>
        <w:pStyle w:val="Para 01"/>
      </w:pPr>
      <w:r>
        <w:t>YVA, 0-53/128/242-75, 0-53/86/14-62 (неполная коллекция ежедневных докладов Высшего Руководителя СС и Полиции на юге Фридриха Еккельна Рейхсфюреру СС Гиммлеру от 19 августа до 5 октября 1941).</w:t>
      </w:r>
    </w:p>
    <w:p>
      <w:bookmarkStart w:id="807" w:name="__54"/>
      <w:pPr>
        <w:pStyle w:val="Normal"/>
      </w:pPr>
      <w:r>
        <w:t>[</w:t>
      </w:r>
      <w:hyperlink w:anchor="54">
        <w:r>
          <w:rPr>
            <w:rStyle w:val="Text1"/>
          </w:rPr>
          <w:t>←54</w:t>
        </w:r>
      </w:hyperlink>
      <w:r>
        <w:t xml:space="preserve"> ] </w:t>
      </w:r>
      <w:bookmarkEnd w:id="807"/>
    </w:p>
    <w:p>
      <w:pPr>
        <w:pStyle w:val="Para 01"/>
      </w:pPr>
      <w:r>
        <w:t xml:space="preserve">ZStL, II 204 AR-Z 1251-65 (Landgericht Regensburg, judgement Ks 6/70):9-35; </w:t>
        <w:t>и</w:t>
        <w:t xml:space="preserve"> 204 AR-Z 1251/65, 2:370-77 (доклад </w:t>
        <w:t xml:space="preserve">Государственного Уголовного Управления Баварии, Мюнхен, 10 сентября 1968 </w:t>
        <w:t>г.</w:t>
        <w:t>).</w:t>
        <w:t xml:space="preserve"> </w:t>
      </w:r>
    </w:p>
    <w:p>
      <w:bookmarkStart w:id="808" w:name="__55"/>
      <w:pPr>
        <w:pStyle w:val="Normal"/>
      </w:pPr>
      <w:r>
        <w:t>[</w:t>
      </w:r>
      <w:hyperlink w:anchor="55">
        <w:r>
          <w:rPr>
            <w:rStyle w:val="Text1"/>
          </w:rPr>
          <w:t>←55</w:t>
        </w:r>
      </w:hyperlink>
      <w:r>
        <w:t xml:space="preserve"> ] </w:t>
      </w:r>
      <w:bookmarkEnd w:id="808"/>
    </w:p>
    <w:p>
      <w:pPr>
        <w:pStyle w:val="Para 01"/>
      </w:pPr>
      <w:r>
        <w:t xml:space="preserve">ZStL, 204 AR-Z 1251/65, 1:53-54, 58-60, 94-96 (допросы Johann L., Franz P. и Karl G.); 3:591-95 (записи из дневника Балека </w:t>
        <w:t>[Balek]</w:t>
        <w:t>).</w:t>
      </w:r>
    </w:p>
    <w:p>
      <w:bookmarkStart w:id="809" w:name="__56"/>
      <w:pPr>
        <w:pStyle w:val="Normal"/>
      </w:pPr>
      <w:r>
        <w:t>[</w:t>
      </w:r>
      <w:hyperlink w:anchor="56">
        <w:r>
          <w:rPr>
            <w:rStyle w:val="Text1"/>
          </w:rPr>
          <w:t>←56</w:t>
        </w:r>
      </w:hyperlink>
      <w:r>
        <w:t xml:space="preserve"> ] </w:t>
      </w:r>
      <w:bookmarkEnd w:id="809"/>
    </w:p>
    <w:p>
      <w:pPr>
        <w:pStyle w:val="Para 01"/>
      </w:pPr>
      <w:r>
        <w:t xml:space="preserve">За крайне спорным судебным решением, содержащим полезную информацию о деятельности Полицейского Батальона 11, смотри </w:t>
      </w:r>
      <w:r>
        <w:rPr>
          <w:rStyle w:val="Text0"/>
        </w:rPr>
        <w:t>JNSV</w:t>
      </w:r>
      <w:r>
        <w:t xml:space="preserve"> 18, no. 546</w:t>
        <w:t>a</w:t>
        <w:t xml:space="preserve"> (Landgericht Kassel, judgement 3</w:t>
        <w:t>a</w:t>
        <w:t xml:space="preserve"> Ks 1/61):786-835.</w:t>
      </w:r>
    </w:p>
    <w:p>
      <w:bookmarkStart w:id="810" w:name="__57"/>
      <w:pPr>
        <w:pStyle w:val="Normal"/>
      </w:pPr>
      <w:r>
        <w:t>[</w:t>
      </w:r>
      <w:hyperlink w:anchor="57">
        <w:r>
          <w:rPr>
            <w:rStyle w:val="Text1"/>
          </w:rPr>
          <w:t>←57</w:t>
        </w:r>
      </w:hyperlink>
      <w:r>
        <w:t xml:space="preserve"> ] </w:t>
      </w:r>
      <w:bookmarkEnd w:id="810"/>
    </w:p>
    <w:p>
      <w:pPr>
        <w:pStyle w:val="Para 01"/>
      </w:pPr>
      <w:r>
        <w:t xml:space="preserve">IMT 27:4-8 (1104-PS: Гебиткомиссар Карл в Слуцке Генеральному Комиссару Кубе в Минске от 30 октября 1941 </w:t>
        <w:t>г.</w:t>
        <w:t>).</w:t>
      </w:r>
    </w:p>
    <w:p>
      <w:bookmarkStart w:id="811" w:name="__58"/>
      <w:pPr>
        <w:pStyle w:val="Normal"/>
      </w:pPr>
      <w:r>
        <w:t>[</w:t>
      </w:r>
      <w:hyperlink w:anchor="58">
        <w:r>
          <w:rPr>
            <w:rStyle w:val="Text1"/>
          </w:rPr>
          <w:t>←58</w:t>
        </w:r>
      </w:hyperlink>
      <w:r>
        <w:t xml:space="preserve"> ] </w:t>
      </w:r>
      <w:bookmarkEnd w:id="811"/>
    </w:p>
    <w:p>
      <w:pPr>
        <w:pStyle w:val="Para 01"/>
      </w:pPr>
      <w:r>
        <w:rPr>
          <w:rStyle w:val="Text0"/>
        </w:rPr>
        <w:t>JNSV</w:t>
      </w:r>
      <w:r>
        <w:t xml:space="preserve"> 18, no. 546</w:t>
        <w:t xml:space="preserve">a </w:t>
        <w:t>(Landgericht Kassel, judgement 3a Ks 1/61):786-87, 835.</w:t>
      </w:r>
    </w:p>
    <w:p>
      <w:bookmarkStart w:id="812" w:name="__59"/>
      <w:pPr>
        <w:pStyle w:val="Normal"/>
      </w:pPr>
      <w:r>
        <w:t>[</w:t>
      </w:r>
      <w:hyperlink w:anchor="59">
        <w:r>
          <w:rPr>
            <w:rStyle w:val="Text1"/>
          </w:rPr>
          <w:t>←59</w:t>
        </w:r>
      </w:hyperlink>
      <w:r>
        <w:t xml:space="preserve"> ] </w:t>
      </w:r>
      <w:bookmarkEnd w:id="812"/>
    </w:p>
    <w:p>
      <w:pPr>
        <w:pStyle w:val="Para 01"/>
      </w:pPr>
      <w:r>
        <w:t xml:space="preserve">Единственный документ что мне удалось найти об участии Полиции Порядка в казни </w:t>
        <w:t>советс</w:t>
        <w:t>ких евреев в 1942-</w:t>
        <w:t>м</w:t>
        <w:t xml:space="preserve"> — это доклад роты Полиции Порядка о роли двух батальонов в финальной ликвидации 15 000 евреев гетто Пинска между 29 октября и 1 ноября (YVA, 0-53/129/257-58, USSR 199A). Немецкое судебное расследование этого документа раскрыло паттерн казней. В Пинске участвовали: Полицейский Батальон 306, одна рота Полицейского Батальона 310 и одна 320, эскадрон конной полиции. </w:t>
        <w:t xml:space="preserve">В течении сентября, отряды Полицейских Батальонов 69 и 306, а так же эскадрон конной полиции участвовали в ликвидации гетто Лахва [Łachwa] (300-500), Лунинец [Luninets] (1000-1500), Столин [Stolin] (5000), Янув [Janów] (2000) и </w:t>
        <w:t>P</w:t>
        <w:t>rohotschin</w:t>
        <w:t>(?)</w:t>
        <w:t xml:space="preserve"> (1500). Смотри Staatsanwaltschaft Frankfurt, 4 Js 90/62, indictment of Kuhr, Petsch, et al., 66-107.</w:t>
        <w:t xml:space="preserve"> </w:t>
      </w:r>
    </w:p>
    <w:p>
      <w:bookmarkStart w:id="813" w:name="__60"/>
      <w:pPr>
        <w:pStyle w:val="Normal"/>
      </w:pPr>
      <w:r>
        <w:t>[</w:t>
      </w:r>
      <w:hyperlink w:anchor="60">
        <w:r>
          <w:rPr>
            <w:rStyle w:val="Text1"/>
          </w:rPr>
          <w:t>←60</w:t>
        </w:r>
      </w:hyperlink>
      <w:r>
        <w:t xml:space="preserve"> ] </w:t>
      </w:r>
      <w:bookmarkEnd w:id="813"/>
    </w:p>
    <w:p>
      <w:pPr>
        <w:pStyle w:val="Para 01"/>
      </w:pPr>
      <w:r>
        <w:t>NO-2861 (Рапорт Далюге о деятельности Полиции Порядка в 1942-</w:t>
        <w:t>м</w:t>
        <w:t>).</w:t>
      </w:r>
    </w:p>
    <w:p>
      <w:bookmarkStart w:id="814" w:name="__61"/>
      <w:pPr>
        <w:pStyle w:val="Normal"/>
      </w:pPr>
      <w:r>
        <w:t>[</w:t>
      </w:r>
      <w:hyperlink w:anchor="61">
        <w:r>
          <w:rPr>
            <w:rStyle w:val="Text1"/>
          </w:rPr>
          <w:t>←61</w:t>
        </w:r>
      </w:hyperlink>
      <w:r>
        <w:t xml:space="preserve"> ] </w:t>
      </w:r>
      <w:bookmarkEnd w:id="814"/>
    </w:p>
    <w:p>
      <w:pPr>
        <w:pStyle w:val="Para 01"/>
      </w:pPr>
      <w:r>
        <w:t xml:space="preserve">NO-600 (Гравиц Гиммлеру 4 марта 1942 </w:t>
        <w:t>г.</w:t>
        <w:t>).</w:t>
      </w:r>
    </w:p>
    <w:p>
      <w:bookmarkStart w:id="815" w:name="__62"/>
      <w:pPr>
        <w:pStyle w:val="Normal"/>
      </w:pPr>
      <w:r>
        <w:t>[</w:t>
      </w:r>
      <w:hyperlink w:anchor="62">
        <w:r>
          <w:rPr>
            <w:rStyle w:val="Text1"/>
          </w:rPr>
          <w:t>←62</w:t>
        </w:r>
      </w:hyperlink>
      <w:r>
        <w:t xml:space="preserve"> ] </w:t>
      </w:r>
      <w:bookmarkEnd w:id="815"/>
    </w:p>
    <w:p>
      <w:pPr>
        <w:pStyle w:val="Para 01"/>
      </w:pPr>
      <w:r>
        <w:t xml:space="preserve">За самым современным(прим. переводчика — на момент выхода книги) анализом депортаций из Германии, смотри </w:t>
        <w:t>Генри Фридлендер [</w:t>
        <w:t>Henry Friedlander</w:t>
        <w:t>]</w:t>
        <w:t xml:space="preserve">, «The Deportations of the German Jews: Post-War Trials of Nazi Criminals», </w:t>
      </w:r>
      <w:r>
        <w:rPr>
          <w:rStyle w:val="Text0"/>
        </w:rPr>
        <w:t>Leo Baeck Institute Yearbook</w:t>
      </w:r>
      <w:r>
        <w:t xml:space="preserve"> (1984):201-26.</w:t>
      </w:r>
    </w:p>
    <w:p>
      <w:bookmarkStart w:id="816" w:name="__63"/>
      <w:pPr>
        <w:pStyle w:val="Normal"/>
      </w:pPr>
      <w:r>
        <w:t>[</w:t>
      </w:r>
      <w:hyperlink w:anchor="63">
        <w:r>
          <w:rPr>
            <w:rStyle w:val="Text1"/>
          </w:rPr>
          <w:t>←63</w:t>
        </w:r>
      </w:hyperlink>
      <w:r>
        <w:t xml:space="preserve"> ] </w:t>
      </w:r>
      <w:bookmarkEnd w:id="816"/>
    </w:p>
    <w:p>
      <w:pPr>
        <w:pStyle w:val="Para 01"/>
      </w:pPr>
      <w:r>
        <w:t xml:space="preserve">IMT 22:534-36 (3921-PS: Далюге инспекторам Полиции Порядка 27 октября 1941 </w:t>
        <w:t>г.</w:t>
        <w:t>); YVA, 0-51/63/4, 6 (Buten</w:t>
        <w:t>o</w:t>
        <w:t>p, KdSchupo Wien, October ? 1941, to loc</w:t>
        <w:t>a</w:t>
        <w:t>l Orpo units; Bomhard memorandum on the evacuation of the Jews, October 4, 1941).</w:t>
      </w:r>
    </w:p>
    <w:p>
      <w:bookmarkStart w:id="817" w:name="__64"/>
      <w:pPr>
        <w:pStyle w:val="Normal"/>
      </w:pPr>
      <w:r>
        <w:t>[</w:t>
      </w:r>
      <w:hyperlink w:anchor="64">
        <w:r>
          <w:rPr>
            <w:rStyle w:val="Text1"/>
          </w:rPr>
          <w:t>←64</w:t>
        </w:r>
      </w:hyperlink>
      <w:r>
        <w:t xml:space="preserve"> ] </w:t>
      </w:r>
      <w:bookmarkEnd w:id="817"/>
    </w:p>
    <w:p>
      <w:pPr>
        <w:pStyle w:val="Para 01"/>
      </w:pPr>
      <w:r>
        <w:t>Эти цифры не включают в себя небольшие транспортировки менее чем по 100 евреев каждая, а таких было много. Исчерпывающий список депортаций из Рейха всё ещё не составлен.</w:t>
      </w:r>
    </w:p>
    <w:p>
      <w:bookmarkStart w:id="818" w:name="__65"/>
      <w:pPr>
        <w:pStyle w:val="Normal"/>
      </w:pPr>
      <w:r>
        <w:t>[</w:t>
      </w:r>
      <w:hyperlink w:anchor="65">
        <w:r>
          <w:rPr>
            <w:rStyle w:val="Text1"/>
          </w:rPr>
          <w:t>←65</w:t>
        </w:r>
      </w:hyperlink>
      <w:r>
        <w:t xml:space="preserve"> ] </w:t>
      </w:r>
      <w:bookmarkEnd w:id="818"/>
    </w:p>
    <w:p>
      <w:pPr>
        <w:pStyle w:val="Para 01"/>
      </w:pPr>
      <w:r>
        <w:t>YVA, TR-10/835 (</w:t>
        <w:t>Staatsanwaltschaft</w:t>
        <w:t xml:space="preserve"> Düsseldorf, 8 J</w:t>
        <w:t>s</w:t>
        <w:t xml:space="preserve"> 430/67, indictment of Ganzenmüller):177-78. О назначении Полиции Порядка Вены на поезда из Болгарии в Треблинку, смотри YVA, 0-51/63/109, Butenop. KdSchupo, March 26, 1943). Файл содержит переписку Полиции Порядка Вены, касающуюся охраны еврейских транспортов в разных местах Польши, Минск (Малый Тростенец), </w:t>
        <w:t xml:space="preserve">Терезиенштадт [Theresienstadt] с весны 1942 по лето 1943 </w:t>
        <w:t>гг</w:t>
        <w:t>.</w:t>
        <w:t xml:space="preserve"> </w:t>
      </w:r>
    </w:p>
    <w:p>
      <w:bookmarkStart w:id="819" w:name="__66"/>
      <w:pPr>
        <w:pStyle w:val="Normal"/>
      </w:pPr>
      <w:r>
        <w:t>[</w:t>
      </w:r>
      <w:hyperlink w:anchor="66">
        <w:r>
          <w:rPr>
            <w:rStyle w:val="Text1"/>
          </w:rPr>
          <w:t>←66</w:t>
        </w:r>
      </w:hyperlink>
      <w:r>
        <w:t xml:space="preserve"> ] </w:t>
      </w:r>
      <w:bookmarkEnd w:id="819"/>
    </w:p>
    <w:p>
      <w:pPr>
        <w:pStyle w:val="Para 01"/>
      </w:pPr>
      <w:r>
        <w:t/>
        <w:t xml:space="preserve">Гертруда Шнайдер, </w:t>
      </w:r>
      <w:r>
        <w:rPr>
          <w:rStyle w:val="Text0"/>
        </w:rPr>
        <w:t xml:space="preserve">Путешествие в Террор: История Рижского Гетто </w:t>
      </w:r>
      <w:r>
        <w:t>[</w:t>
        <w:t xml:space="preserve">Gertrude Schneider, </w:t>
      </w:r>
      <w:r>
        <w:rPr>
          <w:rStyle w:val="Text0"/>
        </w:rPr>
        <w:t>Journey into Terror: Story of the Riga Ghetto</w:t>
      </w:r>
      <w:r>
        <w:t>]</w:t>
        <w:t xml:space="preserve"> (</w:t>
        <w:t>Нью-Йорк</w:t>
        <w:t xml:space="preserve">, 1979), 195-211; </w:t>
        <w:t>Краусник и Вильгельм</w:t>
        <w:t>, 591-95.</w:t>
      </w:r>
    </w:p>
    <w:p>
      <w:bookmarkStart w:id="820" w:name="__67"/>
      <w:pPr>
        <w:pStyle w:val="Normal"/>
      </w:pPr>
      <w:r>
        <w:t>[</w:t>
      </w:r>
      <w:hyperlink w:anchor="67">
        <w:r>
          <w:rPr>
            <w:rStyle w:val="Text1"/>
          </w:rPr>
          <w:t>←67</w:t>
        </w:r>
      </w:hyperlink>
      <w:r>
        <w:t xml:space="preserve"> ] </w:t>
      </w:r>
      <w:bookmarkEnd w:id="820"/>
    </w:p>
    <w:p>
      <w:pPr>
        <w:pStyle w:val="Para 01"/>
      </w:pPr>
      <w:r>
        <w:t>Ж</w:t>
        <w:t>елезнодорожная станция Аспанг</w:t>
      </w:r>
    </w:p>
    <w:p>
      <w:bookmarkStart w:id="821" w:name="__68"/>
      <w:pPr>
        <w:pStyle w:val="Normal"/>
      </w:pPr>
      <w:r>
        <w:t>[</w:t>
      </w:r>
      <w:hyperlink w:anchor="68">
        <w:r>
          <w:rPr>
            <w:rStyle w:val="Text1"/>
          </w:rPr>
          <w:t>←68</w:t>
        </w:r>
      </w:hyperlink>
      <w:r>
        <w:t xml:space="preserve"> ] </w:t>
      </w:r>
      <w:bookmarkEnd w:id="821"/>
    </w:p>
    <w:p>
      <w:pPr>
        <w:pStyle w:val="Para 01"/>
      </w:pPr>
      <w:r>
        <w:t xml:space="preserve">YVA, 0-51/63/42-43 (Рапорт Фишманна, 20 июня 1942 </w:t>
        <w:t>г.</w:t>
        <w:t>).</w:t>
      </w:r>
    </w:p>
    <w:p>
      <w:bookmarkStart w:id="822" w:name="__69"/>
      <w:pPr>
        <w:pStyle w:val="Normal"/>
      </w:pPr>
      <w:r>
        <w:t>[</w:t>
      </w:r>
      <w:hyperlink w:anchor="69">
        <w:r>
          <w:rPr>
            <w:rStyle w:val="Text1"/>
          </w:rPr>
          <w:t>←69</w:t>
        </w:r>
      </w:hyperlink>
      <w:r>
        <w:t xml:space="preserve"> ] </w:t>
      </w:r>
      <w:bookmarkEnd w:id="822"/>
    </w:p>
    <w:p>
      <w:pPr>
        <w:pStyle w:val="Para 01"/>
      </w:pPr>
      <w:r>
        <w:t xml:space="preserve">Этот документ был опубликован на немецком. Adalbert Rückerl, </w:t>
      </w:r>
      <w:r>
        <w:rPr>
          <w:rStyle w:val="Text0"/>
        </w:rPr>
        <w:t xml:space="preserve">SS-Vernichtungslager im Spiegel deutscher Strafprozesse </w:t>
      </w:r>
      <w:r>
        <w:t>(Munich, 1977), 55-60. Копия доклада из советско</w:t>
        <w:t>го</w:t>
        <w:t xml:space="preserve"> архив</w:t>
        <w:t>а</w:t>
        <w:t xml:space="preserve"> найдена в ZStL, USSR </w:t>
        <w:t>3</w:t>
        <w:t xml:space="preserve">rd. No. 116, </w:t>
        <w:t>B</w:t>
        <w:t>ild 508-10.</w:t>
      </w:r>
    </w:p>
    <w:p>
      <w:bookmarkStart w:id="823" w:name="__70"/>
      <w:pPr>
        <w:pStyle w:val="Normal"/>
      </w:pPr>
      <w:r>
        <w:t>[</w:t>
      </w:r>
      <w:hyperlink w:anchor="70">
        <w:r>
          <w:rPr>
            <w:rStyle w:val="Text1"/>
          </w:rPr>
          <w:t>←70</w:t>
        </w:r>
      </w:hyperlink>
      <w:r>
        <w:t xml:space="preserve"> ] </w:t>
      </w:r>
      <w:bookmarkEnd w:id="823"/>
    </w:p>
    <w:p>
      <w:pPr>
        <w:pStyle w:val="Para 01"/>
      </w:pPr>
      <w:r>
        <w:t>ZSt</w:t>
        <w:t>l</w:t>
        <w:t xml:space="preserve">, 3 AR-Z 52/61, </w:t>
        <w:t xml:space="preserve">в </w:t>
        <w:t>HW 1-6; Kurt A., HW 11; Ernst Hr., HW 2712.</w:t>
      </w:r>
    </w:p>
    <w:p>
      <w:bookmarkStart w:id="824" w:name="__71"/>
      <w:pPr>
        <w:pStyle w:val="Normal"/>
      </w:pPr>
      <w:r>
        <w:t>[</w:t>
      </w:r>
      <w:hyperlink w:anchor="71">
        <w:r>
          <w:rPr>
            <w:rStyle w:val="Text1"/>
          </w:rPr>
          <w:t>←71</w:t>
        </w:r>
      </w:hyperlink>
      <w:r>
        <w:t xml:space="preserve"> ] </w:t>
      </w:r>
      <w:bookmarkEnd w:id="824"/>
    </w:p>
    <w:p>
      <w:pPr>
        <w:pStyle w:val="Para 01"/>
      </w:pPr>
      <w:r>
        <w:t xml:space="preserve">Рейхсгау Вартеланд, </w:t>
        <w:t>польское Kraj Warty.</w:t>
        <w:t xml:space="preserve"> </w:t>
      </w:r>
    </w:p>
    <w:p>
      <w:bookmarkStart w:id="825" w:name="__72"/>
      <w:pPr>
        <w:pStyle w:val="Normal"/>
      </w:pPr>
      <w:r>
        <w:t>[</w:t>
      </w:r>
      <w:hyperlink w:anchor="72">
        <w:r>
          <w:rPr>
            <w:rStyle w:val="Text1"/>
          </w:rPr>
          <w:t>←72</w:t>
        </w:r>
      </w:hyperlink>
      <w:r>
        <w:t xml:space="preserve"> ] </w:t>
      </w:r>
      <w:bookmarkEnd w:id="825"/>
    </w:p>
    <w:p>
      <w:pPr>
        <w:pStyle w:val="Para 01"/>
      </w:pPr>
      <w:r>
        <w:t xml:space="preserve">BA, R 20/51/3-7 (Рапорт о деятельности Полицейского Резервного Батальона 101, 5 мая 1940 — 7 апреля 1941 </w:t>
        <w:t>г</w:t>
        <w:t>г</w:t>
        <w:t>.</w:t>
        <w:t>).</w:t>
      </w:r>
    </w:p>
    <w:p>
      <w:bookmarkStart w:id="826" w:name="__73"/>
      <w:pPr>
        <w:pStyle w:val="Normal"/>
      </w:pPr>
      <w:r>
        <w:t>[</w:t>
      </w:r>
      <w:hyperlink w:anchor="73">
        <w:r>
          <w:rPr>
            <w:rStyle w:val="Text1"/>
          </w:rPr>
          <w:t>←73</w:t>
        </w:r>
      </w:hyperlink>
      <w:r>
        <w:t xml:space="preserve"> ] </w:t>
      </w:r>
      <w:bookmarkEnd w:id="826"/>
    </w:p>
    <w:p>
      <w:pPr>
        <w:pStyle w:val="Para 01"/>
      </w:pPr>
      <w:r>
        <w:t>Bruno P., HW 1912-1913.</w:t>
      </w:r>
    </w:p>
    <w:p>
      <w:bookmarkStart w:id="827" w:name="__74"/>
      <w:pPr>
        <w:pStyle w:val="Normal"/>
      </w:pPr>
      <w:r>
        <w:t>[</w:t>
      </w:r>
      <w:hyperlink w:anchor="74">
        <w:r>
          <w:rPr>
            <w:rStyle w:val="Text1"/>
          </w:rPr>
          <w:t>←74</w:t>
        </w:r>
      </w:hyperlink>
      <w:r>
        <w:t xml:space="preserve"> ] </w:t>
      </w:r>
      <w:bookmarkEnd w:id="827"/>
    </w:p>
    <w:p>
      <w:pPr>
        <w:pStyle w:val="Para 01"/>
      </w:pPr>
      <w:r>
        <w:t>Alfred H., HW 43-44; George L., HW 1425; Heinrich S., HW1561; Walter Z., HW 2683; Ernst Hr., HW 2712; Ernst R., G 607.</w:t>
      </w:r>
    </w:p>
    <w:p>
      <w:bookmarkStart w:id="828" w:name="__75"/>
      <w:pPr>
        <w:pStyle w:val="Normal"/>
      </w:pPr>
      <w:r>
        <w:t>[</w:t>
      </w:r>
      <w:hyperlink w:anchor="75">
        <w:r>
          <w:rPr>
            <w:rStyle w:val="Text1"/>
          </w:rPr>
          <w:t>←75</w:t>
        </w:r>
      </w:hyperlink>
      <w:r>
        <w:t xml:space="preserve"> ] </w:t>
      </w:r>
      <w:bookmarkEnd w:id="828"/>
    </w:p>
    <w:p>
      <w:pPr>
        <w:pStyle w:val="Para 01"/>
      </w:pPr>
      <w:r>
        <w:t>Paul H., HW 1647.</w:t>
      </w:r>
    </w:p>
    <w:p>
      <w:bookmarkStart w:id="829" w:name="__76"/>
      <w:pPr>
        <w:pStyle w:val="Normal"/>
      </w:pPr>
      <w:r>
        <w:t>[</w:t>
      </w:r>
      <w:hyperlink w:anchor="76">
        <w:r>
          <w:rPr>
            <w:rStyle w:val="Text1"/>
          </w:rPr>
          <w:t>←76</w:t>
        </w:r>
      </w:hyperlink>
      <w:r>
        <w:t xml:space="preserve"> ] </w:t>
      </w:r>
      <w:bookmarkEnd w:id="829"/>
    </w:p>
    <w:p>
      <w:pPr>
        <w:pStyle w:val="Para 01"/>
      </w:pPr>
      <w:r>
        <w:t>BA, R 20/51/3-7 (отчёт о действиях батальона).</w:t>
      </w:r>
    </w:p>
    <w:p>
      <w:bookmarkStart w:id="830" w:name="__77"/>
      <w:pPr>
        <w:pStyle w:val="Normal"/>
      </w:pPr>
      <w:r>
        <w:t>[</w:t>
      </w:r>
      <w:hyperlink w:anchor="77">
        <w:r>
          <w:rPr>
            <w:rStyle w:val="Text1"/>
          </w:rPr>
          <w:t>←77</w:t>
        </w:r>
      </w:hyperlink>
      <w:r>
        <w:t xml:space="preserve"> ] </w:t>
      </w:r>
      <w:bookmarkEnd w:id="830"/>
    </w:p>
    <w:p>
      <w:pPr>
        <w:pStyle w:val="Para 01"/>
      </w:pPr>
      <w:r>
        <w:t>Bruno G., HW 2017.</w:t>
      </w:r>
    </w:p>
    <w:p>
      <w:bookmarkStart w:id="831" w:name="__78"/>
      <w:pPr>
        <w:pStyle w:val="Normal"/>
      </w:pPr>
      <w:r>
        <w:t>[</w:t>
      </w:r>
      <w:hyperlink w:anchor="78">
        <w:r>
          <w:rPr>
            <w:rStyle w:val="Text1"/>
          </w:rPr>
          <w:t>←78</w:t>
        </w:r>
      </w:hyperlink>
      <w:r>
        <w:t xml:space="preserve"> ] </w:t>
      </w:r>
      <w:bookmarkEnd w:id="831"/>
    </w:p>
    <w:p>
      <w:pPr>
        <w:pStyle w:val="Para 01"/>
      </w:pPr>
      <w:r>
        <w:t>YVA, TR-10/462 (Landgericht Dortmund, judgement 10 Ks 1/53):3-4.</w:t>
      </w:r>
    </w:p>
    <w:p>
      <w:bookmarkStart w:id="832" w:name="__79"/>
      <w:pPr>
        <w:pStyle w:val="Normal"/>
      </w:pPr>
      <w:r>
        <w:t>[</w:t>
      </w:r>
      <w:hyperlink w:anchor="79">
        <w:r>
          <w:rPr>
            <w:rStyle w:val="Text1"/>
          </w:rPr>
          <w:t>←79</w:t>
        </w:r>
      </w:hyperlink>
      <w:r>
        <w:t xml:space="preserve"> ] </w:t>
      </w:r>
      <w:bookmarkEnd w:id="832"/>
    </w:p>
    <w:p>
      <w:pPr>
        <w:pStyle w:val="Para 01"/>
      </w:pPr>
      <w:r>
        <w:t xml:space="preserve">Bruno G., HW </w:t>
        <w:t>1913-14</w:t>
        <w:t>.</w:t>
      </w:r>
    </w:p>
    <w:p>
      <w:bookmarkStart w:id="833" w:name="__80"/>
      <w:pPr>
        <w:pStyle w:val="Normal"/>
      </w:pPr>
      <w:r>
        <w:t>[</w:t>
      </w:r>
      <w:hyperlink w:anchor="80">
        <w:r>
          <w:rPr>
            <w:rStyle w:val="Text1"/>
          </w:rPr>
          <w:t>←80</w:t>
        </w:r>
      </w:hyperlink>
      <w:r>
        <w:t xml:space="preserve"> ] </w:t>
      </w:r>
      <w:bookmarkEnd w:id="833"/>
    </w:p>
    <w:p>
      <w:pPr>
        <w:pStyle w:val="Para 01"/>
      </w:pPr>
      <w:r>
        <w:t>Hans K., HW 2246; Ernst Hr., HW 2713.</w:t>
      </w:r>
    </w:p>
    <w:p>
      <w:bookmarkStart w:id="834" w:name="__81"/>
      <w:pPr>
        <w:pStyle w:val="Normal"/>
      </w:pPr>
      <w:r>
        <w:t>[</w:t>
      </w:r>
      <w:hyperlink w:anchor="81">
        <w:r>
          <w:rPr>
            <w:rStyle w:val="Text1"/>
          </w:rPr>
          <w:t>←81</w:t>
        </w:r>
      </w:hyperlink>
      <w:r>
        <w:t xml:space="preserve"> ] </w:t>
      </w:r>
      <w:bookmarkEnd w:id="834"/>
    </w:p>
    <w:p>
      <w:pPr>
        <w:pStyle w:val="Para 01"/>
      </w:pPr>
      <w:r>
        <w:t xml:space="preserve">Anton B., HW 2684; </w:t>
        <w:t>Вольфганг Хоффман</w:t>
        <w:t>, HW 4319.</w:t>
      </w:r>
    </w:p>
    <w:p>
      <w:bookmarkStart w:id="835" w:name="__82"/>
      <w:pPr>
        <w:pStyle w:val="Normal"/>
      </w:pPr>
      <w:r>
        <w:t>[</w:t>
      </w:r>
      <w:hyperlink w:anchor="82">
        <w:r>
          <w:rPr>
            <w:rStyle w:val="Text1"/>
          </w:rPr>
          <w:t>←82</w:t>
        </w:r>
      </w:hyperlink>
      <w:r>
        <w:t xml:space="preserve"> ] </w:t>
      </w:r>
      <w:bookmarkEnd w:id="835"/>
    </w:p>
    <w:p>
      <w:pPr>
        <w:pStyle w:val="Para 01"/>
      </w:pPr>
      <w:r>
        <w:t xml:space="preserve">YVA, 0-53/141/4378-86 (Jäger report of EK 3, Kovno, December </w:t>
        <w:t>1</w:t>
        <w:t>? 1941); Schneider, 23-30.</w:t>
      </w:r>
    </w:p>
    <w:p>
      <w:bookmarkStart w:id="836" w:name="__83"/>
      <w:pPr>
        <w:pStyle w:val="Normal"/>
      </w:pPr>
      <w:r>
        <w:t>[</w:t>
      </w:r>
      <w:hyperlink w:anchor="83">
        <w:r>
          <w:rPr>
            <w:rStyle w:val="Text1"/>
          </w:rPr>
          <w:t>←83</w:t>
        </w:r>
      </w:hyperlink>
      <w:r>
        <w:t xml:space="preserve"> ] </w:t>
      </w:r>
      <w:bookmarkEnd w:id="836"/>
    </w:p>
    <w:p>
      <w:pPr>
        <w:pStyle w:val="Para 01"/>
      </w:pPr>
      <w:r>
        <w:t>О транспортировках в Лодз</w:t>
        <w:t>ь</w:t>
        <w:t xml:space="preserve"> смотри YVA, BD 23/4 (Списки международной службы розыска. Прим. </w:t>
        <w:t>п</w:t>
        <w:t xml:space="preserve">ереводчика — с 2019 </w:t>
        <w:t>носят название</w:t>
        <w:t xml:space="preserve"> «Архивы Арользена») и </w:t>
      </w:r>
      <w:r>
        <w:rPr>
          <w:rStyle w:val="Text0"/>
        </w:rPr>
        <w:t>Dokumenty i Materialy Do Dziejów Okupacji W Polsce</w:t>
      </w:r>
      <w:r>
        <w:t xml:space="preserve">, vol. 3, </w:t>
      </w:r>
      <w:r>
        <w:rPr>
          <w:rStyle w:val="Text0"/>
        </w:rPr>
        <w:t xml:space="preserve">Ghetto Łódzkie </w:t>
      </w:r>
      <w:r>
        <w:t>(Варшава, 1946):203-5 (</w:t>
      </w:r>
      <w:r>
        <w:rPr>
          <w:rStyle w:val="Text0"/>
        </w:rPr>
        <w:t>Erfahrungsbericht</w:t>
      </w:r>
      <w:r>
        <w:t xml:space="preserve">, 13 ноября 1941 </w:t>
        <w:t>г.</w:t>
        <w:t>). О транспортировках в Минск смотри JSNV 19, no. 552 (Landgericht Koblenz, judgement 9 Ks 2/61):190; О транспортировках в Ригу смотри Schneider, 155.</w:t>
      </w:r>
    </w:p>
    <w:p>
      <w:bookmarkStart w:id="837" w:name="__84"/>
      <w:pPr>
        <w:pStyle w:val="Normal"/>
      </w:pPr>
      <w:r>
        <w:t>[</w:t>
      </w:r>
      <w:hyperlink w:anchor="84">
        <w:r>
          <w:rPr>
            <w:rStyle w:val="Text1"/>
          </w:rPr>
          <w:t>←84</w:t>
        </w:r>
      </w:hyperlink>
      <w:r>
        <w:t xml:space="preserve"> ] </w:t>
      </w:r>
      <w:bookmarkEnd w:id="837"/>
    </w:p>
    <w:p>
      <w:pPr>
        <w:pStyle w:val="Para 01"/>
      </w:pPr>
      <w:r>
        <w:t>Bahnhof Hamburg Dammtor</w:t>
      </w:r>
    </w:p>
    <w:p>
      <w:bookmarkStart w:id="838" w:name="__85"/>
      <w:pPr>
        <w:pStyle w:val="Normal"/>
      </w:pPr>
      <w:r>
        <w:t>[</w:t>
      </w:r>
      <w:hyperlink w:anchor="85">
        <w:r>
          <w:rPr>
            <w:rStyle w:val="Text1"/>
          </w:rPr>
          <w:t>←85</w:t>
        </w:r>
      </w:hyperlink>
      <w:r>
        <w:t xml:space="preserve"> ] </w:t>
      </w:r>
      <w:bookmarkEnd w:id="838"/>
    </w:p>
    <w:p>
      <w:pPr>
        <w:pStyle w:val="Para 01"/>
      </w:pPr>
      <w:r>
        <w:t>Heinrich Ht., HW 1173; Wilhelm J., HW 1320; Hans K., HW 224</w:t>
        <w:t>6</w:t>
        <w:t xml:space="preserve">; Franz K., HW 2475; Anton B., HW 2689. </w:t>
      </w:r>
    </w:p>
    <w:p>
      <w:bookmarkStart w:id="839" w:name="__86"/>
      <w:pPr>
        <w:pStyle w:val="Normal"/>
      </w:pPr>
      <w:r>
        <w:t>[</w:t>
      </w:r>
      <w:hyperlink w:anchor="86">
        <w:r>
          <w:rPr>
            <w:rStyle w:val="Text1"/>
          </w:rPr>
          <w:t>←86</w:t>
        </w:r>
      </w:hyperlink>
      <w:r>
        <w:t xml:space="preserve"> ] </w:t>
      </w:r>
      <w:bookmarkEnd w:id="839"/>
    </w:p>
    <w:p>
      <w:pPr>
        <w:pStyle w:val="Para 01"/>
      </w:pPr>
      <w:r>
        <w:t>Otto G., HW 955.</w:t>
      </w:r>
    </w:p>
    <w:p>
      <w:bookmarkStart w:id="840" w:name="__87"/>
      <w:pPr>
        <w:pStyle w:val="Normal"/>
      </w:pPr>
      <w:r>
        <w:t>[</w:t>
      </w:r>
      <w:hyperlink w:anchor="87">
        <w:r>
          <w:rPr>
            <w:rStyle w:val="Text1"/>
          </w:rPr>
          <w:t>←87</w:t>
        </w:r>
      </w:hyperlink>
      <w:r>
        <w:t xml:space="preserve"> ] </w:t>
      </w:r>
      <w:bookmarkEnd w:id="840"/>
    </w:p>
    <w:p>
      <w:pPr>
        <w:pStyle w:val="Para 01"/>
      </w:pPr>
      <w:r>
        <w:t xml:space="preserve">О Лодзе Arthur K., HW 1180; </w:t>
        <w:t>о</w:t>
        <w:t xml:space="preserve"> Минске Bruno P., HW 1930-3; </w:t>
        <w:t>о</w:t>
        <w:t xml:space="preserve"> Риге Hans K., HW 2246, Max F., HW 1529.</w:t>
      </w:r>
    </w:p>
    <w:p>
      <w:bookmarkStart w:id="841" w:name="__88"/>
      <w:pPr>
        <w:pStyle w:val="Normal"/>
      </w:pPr>
      <w:r>
        <w:t>[</w:t>
      </w:r>
      <w:hyperlink w:anchor="88">
        <w:r>
          <w:rPr>
            <w:rStyle w:val="Text1"/>
          </w:rPr>
          <w:t>←88</w:t>
        </w:r>
      </w:hyperlink>
      <w:r>
        <w:t xml:space="preserve"> ] </w:t>
      </w:r>
      <w:bookmarkEnd w:id="841"/>
    </w:p>
    <w:p>
      <w:pPr>
        <w:pStyle w:val="Para 01"/>
      </w:pPr>
      <w:r>
        <w:t>Hans K., HW 2246.</w:t>
      </w:r>
    </w:p>
    <w:p>
      <w:bookmarkStart w:id="842" w:name="__89"/>
      <w:pPr>
        <w:pStyle w:val="Normal"/>
      </w:pPr>
      <w:r>
        <w:t>[</w:t>
      </w:r>
      <w:hyperlink w:anchor="89">
        <w:r>
          <w:rPr>
            <w:rStyle w:val="Text1"/>
          </w:rPr>
          <w:t>←89</w:t>
        </w:r>
      </w:hyperlink>
      <w:r>
        <w:t xml:space="preserve"> ] </w:t>
      </w:r>
      <w:bookmarkEnd w:id="842"/>
    </w:p>
    <w:p>
      <w:pPr>
        <w:pStyle w:val="Para 01"/>
      </w:pPr>
      <w:r>
        <w:t>Bruno P., HW 1930-31.</w:t>
      </w:r>
    </w:p>
    <w:p>
      <w:bookmarkStart w:id="843" w:name="__90"/>
      <w:pPr>
        <w:pStyle w:val="Normal"/>
      </w:pPr>
      <w:r>
        <w:t>[</w:t>
      </w:r>
      <w:hyperlink w:anchor="90">
        <w:r>
          <w:rPr>
            <w:rStyle w:val="Text1"/>
          </w:rPr>
          <w:t>←90</w:t>
        </w:r>
      </w:hyperlink>
      <w:r>
        <w:t xml:space="preserve"> ] </w:t>
      </w:r>
      <w:bookmarkEnd w:id="843"/>
    </w:p>
    <w:p>
      <w:pPr>
        <w:pStyle w:val="Para 01"/>
      </w:pPr>
      <w:r>
        <w:t xml:space="preserve">Двина, нем. Düna. </w:t>
        <w:t xml:space="preserve">Прим. переводчика — подозреваю, речь идёт о реке Западная Двина, а не о </w:t>
        <w:t>связанным с расстрелами в то время районе</w:t>
        <w:t xml:space="preserve"> Dünamünde [</w:t>
        <w:t xml:space="preserve">Daugavgrīva, рус. Усть-Двинск], </w:t>
        <w:t>однако, может и о нём</w:t>
        <w:t xml:space="preserve">. </w:t>
        <w:t xml:space="preserve">О самом событии смотри «Dünamünde Action». </w:t>
        <w:t>Короткая версия по мнению переводчика</w:t>
        <w:t xml:space="preserve">. </w:t>
        <w:t xml:space="preserve">Судьба </w:t>
        <w:t xml:space="preserve">как минимум части </w:t>
        <w:t>людей, о которых рассказывалось в самой главе, была следующей: им объявили, что их ждёт дальнейшее «переселение», и надо отправиться в город «Дюнамюнде». Однако это была ложь — такого города не существовало уже несколько десятилетий. Вместо этого людей вывозили в лес и расстреливали, но люди верили и сами вызывались отправиться, желая уйти наконец из гетто.</w:t>
        <w:t xml:space="preserve"> </w:t>
      </w:r>
    </w:p>
    <w:p>
      <w:bookmarkStart w:id="844" w:name="__91"/>
      <w:pPr>
        <w:pStyle w:val="Normal"/>
      </w:pPr>
      <w:r>
        <w:t>[</w:t>
      </w:r>
      <w:hyperlink w:anchor="91">
        <w:r>
          <w:rPr>
            <w:rStyle w:val="Text1"/>
          </w:rPr>
          <w:t>←91</w:t>
        </w:r>
      </w:hyperlink>
      <w:r>
        <w:t xml:space="preserve"> ] </w:t>
      </w:r>
      <w:bookmarkEnd w:id="844"/>
    </w:p>
    <w:p>
      <w:pPr>
        <w:pStyle w:val="Para 01"/>
      </w:pPr>
      <w:r>
        <w:t xml:space="preserve">Доклад Салиттера от 26 декабря 1941 </w:t>
        <w:t>г.</w:t>
        <w:t xml:space="preserve">, цитируется </w:t>
        <w:t>у Краусника и Вильгельма</w:t>
        <w:t>, 594.</w:t>
      </w:r>
    </w:p>
    <w:p>
      <w:bookmarkStart w:id="845" w:name="__92"/>
      <w:pPr>
        <w:pStyle w:val="Normal"/>
      </w:pPr>
      <w:r>
        <w:t>[</w:t>
      </w:r>
      <w:hyperlink w:anchor="92">
        <w:r>
          <w:rPr>
            <w:rStyle w:val="Text1"/>
          </w:rPr>
          <w:t>←92</w:t>
        </w:r>
      </w:hyperlink>
      <w:r>
        <w:t xml:space="preserve"> ] </w:t>
      </w:r>
      <w:bookmarkEnd w:id="845"/>
    </w:p>
    <w:p>
      <w:pPr>
        <w:pStyle w:val="Para 01"/>
      </w:pPr>
      <w:r>
        <w:t>Staatsanwaltschaft Hamburg, 141 Js 1957/62 (Обвинительный акт Хоффману и Волауфу):206 (здесь и далее — Обвинение Хоффман/Волауф)</w:t>
      </w:r>
    </w:p>
    <w:p>
      <w:bookmarkStart w:id="846" w:name="__93"/>
      <w:pPr>
        <w:pStyle w:val="Normal"/>
      </w:pPr>
      <w:r>
        <w:t>[</w:t>
      </w:r>
      <w:hyperlink w:anchor="93">
        <w:r>
          <w:rPr>
            <w:rStyle w:val="Text1"/>
          </w:rPr>
          <w:t>←93</w:t>
        </w:r>
      </w:hyperlink>
      <w:r>
        <w:t xml:space="preserve"> ] </w:t>
      </w:r>
      <w:bookmarkEnd w:id="846"/>
    </w:p>
    <w:p>
      <w:pPr>
        <w:pStyle w:val="Para 01"/>
      </w:pPr>
      <w:r>
        <w:t>Ernst G., HW 1835.</w:t>
      </w:r>
    </w:p>
    <w:p>
      <w:bookmarkStart w:id="847" w:name="__94"/>
      <w:pPr>
        <w:pStyle w:val="Normal"/>
      </w:pPr>
      <w:r>
        <w:t>[</w:t>
      </w:r>
      <w:hyperlink w:anchor="94">
        <w:r>
          <w:rPr>
            <w:rStyle w:val="Text1"/>
          </w:rPr>
          <w:t>←94</w:t>
        </w:r>
      </w:hyperlink>
      <w:r>
        <w:t xml:space="preserve"> ] </w:t>
      </w:r>
      <w:bookmarkEnd w:id="847"/>
    </w:p>
    <w:p>
      <w:pPr>
        <w:pStyle w:val="Para 01"/>
      </w:pPr>
      <w:r>
        <w:t>BDC, Карта членства в партии Вильгельма Траппа. Юлиус Волауф, HW 2882, 432</w:t>
        <w:t>9</w:t>
        <w:t>; Вольфганг Хоффман, HW 2930, 4318-19, 4322.</w:t>
      </w:r>
    </w:p>
    <w:p>
      <w:bookmarkStart w:id="848" w:name="__95"/>
      <w:pPr>
        <w:pStyle w:val="Normal"/>
      </w:pPr>
      <w:r>
        <w:t>[</w:t>
      </w:r>
      <w:hyperlink w:anchor="95">
        <w:r>
          <w:rPr>
            <w:rStyle w:val="Text1"/>
          </w:rPr>
          <w:t>←95</w:t>
        </w:r>
      </w:hyperlink>
      <w:r>
        <w:t xml:space="preserve"> ] </w:t>
      </w:r>
      <w:bookmarkEnd w:id="848"/>
    </w:p>
    <w:p>
      <w:pPr>
        <w:pStyle w:val="Para 01"/>
      </w:pPr>
      <w:r>
        <w:t>Обвинение Хоффман/Волауф, 47-49.</w:t>
      </w:r>
    </w:p>
    <w:p>
      <w:bookmarkStart w:id="849" w:name="__96"/>
      <w:pPr>
        <w:pStyle w:val="Normal"/>
      </w:pPr>
      <w:r>
        <w:t>[</w:t>
      </w:r>
      <w:hyperlink w:anchor="96">
        <w:r>
          <w:rPr>
            <w:rStyle w:val="Text1"/>
          </w:rPr>
          <w:t>←96</w:t>
        </w:r>
      </w:hyperlink>
      <w:r>
        <w:t xml:space="preserve"> ] </w:t>
      </w:r>
      <w:bookmarkEnd w:id="849"/>
    </w:p>
    <w:p>
      <w:pPr>
        <w:pStyle w:val="Para 01"/>
      </w:pPr>
      <w:r>
        <w:t>Sturmabteilung, SA, или чернорубашечники.</w:t>
      </w:r>
    </w:p>
    <w:p>
      <w:bookmarkStart w:id="850" w:name="__97"/>
      <w:pPr>
        <w:pStyle w:val="Normal"/>
      </w:pPr>
      <w:r>
        <w:t>[</w:t>
      </w:r>
      <w:hyperlink w:anchor="97">
        <w:r>
          <w:rPr>
            <w:rStyle w:val="Text1"/>
          </w:rPr>
          <w:t>←97</w:t>
        </w:r>
      </w:hyperlink>
      <w:r>
        <w:t xml:space="preserve"> ] </w:t>
      </w:r>
      <w:bookmarkEnd w:id="850"/>
    </w:p>
    <w:p>
      <w:pPr>
        <w:pStyle w:val="Para 01"/>
      </w:pPr>
      <w:r>
        <w:t>Обвинение Хоффман/Волауф, 49-51.</w:t>
      </w:r>
    </w:p>
    <w:p>
      <w:bookmarkStart w:id="851" w:name="__98"/>
      <w:pPr>
        <w:pStyle w:val="Normal"/>
      </w:pPr>
      <w:r>
        <w:t>[</w:t>
      </w:r>
      <w:hyperlink w:anchor="98">
        <w:r>
          <w:rPr>
            <w:rStyle w:val="Text1"/>
          </w:rPr>
          <w:t>←98</w:t>
        </w:r>
      </w:hyperlink>
      <w:r>
        <w:t xml:space="preserve"> ] </w:t>
      </w:r>
      <w:bookmarkEnd w:id="851"/>
    </w:p>
    <w:p>
      <w:pPr>
        <w:pStyle w:val="Para 01"/>
      </w:pPr>
      <w:r>
        <w:t>Staatsanwaltschaft Hamburg, 141 Js 1457/62, Sonderband: DC-</w:t>
        <w:t>un</w:t>
        <w:t>terlagen.</w:t>
      </w:r>
    </w:p>
    <w:p>
      <w:bookmarkStart w:id="852" w:name="__99"/>
      <w:pPr>
        <w:pStyle w:val="Normal"/>
      </w:pPr>
      <w:r>
        <w:t>[</w:t>
      </w:r>
      <w:hyperlink w:anchor="99">
        <w:r>
          <w:rPr>
            <w:rStyle w:val="Text1"/>
          </w:rPr>
          <w:t>←99</w:t>
        </w:r>
      </w:hyperlink>
      <w:r>
        <w:t xml:space="preserve"> ] </w:t>
      </w:r>
      <w:bookmarkEnd w:id="852"/>
    </w:p>
    <w:p>
      <w:pPr>
        <w:pStyle w:val="Para 01"/>
      </w:pPr>
      <w:r>
        <w:t>Этот статистический разбор Полицейского Резервного Батальона 101 основан на информации из 210 допросов, проведённых прокуратурой в шестидесятых. Не включая в себя офицеро</w:t>
        <w:t>в</w:t>
        <w:t xml:space="preserve">, представителей администрации и унтер-офицеров, допросы предоставили подробные данные о рядовых. Хоть все </w:t>
        <w:t>они</w:t>
        <w:t xml:space="preserve"> включали в себя, </w:t>
        <w:t>к примеру,</w:t>
        <w:t xml:space="preserve"> вопросы о возрасте, о</w:t>
        <w:t>ни не содержат полной информации о трудоустройстве. Некоторые указывали лишь послевоенную работу, многие — с учётом возрастной группы — указывались как пенсионеры. Таким образом, информация о трудоустройстве основана на выборке только лишь 155 человек.</w:t>
        <w:t xml:space="preserve"> </w:t>
      </w:r>
    </w:p>
    <w:p>
      <w:bookmarkStart w:id="853" w:name="__100"/>
      <w:pPr>
        <w:pStyle w:val="Normal"/>
      </w:pPr>
      <w:r>
        <w:t>[</w:t>
      </w:r>
      <w:hyperlink w:anchor="100">
        <w:r>
          <w:rPr>
            <w:rStyle w:val="Text1"/>
          </w:rPr>
          <w:t>←100</w:t>
        </w:r>
      </w:hyperlink>
      <w:r>
        <w:t xml:space="preserve"> ] </w:t>
      </w:r>
      <w:bookmarkEnd w:id="853"/>
    </w:p>
    <w:p>
      <w:pPr>
        <w:pStyle w:val="Para 01"/>
      </w:pPr>
      <w:r>
        <w:t xml:space="preserve">Статистика принадлежности к партии основана на имеющихся в BDC </w:t>
        <w:t>членских картах</w:t>
        <w:t>.</w:t>
      </w:r>
    </w:p>
    <w:p>
      <w:bookmarkStart w:id="854" w:name="__101"/>
      <w:pPr>
        <w:pStyle w:val="Normal"/>
      </w:pPr>
      <w:r>
        <w:t>[</w:t>
      </w:r>
      <w:hyperlink w:anchor="101">
        <w:r>
          <w:rPr>
            <w:rStyle w:val="Text1"/>
          </w:rPr>
          <w:t>←101</w:t>
        </w:r>
      </w:hyperlink>
      <w:r>
        <w:t xml:space="preserve"> ] </w:t>
      </w:r>
      <w:bookmarkEnd w:id="854"/>
    </w:p>
    <w:p>
      <w:pPr>
        <w:pStyle w:val="Para 01"/>
      </w:pPr>
      <w:r>
        <w:t>Эксперименты с применением в камерах «Циклона Б» начались в главном лагере Освенцима (</w:t>
      </w:r>
      <w:r>
        <w:rPr>
          <w:rStyle w:val="Text0"/>
        </w:rPr>
        <w:t>Stammlager</w:t>
      </w:r>
      <w:r>
        <w:t xml:space="preserve"> или Освенцим I) в сентябре и октябре 1941-</w:t>
        <w:t>го</w:t>
        <w:t>. 15 февраля 1942-</w:t>
        <w:t>го</w:t>
        <w:t xml:space="preserve"> началось систематическое применение новых газовых камер (в переоборудованном фермерском доме) в Биркенау (Освенцим II). Danuta Czech, </w:t>
      </w:r>
      <w:r>
        <w:rPr>
          <w:rStyle w:val="Text0"/>
        </w:rPr>
        <w:t>Kalendarium der Ereignisse im Konzentrationslager Auschwitz-Birkenau 1939-1945</w:t>
      </w:r>
      <w:r>
        <w:t xml:space="preserve"> (Reinbeck bei Hamburg, 1989), 116, 174-75.</w:t>
      </w:r>
    </w:p>
    <w:p>
      <w:bookmarkStart w:id="855" w:name="__102"/>
      <w:pPr>
        <w:pStyle w:val="Normal"/>
      </w:pPr>
      <w:r>
        <w:t>[</w:t>
      </w:r>
      <w:hyperlink w:anchor="102">
        <w:r>
          <w:rPr>
            <w:rStyle w:val="Text1"/>
          </w:rPr>
          <w:t>←102</w:t>
        </w:r>
      </w:hyperlink>
      <w:r>
        <w:t xml:space="preserve"> ] </w:t>
      </w:r>
      <w:bookmarkEnd w:id="855"/>
    </w:p>
    <w:p>
      <w:pPr>
        <w:pStyle w:val="Para 01"/>
      </w:pPr>
      <w:r>
        <w:t xml:space="preserve">Для Генерал-губернаторства было доступно всего 3 000 </w:t>
        <w:t>членов</w:t>
        <w:t xml:space="preserve"> Sonderdienst (нем. специальные службы). </w:t>
        <w:t xml:space="preserve">То, что многие из них на самом деле были польскими коллаборантами с сомнительной претензией на статус этнического немца можно </w:t>
        <w:t>понять</w:t>
        <w:t xml:space="preserve"> из того факта, что только 25% из них говорило на немецком. Diensttagebuch, 574.</w:t>
        <w:t xml:space="preserve"> </w:t>
      </w:r>
    </w:p>
    <w:p>
      <w:bookmarkStart w:id="856" w:name="__103"/>
      <w:pPr>
        <w:pStyle w:val="Normal"/>
      </w:pPr>
      <w:r>
        <w:t>[</w:t>
      </w:r>
      <w:hyperlink w:anchor="103">
        <w:r>
          <w:rPr>
            <w:rStyle w:val="Text1"/>
          </w:rPr>
          <w:t>←103</w:t>
        </w:r>
      </w:hyperlink>
      <w:r>
        <w:t xml:space="preserve"> ] </w:t>
      </w:r>
      <w:bookmarkEnd w:id="856"/>
    </w:p>
    <w:p>
      <w:pPr>
        <w:pStyle w:val="Para 01"/>
      </w:pPr>
      <w:r>
        <w:t xml:space="preserve">В датах и числе убитых евреев в </w:t>
        <w:t>округ</w:t>
        <w:t xml:space="preserve">е Люблина </w:t>
        <w:t xml:space="preserve">я </w:t>
        <w:t xml:space="preserve">опирался на </w:t>
        <w:t>Yitzhak</w:t>
        <w:t xml:space="preserve"> Arad, </w:t>
      </w:r>
      <w:r>
        <w:rPr>
          <w:rStyle w:val="Text0"/>
        </w:rPr>
        <w:t xml:space="preserve">Belżec, Sobibór, Treblinka: The Operation Reinhard Death Camps </w:t>
      </w:r>
      <w:r>
        <w:t xml:space="preserve">(Bloomington, Ind. 1987), 383-87, 390-91; </w:t>
        <w:t xml:space="preserve">Татьяна Брустин-Беренштейн </w:t>
        <w:t>[Tatiana Brustin-Berenstein]</w:t>
        <w:t xml:space="preserve">, «Martyrologia, Opór I Zagłada Ludnósci Żydowskiej </w:t>
        <w:t>W</w:t>
        <w:t xml:space="preserve"> D</w:t>
        <w:t xml:space="preserve">ystrykcie Lubelskim», </w:t>
      </w:r>
      <w:r>
        <w:rPr>
          <w:rStyle w:val="Text0"/>
        </w:rPr>
        <w:t>BZIH</w:t>
      </w:r>
      <w:r>
        <w:t xml:space="preserve"> 21 (1957):56-83; и различные немецкие судебные дела.</w:t>
        <w:t xml:space="preserve"> </w:t>
      </w:r>
    </w:p>
    <w:p>
      <w:bookmarkStart w:id="857" w:name="__104"/>
      <w:pPr>
        <w:pStyle w:val="Normal"/>
      </w:pPr>
      <w:r>
        <w:t>[</w:t>
      </w:r>
      <w:hyperlink w:anchor="104">
        <w:r>
          <w:rPr>
            <w:rStyle w:val="Text1"/>
          </w:rPr>
          <w:t>←104</w:t>
        </w:r>
      </w:hyperlink>
      <w:r>
        <w:t xml:space="preserve"> ] </w:t>
      </w:r>
      <w:bookmarkEnd w:id="857"/>
    </w:p>
    <w:p>
      <w:pPr>
        <w:pStyle w:val="Para 01"/>
      </w:pPr>
      <w:r>
        <w:t>Dienstt</w:t>
        <w:t>a</w:t>
        <w:t>gebuch, 511 (Polizeisitzung, June 16, 1942).</w:t>
      </w:r>
    </w:p>
    <w:p>
      <w:bookmarkStart w:id="858" w:name="__105"/>
      <w:pPr>
        <w:pStyle w:val="Normal"/>
      </w:pPr>
      <w:r>
        <w:t>[</w:t>
      </w:r>
      <w:hyperlink w:anchor="105">
        <w:r>
          <w:rPr>
            <w:rStyle w:val="Text1"/>
          </w:rPr>
          <w:t>←105</w:t>
        </w:r>
      </w:hyperlink>
      <w:r>
        <w:t xml:space="preserve"> ] </w:t>
      </w:r>
      <w:bookmarkEnd w:id="858"/>
    </w:p>
    <w:p>
      <w:pPr>
        <w:pStyle w:val="Para 01"/>
      </w:pPr>
      <w:r>
        <w:t>Обвинение Хоффман/Волауф, 205-6.</w:t>
      </w:r>
    </w:p>
    <w:p>
      <w:bookmarkStart w:id="859" w:name="__106"/>
      <w:pPr>
        <w:pStyle w:val="Normal"/>
      </w:pPr>
      <w:r>
        <w:t>[</w:t>
      </w:r>
      <w:hyperlink w:anchor="106">
        <w:r>
          <w:rPr>
            <w:rStyle w:val="Text1"/>
          </w:rPr>
          <w:t>←106</w:t>
        </w:r>
      </w:hyperlink>
      <w:r>
        <w:t xml:space="preserve"> ] </w:t>
      </w:r>
      <w:bookmarkEnd w:id="859"/>
    </w:p>
    <w:p>
      <w:pPr>
        <w:pStyle w:val="Para 01"/>
      </w:pPr>
      <w:r>
        <w:t>Johannes R., HW 1807.</w:t>
      </w:r>
    </w:p>
    <w:p>
      <w:bookmarkStart w:id="860" w:name="__107"/>
      <w:pPr>
        <w:pStyle w:val="Normal"/>
      </w:pPr>
      <w:r>
        <w:t>[</w:t>
      </w:r>
      <w:hyperlink w:anchor="107">
        <w:r>
          <w:rPr>
            <w:rStyle w:val="Text1"/>
          </w:rPr>
          <w:t>←107</w:t>
        </w:r>
      </w:hyperlink>
      <w:r>
        <w:t xml:space="preserve"> ] </w:t>
      </w:r>
      <w:bookmarkEnd w:id="860"/>
    </w:p>
    <w:p>
      <w:pPr>
        <w:pStyle w:val="Para 01"/>
      </w:pPr>
      <w:r>
        <w:t>За расположением различных отрядов Полицейского Резервного Батальона 101 в 1942-</w:t>
        <w:t>м</w:t>
        <w:t>, смотри обвинение Хоффман/Волауф, 208-12.</w:t>
      </w:r>
    </w:p>
    <w:p>
      <w:bookmarkStart w:id="861" w:name="__108"/>
      <w:pPr>
        <w:pStyle w:val="Normal"/>
      </w:pPr>
      <w:r>
        <w:t>[</w:t>
      </w:r>
      <w:hyperlink w:anchor="108">
        <w:r>
          <w:rPr>
            <w:rStyle w:val="Text1"/>
          </w:rPr>
          <w:t>←108</w:t>
        </w:r>
      </w:hyperlink>
      <w:r>
        <w:t xml:space="preserve"> ] </w:t>
      </w:r>
      <w:bookmarkEnd w:id="861"/>
    </w:p>
    <w:p>
      <w:pPr>
        <w:pStyle w:val="Para 01"/>
      </w:pPr>
      <w:r>
        <w:t xml:space="preserve">Alfred S., HW 294-95; Albert D., HW 471; Arthur S., HW 1161; Hedrich B., HW 1581-82; Martin D., HW 1598-99; Wilhelm </w:t>
        <w:t xml:space="preserve">K., HW </w:t>
        <w:t>17</w:t>
        <w:t>70; Herbert R., HW 2109; Heinrich E., HW 2169; Walte</w:t>
        <w:t>r</w:t>
        <w:t xml:space="preserve"> Z., HW 2622; Bruno G., HW 3300; Ernst N., HW 1648; August W., HW 2039.</w:t>
        <w:t xml:space="preserve"> </w:t>
      </w:r>
    </w:p>
    <w:p>
      <w:bookmarkStart w:id="862" w:name="__109"/>
      <w:pPr>
        <w:pStyle w:val="Normal"/>
      </w:pPr>
      <w:r>
        <w:t>[</w:t>
      </w:r>
      <w:hyperlink w:anchor="109">
        <w:r>
          <w:rPr>
            <w:rStyle w:val="Text1"/>
          </w:rPr>
          <w:t>←109</w:t>
        </w:r>
      </w:hyperlink>
      <w:r>
        <w:t xml:space="preserve"> ] </w:t>
      </w:r>
      <w:bookmarkEnd w:id="862"/>
    </w:p>
    <w:p>
      <w:pPr>
        <w:pStyle w:val="Para 01"/>
      </w:pPr>
      <w:r>
        <w:t>Так как ни Трапп, ни его адъютант Хаген, ни лейтенант Гн</w:t>
        <w:t>а</w:t>
        <w:t>д</w:t>
        <w:t>е</w:t>
        <w:t xml:space="preserve"> не дожили до допросов в 1960-</w:t>
        <w:t>х</w:t>
        <w:t>, единственным живым свидетелем встречи был капитан Волауф. Его версии были так многочисленны и корыстны, а важнейшие моменты остального признательного показания так сильно вступали в противоречие с показаниями других свидетелей, что он просто не может быть надёжным источником.</w:t>
      </w:r>
    </w:p>
    <w:p>
      <w:bookmarkStart w:id="863" w:name="__110"/>
      <w:pPr>
        <w:pStyle w:val="Normal"/>
      </w:pPr>
      <w:r>
        <w:t>[</w:t>
      </w:r>
      <w:hyperlink w:anchor="110">
        <w:r>
          <w:rPr>
            <w:rStyle w:val="Text1"/>
          </w:rPr>
          <w:t>←110</w:t>
        </w:r>
      </w:hyperlink>
      <w:r>
        <w:t xml:space="preserve"> ] </w:t>
      </w:r>
      <w:bookmarkEnd w:id="863"/>
    </w:p>
    <w:p>
      <w:pPr>
        <w:pStyle w:val="Para 01"/>
      </w:pPr>
      <w:r>
        <w:t>Heinz B., HW 819-20, 2437, 3355, 4414.</w:t>
      </w:r>
    </w:p>
    <w:p>
      <w:bookmarkStart w:id="864" w:name="__111"/>
      <w:pPr>
        <w:pStyle w:val="Normal"/>
      </w:pPr>
      <w:r>
        <w:t>[</w:t>
      </w:r>
      <w:hyperlink w:anchor="111">
        <w:r>
          <w:rPr>
            <w:rStyle w:val="Text1"/>
          </w:rPr>
          <w:t>←111</w:t>
        </w:r>
      </w:hyperlink>
      <w:r>
        <w:t xml:space="preserve"> ] </w:t>
      </w:r>
      <w:bookmarkEnd w:id="864"/>
    </w:p>
    <w:p>
      <w:pPr>
        <w:pStyle w:val="Para 01"/>
      </w:pPr>
      <w:r>
        <w:t>Юлиус Волауф, HW 4239-30.</w:t>
      </w:r>
    </w:p>
    <w:p>
      <w:bookmarkStart w:id="865" w:name="__112"/>
      <w:pPr>
        <w:pStyle w:val="Normal"/>
      </w:pPr>
      <w:r>
        <w:t>[</w:t>
      </w:r>
      <w:hyperlink w:anchor="112">
        <w:r>
          <w:rPr>
            <w:rStyle w:val="Text1"/>
          </w:rPr>
          <w:t>←112</w:t>
        </w:r>
      </w:hyperlink>
      <w:r>
        <w:t xml:space="preserve"> ] </w:t>
      </w:r>
      <w:bookmarkEnd w:id="865"/>
    </w:p>
    <w:p>
      <w:pPr>
        <w:pStyle w:val="Para 01"/>
      </w:pPr>
      <w:r>
        <w:t>Friedrich Bm., HW 2091.</w:t>
      </w:r>
    </w:p>
    <w:p>
      <w:bookmarkStart w:id="866" w:name="__113"/>
      <w:pPr>
        <w:pStyle w:val="Normal"/>
      </w:pPr>
      <w:r>
        <w:t>[</w:t>
      </w:r>
      <w:hyperlink w:anchor="113">
        <w:r>
          <w:rPr>
            <w:rStyle w:val="Text1"/>
          </w:rPr>
          <w:t>←113</w:t>
        </w:r>
      </w:hyperlink>
      <w:r>
        <w:t xml:space="preserve"> ] </w:t>
      </w:r>
      <w:bookmarkEnd w:id="866"/>
    </w:p>
    <w:p>
      <w:pPr>
        <w:pStyle w:val="Para 01"/>
      </w:pPr>
      <w:r>
        <w:t>Hans S., G 328.</w:t>
      </w:r>
    </w:p>
    <w:p>
      <w:bookmarkStart w:id="867" w:name="__114"/>
      <w:pPr>
        <w:pStyle w:val="Normal"/>
      </w:pPr>
      <w:r>
        <w:t>[</w:t>
      </w:r>
      <w:hyperlink w:anchor="114">
        <w:r>
          <w:rPr>
            <w:rStyle w:val="Text1"/>
          </w:rPr>
          <w:t>←114</w:t>
        </w:r>
      </w:hyperlink>
      <w:r>
        <w:t xml:space="preserve"> ] </w:t>
      </w:r>
      <w:bookmarkEnd w:id="867"/>
    </w:p>
    <w:p>
      <w:pPr>
        <w:pStyle w:val="Para 01"/>
      </w:pPr>
      <w:r>
        <w:t>Bruno D., HW 1874.</w:t>
      </w:r>
    </w:p>
    <w:p>
      <w:bookmarkStart w:id="868" w:name="__115"/>
      <w:pPr>
        <w:pStyle w:val="Normal"/>
      </w:pPr>
      <w:r>
        <w:t>[</w:t>
      </w:r>
      <w:hyperlink w:anchor="115">
        <w:r>
          <w:rPr>
            <w:rStyle w:val="Text1"/>
          </w:rPr>
          <w:t>←115</w:t>
        </w:r>
      </w:hyperlink>
      <w:r>
        <w:t xml:space="preserve"> ] </w:t>
      </w:r>
      <w:bookmarkEnd w:id="868"/>
    </w:p>
    <w:p>
      <w:pPr>
        <w:pStyle w:val="Para 01"/>
      </w:pPr>
      <w:r>
        <w:t>Alfred B., HW 440.</w:t>
      </w:r>
    </w:p>
    <w:p>
      <w:bookmarkStart w:id="869" w:name="__116"/>
      <w:pPr>
        <w:pStyle w:val="Normal"/>
      </w:pPr>
      <w:r>
        <w:t>[</w:t>
      </w:r>
      <w:hyperlink w:anchor="116">
        <w:r>
          <w:rPr>
            <w:rStyle w:val="Text1"/>
          </w:rPr>
          <w:t>←116</w:t>
        </w:r>
      </w:hyperlink>
      <w:r>
        <w:t xml:space="preserve"> ] </w:t>
      </w:r>
      <w:bookmarkEnd w:id="869"/>
    </w:p>
    <w:p>
      <w:pPr>
        <w:pStyle w:val="Para 01"/>
      </w:pPr>
      <w:r>
        <w:t>Rudolf B., HW 3692.</w:t>
      </w:r>
    </w:p>
    <w:p>
      <w:bookmarkStart w:id="870" w:name="__117"/>
      <w:pPr>
        <w:pStyle w:val="Normal"/>
      </w:pPr>
      <w:r>
        <w:t>[</w:t>
      </w:r>
      <w:hyperlink w:anchor="117">
        <w:r>
          <w:rPr>
            <w:rStyle w:val="Text1"/>
          </w:rPr>
          <w:t>←117</w:t>
        </w:r>
      </w:hyperlink>
      <w:r>
        <w:t xml:space="preserve"> ] </w:t>
      </w:r>
      <w:bookmarkEnd w:id="870"/>
    </w:p>
    <w:p>
      <w:pPr>
        <w:pStyle w:val="Para 01"/>
      </w:pPr>
      <w:r>
        <w:t xml:space="preserve">Otto-Julius S., 1953-54, 4576-79; August W., HW 2041-42, 3298, 4589. S. и W. Были единственными свидетелями, помнящими предложение Траппа именно в таком виде. Ряд других вместо этого сначала вспомнили призыв добровольцев в расстрельные команды (Alfred B., HW 439-40; Franz G., HW 1189-90; Bruno G., HW 2020). Другие же, когда их спрашивали об инциденте, либо признавали «возможность» того, что Трапп сделал своё предложение (Anton B., HW 2693; Heinz B., HW 3356-57, 4415) или хотя бы не оспаривали или не отрицали, что оно имело место быть. Оговорка Траппа про «старших» людей появляется в показаниях S. (HW 1953, 4578). W., </w:t>
        <w:t xml:space="preserve">который </w:t>
        <w:t xml:space="preserve">в своих показаниях </w:t>
        <w:t>о</w:t>
        <w:t xml:space="preserve"> других вещах полностью соответствовал показаниям S., не упоминал однако о подобной «квалификации» и утверждал, что молодые т</w:t>
        <w:t>о</w:t>
        <w:t>же выходили из строя. Однако же, судя по всему, он понимал, что Трапп сделал своё предложение именно для старших людей запаса. Когда его спросили почему он сам не вышел вперёд, он отметил, что он был относительно молод и был «действующим» полицейским, т.е. не призванным из запаса (HW 2041-42, 4592). Большая точность и детальность показаний S. и W., а так же последующее поведение офицеров и рядовых батальона в соответствии с предложением Траппа (т.е. те</w:t>
        <w:t>х</w:t>
        <w:t xml:space="preserve">, кто </w:t>
        <w:t>хоть и</w:t>
        <w:t xml:space="preserve"> запоздало, </w:t>
        <w:t>но</w:t>
        <w:t xml:space="preserve"> попросил освобождения из расстрельных команд — то, что офицеры и солдаты никогда бы не попросили без предварительного на это санкционирования от старшего офицера) убедило меня в том, что их версия наиболее правдоподобная из всех доступных.</w:t>
      </w:r>
    </w:p>
    <w:p>
      <w:bookmarkStart w:id="871" w:name="__118"/>
      <w:pPr>
        <w:pStyle w:val="Normal"/>
      </w:pPr>
      <w:r>
        <w:t>[</w:t>
      </w:r>
      <w:hyperlink w:anchor="118">
        <w:r>
          <w:rPr>
            <w:rStyle w:val="Text1"/>
          </w:rPr>
          <w:t>←118</w:t>
        </w:r>
      </w:hyperlink>
      <w:r>
        <w:t xml:space="preserve"> ] </w:t>
      </w:r>
      <w:bookmarkEnd w:id="871"/>
    </w:p>
    <w:p>
      <w:pPr>
        <w:pStyle w:val="Para 01"/>
      </w:pPr>
      <w:r>
        <w:t xml:space="preserve">Вполне вероятно, что первый и второй взводы третьей роты уже находились в кордоне вокруг деревни </w:t>
      </w:r>
      <w:r>
        <w:rPr>
          <w:rStyle w:val="Text0"/>
        </w:rPr>
        <w:t xml:space="preserve">до </w:t>
      </w:r>
      <w:r>
        <w:t>речи Траппа. Никто из этих двух взводов не помнил её, а один свидетель (Bruno G., HW 2020) в показаниях указывал, что взводы на ней не присутствовали.</w:t>
        <w:t xml:space="preserve"> </w:t>
      </w:r>
    </w:p>
    <w:p>
      <w:bookmarkStart w:id="872" w:name="__119"/>
      <w:pPr>
        <w:pStyle w:val="Normal"/>
      </w:pPr>
      <w:r>
        <w:t>[</w:t>
      </w:r>
      <w:hyperlink w:anchor="119">
        <w:r>
          <w:rPr>
            <w:rStyle w:val="Text1"/>
          </w:rPr>
          <w:t>←119</w:t>
        </w:r>
      </w:hyperlink>
      <w:r>
        <w:t xml:space="preserve"> ] </w:t>
      </w:r>
      <w:bookmarkEnd w:id="872"/>
    </w:p>
    <w:p>
      <w:pPr>
        <w:pStyle w:val="Para 01"/>
      </w:pPr>
      <w:r>
        <w:t xml:space="preserve">Heinrich S., HW 1563; Martin D., HW 1596; Paul H., HW 1648; Ernst N., HW 1685; Wilhelm K., HW 1767, 2300; Bruno G., HW 2019; August W., HW 2039; Wilhelm Gb., HW 2147; Heinrich B., HW 2596; Walter Z., HW </w:t>
        <w:t>26</w:t>
        <w:t>18; Anton B., HW 2656; Ernst Hr., HW 2716; Joseph P., HW 2742; Kurt D., HW 2888; Otto I., HW 3521; Wolfgang H., HW 3565; August Z., G 275; Eduard S., G 639; Hellmut S., G 646; Karl S., G 657.</w:t>
      </w:r>
    </w:p>
    <w:p>
      <w:bookmarkStart w:id="873" w:name="__120"/>
      <w:pPr>
        <w:pStyle w:val="Normal"/>
      </w:pPr>
      <w:r>
        <w:t>[</w:t>
      </w:r>
      <w:hyperlink w:anchor="120">
        <w:r>
          <w:rPr>
            <w:rStyle w:val="Text1"/>
          </w:rPr>
          <w:t>←120</w:t>
        </w:r>
      </w:hyperlink>
      <w:r>
        <w:t xml:space="preserve"> ] </w:t>
      </w:r>
      <w:bookmarkEnd w:id="873"/>
    </w:p>
    <w:p>
      <w:pPr>
        <w:pStyle w:val="Para 01"/>
      </w:pPr>
      <w:r>
        <w:t>Georg G., HW 2182.</w:t>
      </w:r>
    </w:p>
    <w:p>
      <w:bookmarkStart w:id="874" w:name="__121"/>
      <w:pPr>
        <w:pStyle w:val="Normal"/>
      </w:pPr>
      <w:r>
        <w:t>[</w:t>
      </w:r>
      <w:hyperlink w:anchor="121">
        <w:r>
          <w:rPr>
            <w:rStyle w:val="Text1"/>
          </w:rPr>
          <w:t>←121</w:t>
        </w:r>
      </w:hyperlink>
      <w:r>
        <w:t xml:space="preserve"> ] </w:t>
      </w:r>
      <w:bookmarkEnd w:id="874"/>
    </w:p>
    <w:p>
      <w:pPr>
        <w:pStyle w:val="Para 01"/>
      </w:pPr>
      <w:r>
        <w:t>Hellmut S., G 647.</w:t>
      </w:r>
    </w:p>
    <w:p>
      <w:bookmarkStart w:id="875" w:name="__122"/>
      <w:pPr>
        <w:pStyle w:val="Normal"/>
      </w:pPr>
      <w:r>
        <w:t>[</w:t>
      </w:r>
      <w:hyperlink w:anchor="122">
        <w:r>
          <w:rPr>
            <w:rStyle w:val="Text1"/>
          </w:rPr>
          <w:t>←122</w:t>
        </w:r>
      </w:hyperlink>
      <w:r>
        <w:t xml:space="preserve"> ] </w:t>
      </w:r>
      <w:bookmarkEnd w:id="875"/>
    </w:p>
    <w:p>
      <w:pPr>
        <w:pStyle w:val="Para 01"/>
      </w:pPr>
      <w:r>
        <w:t>Friedrich E., HW 1356.</w:t>
      </w:r>
    </w:p>
    <w:p>
      <w:bookmarkStart w:id="876" w:name="__123"/>
      <w:pPr>
        <w:pStyle w:val="Normal"/>
      </w:pPr>
      <w:r>
        <w:t>[</w:t>
      </w:r>
      <w:hyperlink w:anchor="123">
        <w:r>
          <w:rPr>
            <w:rStyle w:val="Text1"/>
          </w:rPr>
          <w:t>←123</w:t>
        </w:r>
      </w:hyperlink>
      <w:r>
        <w:t xml:space="preserve"> ] </w:t>
      </w:r>
      <w:bookmarkEnd w:id="876"/>
    </w:p>
    <w:p>
      <w:pPr>
        <w:pStyle w:val="Para 01"/>
      </w:pPr>
      <w:r>
        <w:t>Bruno R., HW 1852.</w:t>
      </w:r>
    </w:p>
    <w:p>
      <w:bookmarkStart w:id="877" w:name="__124"/>
      <w:pPr>
        <w:pStyle w:val="Normal"/>
      </w:pPr>
      <w:r>
        <w:t>[</w:t>
      </w:r>
      <w:hyperlink w:anchor="124">
        <w:r>
          <w:rPr>
            <w:rStyle w:val="Text1"/>
          </w:rPr>
          <w:t>←124</w:t>
        </w:r>
      </w:hyperlink>
      <w:r>
        <w:t xml:space="preserve"> ] </w:t>
      </w:r>
      <w:bookmarkEnd w:id="877"/>
    </w:p>
    <w:p>
      <w:pPr>
        <w:pStyle w:val="Para 01"/>
      </w:pPr>
      <w:r>
        <w:t>Harry L., G 223.</w:t>
      </w:r>
    </w:p>
    <w:p>
      <w:bookmarkStart w:id="878" w:name="__125"/>
      <w:pPr>
        <w:pStyle w:val="Normal"/>
      </w:pPr>
      <w:r>
        <w:t>[</w:t>
      </w:r>
      <w:hyperlink w:anchor="125">
        <w:r>
          <w:rPr>
            <w:rStyle w:val="Text1"/>
          </w:rPr>
          <w:t>←125</w:t>
        </w:r>
      </w:hyperlink>
      <w:r>
        <w:t xml:space="preserve"> ] </w:t>
      </w:r>
      <w:bookmarkEnd w:id="878"/>
    </w:p>
    <w:p>
      <w:pPr>
        <w:pStyle w:val="Para 01"/>
      </w:pPr>
      <w:r>
        <w:t>Ernst G., G 383.</w:t>
      </w:r>
    </w:p>
    <w:p>
      <w:bookmarkStart w:id="879" w:name="__126"/>
      <w:pPr>
        <w:pStyle w:val="Normal"/>
      </w:pPr>
      <w:r>
        <w:t>[</w:t>
      </w:r>
      <w:hyperlink w:anchor="126">
        <w:r>
          <w:rPr>
            <w:rStyle w:val="Text1"/>
          </w:rPr>
          <w:t>←126</w:t>
        </w:r>
      </w:hyperlink>
      <w:r>
        <w:t xml:space="preserve"> ] </w:t>
      </w:r>
      <w:bookmarkEnd w:id="879"/>
    </w:p>
    <w:p>
      <w:pPr>
        <w:pStyle w:val="Para 01"/>
      </w:pPr>
      <w:r>
        <w:t>Hans Kl. G 363.</w:t>
      </w:r>
    </w:p>
    <w:p>
      <w:bookmarkStart w:id="880" w:name="__127"/>
      <w:pPr>
        <w:pStyle w:val="Normal"/>
      </w:pPr>
      <w:r>
        <w:t>[</w:t>
      </w:r>
      <w:hyperlink w:anchor="127">
        <w:r>
          <w:rPr>
            <w:rStyle w:val="Text1"/>
          </w:rPr>
          <w:t>←127</w:t>
        </w:r>
      </w:hyperlink>
      <w:r>
        <w:t xml:space="preserve"> ] </w:t>
      </w:r>
      <w:bookmarkEnd w:id="880"/>
    </w:p>
    <w:p>
      <w:pPr>
        <w:pStyle w:val="Para 01"/>
      </w:pPr>
      <w:r>
        <w:t>Oskar P., HW 1743.</w:t>
      </w:r>
    </w:p>
    <w:p>
      <w:bookmarkStart w:id="881" w:name="__128"/>
      <w:pPr>
        <w:pStyle w:val="Normal"/>
      </w:pPr>
      <w:r>
        <w:t>[</w:t>
      </w:r>
      <w:hyperlink w:anchor="128">
        <w:r>
          <w:rPr>
            <w:rStyle w:val="Text1"/>
          </w:rPr>
          <w:t>←128</w:t>
        </w:r>
      </w:hyperlink>
      <w:r>
        <w:t xml:space="preserve"> ] </w:t>
      </w:r>
      <w:bookmarkEnd w:id="881"/>
    </w:p>
    <w:p>
      <w:pPr>
        <w:pStyle w:val="Para 01"/>
      </w:pPr>
      <w:r>
        <w:t>Erwin G., HW 2503.</w:t>
      </w:r>
    </w:p>
    <w:p>
      <w:bookmarkStart w:id="882" w:name="__129"/>
      <w:pPr>
        <w:pStyle w:val="Normal"/>
      </w:pPr>
      <w:r>
        <w:t>[</w:t>
      </w:r>
      <w:hyperlink w:anchor="129">
        <w:r>
          <w:rPr>
            <w:rStyle w:val="Text1"/>
          </w:rPr>
          <w:t>←129</w:t>
        </w:r>
      </w:hyperlink>
      <w:r>
        <w:t xml:space="preserve"> ] </w:t>
      </w:r>
      <w:bookmarkEnd w:id="882"/>
    </w:p>
    <w:p>
      <w:pPr>
        <w:pStyle w:val="Para 01"/>
      </w:pPr>
      <w:r>
        <w:t>Georg K., HW 2633; Karl S., G 657.</w:t>
      </w:r>
    </w:p>
    <w:p>
      <w:bookmarkStart w:id="883" w:name="__130"/>
      <w:pPr>
        <w:pStyle w:val="Normal"/>
      </w:pPr>
      <w:r>
        <w:t>[</w:t>
      </w:r>
      <w:hyperlink w:anchor="130">
        <w:r>
          <w:rPr>
            <w:rStyle w:val="Text1"/>
          </w:rPr>
          <w:t>←130</w:t>
        </w:r>
      </w:hyperlink>
      <w:r>
        <w:t xml:space="preserve"> ] </w:t>
      </w:r>
      <w:bookmarkEnd w:id="883"/>
    </w:p>
    <w:p>
      <w:pPr>
        <w:pStyle w:val="Para 01"/>
      </w:pPr>
      <w:r>
        <w:t xml:space="preserve">Wilhelm K., HW 1769; Friedrich Bm., HW 2091; Ernst Hn., G 506. </w:t>
        <w:t xml:space="preserve">За другими показаниями об обыске смотри Max D., HW 1345-46; Alfred L., HW </w:t>
        <w:t>135</w:t>
        <w:t>1; Fried</w:t>
        <w:t>e</w:t>
        <w:t xml:space="preserve">rick V., HW 1539; Friedrich B., HW 1579; Bruno D., HW </w:t>
        <w:t>18</w:t>
        <w:t>75; Hermann W., HW 1947-48; Otto-Julius S., HW 1954; Bruno G., HW 2019; August W., HW 2040; Bruno R., HW 2084; Hans Kl., HW 2270; Walter Z., HW 2168-69; Anton B., HW 2687; Ernst Hr., HW 2716; Joseph P., HW 2742; August Z., G 275; Karl Z., G 318; Eduard S., G 640.</w:t>
      </w:r>
    </w:p>
    <w:p>
      <w:bookmarkStart w:id="884" w:name="__131"/>
      <w:pPr>
        <w:pStyle w:val="Normal"/>
      </w:pPr>
      <w:r>
        <w:t>[</w:t>
      </w:r>
      <w:hyperlink w:anchor="131">
        <w:r>
          <w:rPr>
            <w:rStyle w:val="Text1"/>
          </w:rPr>
          <w:t>←131</w:t>
        </w:r>
      </w:hyperlink>
      <w:r>
        <w:t xml:space="preserve"> ] </w:t>
      </w:r>
      <w:bookmarkEnd w:id="884"/>
    </w:p>
    <w:p>
      <w:pPr>
        <w:pStyle w:val="Para 01"/>
      </w:pPr>
      <w:r>
        <w:t>Friedrich B., HW 1579., Bruno G., HW 2019; August W., HW 2041.</w:t>
      </w:r>
    </w:p>
    <w:p>
      <w:bookmarkStart w:id="885" w:name="__132"/>
      <w:pPr>
        <w:pStyle w:val="Normal"/>
      </w:pPr>
      <w:r>
        <w:t>[</w:t>
      </w:r>
      <w:hyperlink w:anchor="132">
        <w:r>
          <w:rPr>
            <w:rStyle w:val="Text1"/>
          </w:rPr>
          <w:t>←132</w:t>
        </w:r>
      </w:hyperlink>
      <w:r>
        <w:t xml:space="preserve"> ] </w:t>
      </w:r>
      <w:bookmarkEnd w:id="885"/>
    </w:p>
    <w:p>
      <w:pPr>
        <w:pStyle w:val="Para 01"/>
      </w:pPr>
      <w:r>
        <w:t>Ernst Hr., HW 2716-17.</w:t>
      </w:r>
    </w:p>
    <w:p>
      <w:bookmarkStart w:id="886" w:name="__133"/>
      <w:pPr>
        <w:pStyle w:val="Normal"/>
      </w:pPr>
      <w:r>
        <w:t>[</w:t>
      </w:r>
      <w:hyperlink w:anchor="133">
        <w:r>
          <w:rPr>
            <w:rStyle w:val="Text1"/>
          </w:rPr>
          <w:t>←133</w:t>
        </w:r>
      </w:hyperlink>
      <w:r>
        <w:t xml:space="preserve"> ] </w:t>
      </w:r>
      <w:bookmarkEnd w:id="886"/>
    </w:p>
    <w:p>
      <w:pPr>
        <w:pStyle w:val="Para 01"/>
      </w:pPr>
      <w:r>
        <w:t xml:space="preserve">Walter Z., HW 2618. Для подтверждения показаний смотри Anton B., HW </w:t>
        <w:t>2688</w:t>
        <w:t>, Joseph P., HW 2742.</w:t>
      </w:r>
    </w:p>
    <w:p>
      <w:bookmarkStart w:id="887" w:name="__134"/>
      <w:pPr>
        <w:pStyle w:val="Normal"/>
      </w:pPr>
      <w:r>
        <w:t>[</w:t>
      </w:r>
      <w:hyperlink w:anchor="134">
        <w:r>
          <w:rPr>
            <w:rStyle w:val="Text1"/>
          </w:rPr>
          <w:t>←134</w:t>
        </w:r>
      </w:hyperlink>
      <w:r>
        <w:t xml:space="preserve"> ] </w:t>
      </w:r>
      <w:bookmarkEnd w:id="887"/>
    </w:p>
    <w:p>
      <w:pPr>
        <w:pStyle w:val="Para 01"/>
      </w:pPr>
      <w:r>
        <w:t>Hermann W., HW 1948.</w:t>
      </w:r>
    </w:p>
    <w:p>
      <w:bookmarkStart w:id="888" w:name="__135"/>
      <w:pPr>
        <w:pStyle w:val="Normal"/>
      </w:pPr>
      <w:r>
        <w:t>[</w:t>
      </w:r>
      <w:hyperlink w:anchor="135">
        <w:r>
          <w:rPr>
            <w:rStyle w:val="Text1"/>
          </w:rPr>
          <w:t>←135</w:t>
        </w:r>
      </w:hyperlink>
      <w:r>
        <w:t xml:space="preserve"> ] </w:t>
      </w:r>
      <w:bookmarkEnd w:id="888"/>
    </w:p>
    <w:p>
      <w:pPr>
        <w:pStyle w:val="Para 01"/>
      </w:pPr>
      <w:r>
        <w:t xml:space="preserve">Ernst Hn. G 507. Два свидетеля (Eduard S., G 642; Hellmut S., G </w:t>
        <w:t>64</w:t>
        <w:t xml:space="preserve">7) </w:t>
        <w:t>вспоминали</w:t>
        <w:t xml:space="preserve"> старшего сержанта, а не доктора.</w:t>
      </w:r>
    </w:p>
    <w:p>
      <w:bookmarkStart w:id="889" w:name="__136"/>
      <w:pPr>
        <w:pStyle w:val="Normal"/>
      </w:pPr>
      <w:r>
        <w:t>[</w:t>
      </w:r>
      <w:hyperlink w:anchor="136">
        <w:r>
          <w:rPr>
            <w:rStyle w:val="Text1"/>
          </w:rPr>
          <w:t>←136</w:t>
        </w:r>
      </w:hyperlink>
      <w:r>
        <w:t xml:space="preserve"> ] </w:t>
      </w:r>
      <w:bookmarkEnd w:id="889"/>
    </w:p>
    <w:p>
      <w:pPr>
        <w:pStyle w:val="Para 01"/>
      </w:pPr>
      <w:r>
        <w:t>August W., HW 2042.</w:t>
      </w:r>
    </w:p>
    <w:p>
      <w:bookmarkStart w:id="890" w:name="__137"/>
      <w:pPr>
        <w:pStyle w:val="Normal"/>
      </w:pPr>
      <w:r>
        <w:t>[</w:t>
      </w:r>
      <w:hyperlink w:anchor="137">
        <w:r>
          <w:rPr>
            <w:rStyle w:val="Text1"/>
          </w:rPr>
          <w:t>←137</w:t>
        </w:r>
      </w:hyperlink>
      <w:r>
        <w:t xml:space="preserve"> ] </w:t>
      </w:r>
      <w:bookmarkEnd w:id="890"/>
    </w:p>
    <w:p>
      <w:pPr>
        <w:pStyle w:val="Para 01"/>
      </w:pPr>
      <w:r>
        <w:t>Martin D., HW 1597.</w:t>
      </w:r>
    </w:p>
    <w:p>
      <w:bookmarkStart w:id="891" w:name="__138"/>
      <w:pPr>
        <w:pStyle w:val="Normal"/>
      </w:pPr>
      <w:r>
        <w:t>[</w:t>
      </w:r>
      <w:hyperlink w:anchor="138">
        <w:r>
          <w:rPr>
            <w:rStyle w:val="Text1"/>
          </w:rPr>
          <w:t>←138</w:t>
        </w:r>
      </w:hyperlink>
      <w:r>
        <w:t xml:space="preserve"> ] </w:t>
      </w:r>
      <w:bookmarkEnd w:id="891"/>
    </w:p>
    <w:p>
      <w:pPr>
        <w:pStyle w:val="Para 01"/>
      </w:pPr>
      <w:r>
        <w:t>Anton B., HW 2658-59.</w:t>
      </w:r>
    </w:p>
    <w:p>
      <w:bookmarkStart w:id="892" w:name="__139"/>
      <w:pPr>
        <w:pStyle w:val="Normal"/>
      </w:pPr>
      <w:r>
        <w:t>[</w:t>
      </w:r>
      <w:hyperlink w:anchor="139">
        <w:r>
          <w:rPr>
            <w:rStyle w:val="Text1"/>
          </w:rPr>
          <w:t>←139</w:t>
        </w:r>
      </w:hyperlink>
      <w:r>
        <w:t xml:space="preserve"> ] </w:t>
      </w:r>
      <w:bookmarkEnd w:id="892"/>
    </w:p>
    <w:p>
      <w:pPr>
        <w:pStyle w:val="Para 01"/>
      </w:pPr>
      <w:r>
        <w:t xml:space="preserve">Heinz B., HW 821-22. Ни один из допрошенных полицейских не принимал участие в эскорте, так что показания Бухмана — единственная версия о судьбе евреев. О люксембуржцах в эскорте смотри Heinrich E., HW 2167. О других показаниях отбора рабочих и их отправке из Юзефува Бухманом смотри Wilhelm K., HW 1768; Hermann W., HW 1948; Friedrich Bm., HW </w:t>
        <w:t>20</w:t>
        <w:t>92-93; Ernst Hn., G 507.</w:t>
      </w:r>
    </w:p>
    <w:p>
      <w:bookmarkStart w:id="893" w:name="__140"/>
      <w:pPr>
        <w:pStyle w:val="Normal"/>
      </w:pPr>
      <w:r>
        <w:t>[</w:t>
      </w:r>
      <w:hyperlink w:anchor="140">
        <w:r>
          <w:rPr>
            <w:rStyle w:val="Text1"/>
          </w:rPr>
          <w:t>←140</w:t>
        </w:r>
      </w:hyperlink>
      <w:r>
        <w:t xml:space="preserve"> ] </w:t>
      </w:r>
      <w:bookmarkEnd w:id="893"/>
    </w:p>
    <w:p>
      <w:pPr>
        <w:pStyle w:val="Para 01"/>
      </w:pPr>
      <w:r>
        <w:t>О показаниях стрелков из первой роты, смотри, в особенности, Friedrich B., HW 1580-81; Friedrich Bm., HW 2091-93; Ernst Hn., G 507-508; Heinrich R., G 623; Hellmut S., G 646-47; Karl S., G 658-59.</w:t>
      </w:r>
    </w:p>
    <w:p>
      <w:bookmarkStart w:id="894" w:name="__141"/>
      <w:pPr>
        <w:pStyle w:val="Normal"/>
      </w:pPr>
      <w:r>
        <w:t>[</w:t>
      </w:r>
      <w:hyperlink w:anchor="141">
        <w:r>
          <w:rPr>
            <w:rStyle w:val="Text1"/>
          </w:rPr>
          <w:t>←141</w:t>
        </w:r>
      </w:hyperlink>
      <w:r>
        <w:t xml:space="preserve"> ] </w:t>
      </w:r>
      <w:bookmarkEnd w:id="894"/>
    </w:p>
    <w:p>
      <w:pPr>
        <w:pStyle w:val="Para 01"/>
      </w:pPr>
      <w:r>
        <w:t>Paul H., HW 1648-49.</w:t>
      </w:r>
    </w:p>
    <w:p>
      <w:bookmarkStart w:id="895" w:name="__142"/>
      <w:pPr>
        <w:pStyle w:val="Normal"/>
      </w:pPr>
      <w:r>
        <w:t>[</w:t>
      </w:r>
      <w:hyperlink w:anchor="142">
        <w:r>
          <w:rPr>
            <w:rStyle w:val="Text1"/>
          </w:rPr>
          <w:t>←142</w:t>
        </w:r>
      </w:hyperlink>
      <w:r>
        <w:t xml:space="preserve"> ] </w:t>
      </w:r>
      <w:bookmarkEnd w:id="895"/>
    </w:p>
    <w:p>
      <w:pPr>
        <w:pStyle w:val="Para 01"/>
      </w:pPr>
      <w:r>
        <w:t>Heinrich H., G 453.</w:t>
      </w:r>
    </w:p>
    <w:p>
      <w:bookmarkStart w:id="896" w:name="__143"/>
      <w:pPr>
        <w:pStyle w:val="Normal"/>
      </w:pPr>
      <w:r>
        <w:t>[</w:t>
      </w:r>
      <w:hyperlink w:anchor="143">
        <w:r>
          <w:rPr>
            <w:rStyle w:val="Text1"/>
          </w:rPr>
          <w:t>←143</w:t>
        </w:r>
      </w:hyperlink>
      <w:r>
        <w:t xml:space="preserve"> ] </w:t>
      </w:r>
      <w:bookmarkEnd w:id="896"/>
    </w:p>
    <w:p>
      <w:pPr>
        <w:pStyle w:val="Para 01"/>
      </w:pPr>
      <w:r>
        <w:t>Wilhelm I., HW 2237.</w:t>
      </w:r>
    </w:p>
    <w:p>
      <w:bookmarkStart w:id="897" w:name="__144"/>
      <w:pPr>
        <w:pStyle w:val="Normal"/>
      </w:pPr>
      <w:r>
        <w:t>[</w:t>
      </w:r>
      <w:hyperlink w:anchor="144">
        <w:r>
          <w:rPr>
            <w:rStyle w:val="Text1"/>
          </w:rPr>
          <w:t>←144</w:t>
        </w:r>
      </w:hyperlink>
      <w:r>
        <w:t xml:space="preserve"> ] </w:t>
      </w:r>
      <w:bookmarkEnd w:id="897"/>
    </w:p>
    <w:p>
      <w:pPr>
        <w:pStyle w:val="Para 01"/>
      </w:pPr>
      <w:r>
        <w:t>Friedrich Bm., HW 2092.</w:t>
      </w:r>
    </w:p>
    <w:p>
      <w:bookmarkStart w:id="898" w:name="__145"/>
      <w:pPr>
        <w:pStyle w:val="Normal"/>
      </w:pPr>
      <w:r>
        <w:t>[</w:t>
      </w:r>
      <w:hyperlink w:anchor="145">
        <w:r>
          <w:rPr>
            <w:rStyle w:val="Text1"/>
          </w:rPr>
          <w:t>←145</w:t>
        </w:r>
      </w:hyperlink>
      <w:r>
        <w:t xml:space="preserve"> ] </w:t>
      </w:r>
      <w:bookmarkEnd w:id="898"/>
    </w:p>
    <w:p>
      <w:pPr>
        <w:pStyle w:val="Para 01"/>
      </w:pPr>
      <w:r>
        <w:t>Hellmut S., G 647.</w:t>
      </w:r>
    </w:p>
    <w:p>
      <w:bookmarkStart w:id="899" w:name="__146"/>
      <w:pPr>
        <w:pStyle w:val="Normal"/>
      </w:pPr>
      <w:r>
        <w:t>[</w:t>
      </w:r>
      <w:hyperlink w:anchor="146">
        <w:r>
          <w:rPr>
            <w:rStyle w:val="Text1"/>
          </w:rPr>
          <w:t>←146</w:t>
        </w:r>
      </w:hyperlink>
      <w:r>
        <w:t xml:space="preserve"> ] </w:t>
      </w:r>
      <w:bookmarkEnd w:id="899"/>
    </w:p>
    <w:p>
      <w:pPr>
        <w:pStyle w:val="Para 01"/>
      </w:pPr>
      <w:r>
        <w:t>Heinrich Bl., HW 462.</w:t>
      </w:r>
    </w:p>
    <w:p>
      <w:bookmarkStart w:id="900" w:name="__147"/>
      <w:pPr>
        <w:pStyle w:val="Normal"/>
      </w:pPr>
      <w:r>
        <w:t>[</w:t>
      </w:r>
      <w:hyperlink w:anchor="147">
        <w:r>
          <w:rPr>
            <w:rStyle w:val="Text1"/>
          </w:rPr>
          <w:t>←147</w:t>
        </w:r>
      </w:hyperlink>
      <w:r>
        <w:t xml:space="preserve"> ] </w:t>
      </w:r>
      <w:bookmarkEnd w:id="900"/>
    </w:p>
    <w:p>
      <w:pPr>
        <w:pStyle w:val="Para 01"/>
      </w:pPr>
      <w:r>
        <w:t>Hermann W., HW 1948.</w:t>
      </w:r>
    </w:p>
    <w:p>
      <w:bookmarkStart w:id="901" w:name="__148"/>
      <w:pPr>
        <w:pStyle w:val="Normal"/>
      </w:pPr>
      <w:r>
        <w:t>[</w:t>
      </w:r>
      <w:hyperlink w:anchor="148">
        <w:r>
          <w:rPr>
            <w:rStyle w:val="Text1"/>
          </w:rPr>
          <w:t>←148</w:t>
        </w:r>
      </w:hyperlink>
      <w:r>
        <w:t xml:space="preserve"> ] </w:t>
      </w:r>
      <w:bookmarkEnd w:id="901"/>
    </w:p>
    <w:p>
      <w:pPr>
        <w:pStyle w:val="Para 01"/>
      </w:pPr>
      <w:r>
        <w:t>Alfred L., HW 1351.</w:t>
      </w:r>
    </w:p>
    <w:p>
      <w:bookmarkStart w:id="902" w:name="__149"/>
      <w:pPr>
        <w:pStyle w:val="Normal"/>
      </w:pPr>
      <w:r>
        <w:t>[</w:t>
      </w:r>
      <w:hyperlink w:anchor="149">
        <w:r>
          <w:rPr>
            <w:rStyle w:val="Text1"/>
          </w:rPr>
          <w:t>←149</w:t>
        </w:r>
      </w:hyperlink>
      <w:r>
        <w:t xml:space="preserve"> ] </w:t>
      </w:r>
      <w:bookmarkEnd w:id="902"/>
    </w:p>
    <w:p>
      <w:pPr>
        <w:pStyle w:val="Para 01"/>
      </w:pPr>
      <w:r>
        <w:t>Bruno R., HW 1852.</w:t>
      </w:r>
    </w:p>
    <w:p>
      <w:bookmarkStart w:id="903" w:name="__150"/>
      <w:pPr>
        <w:pStyle w:val="Normal"/>
      </w:pPr>
      <w:r>
        <w:t>[</w:t>
      </w:r>
      <w:hyperlink w:anchor="150">
        <w:r>
          <w:rPr>
            <w:rStyle w:val="Text1"/>
          </w:rPr>
          <w:t>←150</w:t>
        </w:r>
      </w:hyperlink>
      <w:r>
        <w:t xml:space="preserve"> ] </w:t>
      </w:r>
      <w:bookmarkEnd w:id="903"/>
    </w:p>
    <w:p>
      <w:pPr>
        <w:pStyle w:val="Para 01"/>
      </w:pPr>
      <w:r>
        <w:t>Erwin N., HW 1686.</w:t>
      </w:r>
    </w:p>
    <w:p>
      <w:bookmarkStart w:id="904" w:name="__151"/>
      <w:pPr>
        <w:pStyle w:val="Normal"/>
      </w:pPr>
      <w:r>
        <w:t>[</w:t>
      </w:r>
      <w:hyperlink w:anchor="151">
        <w:r>
          <w:rPr>
            <w:rStyle w:val="Text1"/>
          </w:rPr>
          <w:t>←151</w:t>
        </w:r>
      </w:hyperlink>
      <w:r>
        <w:t xml:space="preserve"> ] </w:t>
      </w:r>
      <w:bookmarkEnd w:id="904"/>
    </w:p>
    <w:p>
      <w:pPr>
        <w:pStyle w:val="Para 01"/>
      </w:pPr>
      <w:r>
        <w:t>Bruno D., HW 1870; Anton B., HW 4347; Wilhelm Gb., HW 4363; Paul M., G 202;</w:t>
      </w:r>
    </w:p>
    <w:p>
      <w:bookmarkStart w:id="905" w:name="__152"/>
      <w:pPr>
        <w:pStyle w:val="Normal"/>
      </w:pPr>
      <w:r>
        <w:t>[</w:t>
      </w:r>
      <w:hyperlink w:anchor="152">
        <w:r>
          <w:rPr>
            <w:rStyle w:val="Text1"/>
          </w:rPr>
          <w:t>←152</w:t>
        </w:r>
      </w:hyperlink>
      <w:r>
        <w:t xml:space="preserve"> ] </w:t>
      </w:r>
      <w:bookmarkEnd w:id="905"/>
    </w:p>
    <w:p>
      <w:pPr>
        <w:pStyle w:val="Para 01"/>
      </w:pPr>
      <w:r>
        <w:t>Ernst Hr., HW 2717.</w:t>
      </w:r>
    </w:p>
    <w:p>
      <w:bookmarkStart w:id="906" w:name="__153"/>
      <w:pPr>
        <w:pStyle w:val="Normal"/>
      </w:pPr>
      <w:r>
        <w:t>[</w:t>
      </w:r>
      <w:hyperlink w:anchor="153">
        <w:r>
          <w:rPr>
            <w:rStyle w:val="Text1"/>
          </w:rPr>
          <w:t>←153</w:t>
        </w:r>
      </w:hyperlink>
      <w:r>
        <w:t xml:space="preserve"> ] </w:t>
      </w:r>
      <w:bookmarkEnd w:id="906"/>
    </w:p>
    <w:p>
      <w:pPr>
        <w:pStyle w:val="Para 01"/>
      </w:pPr>
      <w:r>
        <w:t>Erwin G., HW 1640, 2505.</w:t>
      </w:r>
    </w:p>
    <w:p>
      <w:bookmarkStart w:id="907" w:name="__154"/>
      <w:pPr>
        <w:pStyle w:val="Normal"/>
      </w:pPr>
      <w:r>
        <w:t>[</w:t>
      </w:r>
      <w:hyperlink w:anchor="154">
        <w:r>
          <w:rPr>
            <w:rStyle w:val="Text1"/>
          </w:rPr>
          <w:t>←154</w:t>
        </w:r>
      </w:hyperlink>
      <w:r>
        <w:t xml:space="preserve"> ] </w:t>
      </w:r>
      <w:bookmarkEnd w:id="907"/>
    </w:p>
    <w:p>
      <w:pPr>
        <w:pStyle w:val="Para 01"/>
      </w:pPr>
      <w:r>
        <w:t>Friedrich Bm., HW 2092.</w:t>
      </w:r>
    </w:p>
    <w:p>
      <w:bookmarkStart w:id="908" w:name="__155"/>
      <w:pPr>
        <w:pStyle w:val="Normal"/>
      </w:pPr>
      <w:r>
        <w:t>[</w:t>
      </w:r>
      <w:hyperlink w:anchor="155">
        <w:r>
          <w:rPr>
            <w:rStyle w:val="Text1"/>
          </w:rPr>
          <w:t>←155</w:t>
        </w:r>
      </w:hyperlink>
      <w:r>
        <w:t xml:space="preserve"> ] </w:t>
      </w:r>
      <w:bookmarkEnd w:id="908"/>
    </w:p>
    <w:p>
      <w:pPr>
        <w:pStyle w:val="Para 01"/>
      </w:pPr>
      <w:r>
        <w:t>Wilhelm Gb., HW 2</w:t>
        <w:t>149</w:t>
        <w:t>.</w:t>
      </w:r>
    </w:p>
    <w:p>
      <w:bookmarkStart w:id="909" w:name="__156"/>
      <w:pPr>
        <w:pStyle w:val="Normal"/>
      </w:pPr>
      <w:r>
        <w:t>[</w:t>
      </w:r>
      <w:hyperlink w:anchor="156">
        <w:r>
          <w:rPr>
            <w:rStyle w:val="Text1"/>
          </w:rPr>
          <w:t>←156</w:t>
        </w:r>
      </w:hyperlink>
      <w:r>
        <w:t xml:space="preserve"> ] </w:t>
      </w:r>
      <w:bookmarkEnd w:id="909"/>
    </w:p>
    <w:p>
      <w:pPr>
        <w:pStyle w:val="Para 01"/>
      </w:pPr>
      <w:r>
        <w:t>Ernst Hr., HW 2718.</w:t>
      </w:r>
    </w:p>
    <w:p>
      <w:bookmarkStart w:id="910" w:name="__157"/>
      <w:pPr>
        <w:pStyle w:val="Normal"/>
      </w:pPr>
      <w:r>
        <w:t>[</w:t>
      </w:r>
      <w:hyperlink w:anchor="157">
        <w:r>
          <w:rPr>
            <w:rStyle w:val="Text1"/>
          </w:rPr>
          <w:t>←157</w:t>
        </w:r>
      </w:hyperlink>
      <w:r>
        <w:t xml:space="preserve"> ] </w:t>
      </w:r>
      <w:bookmarkEnd w:id="910"/>
    </w:p>
    <w:p>
      <w:pPr>
        <w:pStyle w:val="Para 01"/>
      </w:pPr>
      <w:r>
        <w:t>Wilhelm Gb., HW 2538.</w:t>
      </w:r>
    </w:p>
    <w:p>
      <w:bookmarkStart w:id="911" w:name="__158"/>
      <w:pPr>
        <w:pStyle w:val="Normal"/>
      </w:pPr>
      <w:r>
        <w:t>[</w:t>
      </w:r>
      <w:hyperlink w:anchor="158">
        <w:r>
          <w:rPr>
            <w:rStyle w:val="Text1"/>
          </w:rPr>
          <w:t>←158</w:t>
        </w:r>
      </w:hyperlink>
      <w:r>
        <w:t xml:space="preserve"> ] </w:t>
      </w:r>
      <w:bookmarkEnd w:id="911"/>
    </w:p>
    <w:p>
      <w:pPr>
        <w:pStyle w:val="Para 01"/>
      </w:pPr>
      <w:r>
        <w:t>Ernst Hr., HW 2719.</w:t>
      </w:r>
    </w:p>
    <w:p>
      <w:bookmarkStart w:id="912" w:name="__159"/>
      <w:pPr>
        <w:pStyle w:val="Normal"/>
      </w:pPr>
      <w:r>
        <w:t>[</w:t>
      </w:r>
      <w:hyperlink w:anchor="159">
        <w:r>
          <w:rPr>
            <w:rStyle w:val="Text1"/>
          </w:rPr>
          <w:t>←159</w:t>
        </w:r>
      </w:hyperlink>
      <w:r>
        <w:t xml:space="preserve"> ] </w:t>
      </w:r>
      <w:bookmarkEnd w:id="912"/>
    </w:p>
    <w:p>
      <w:pPr>
        <w:pStyle w:val="Para 01"/>
      </w:pPr>
      <w:r>
        <w:t>Ernst Hr., HW 2720.</w:t>
      </w:r>
    </w:p>
    <w:p>
      <w:bookmarkStart w:id="913" w:name="__160"/>
      <w:pPr>
        <w:pStyle w:val="Normal"/>
      </w:pPr>
      <w:r>
        <w:t>[</w:t>
      </w:r>
      <w:hyperlink w:anchor="160">
        <w:r>
          <w:rPr>
            <w:rStyle w:val="Text1"/>
          </w:rPr>
          <w:t>←160</w:t>
        </w:r>
      </w:hyperlink>
      <w:r>
        <w:t xml:space="preserve"> ] </w:t>
      </w:r>
      <w:bookmarkEnd w:id="913"/>
    </w:p>
    <w:p>
      <w:pPr>
        <w:pStyle w:val="Para 01"/>
      </w:pPr>
      <w:r>
        <w:t>Wilhelm Gb., HW 2539, 2149.</w:t>
      </w:r>
    </w:p>
    <w:p>
      <w:bookmarkStart w:id="914" w:name="__161"/>
      <w:pPr>
        <w:pStyle w:val="Normal"/>
      </w:pPr>
      <w:r>
        <w:t>[</w:t>
      </w:r>
      <w:hyperlink w:anchor="161">
        <w:r>
          <w:rPr>
            <w:rStyle w:val="Text1"/>
          </w:rPr>
          <w:t>←161</w:t>
        </w:r>
      </w:hyperlink>
      <w:r>
        <w:t xml:space="preserve"> ] </w:t>
      </w:r>
      <w:bookmarkEnd w:id="914"/>
    </w:p>
    <w:p>
      <w:pPr>
        <w:pStyle w:val="Para 01"/>
      </w:pPr>
      <w:r>
        <w:t>Erwin G., HW 1639-40, 2504; Alfred B., HW 2518.</w:t>
      </w:r>
    </w:p>
    <w:p>
      <w:bookmarkStart w:id="915" w:name="__162"/>
      <w:pPr>
        <w:pStyle w:val="Normal"/>
      </w:pPr>
      <w:r>
        <w:t>[</w:t>
      </w:r>
      <w:hyperlink w:anchor="162">
        <w:r>
          <w:rPr>
            <w:rStyle w:val="Text1"/>
          </w:rPr>
          <w:t>←162</w:t>
        </w:r>
      </w:hyperlink>
      <w:r>
        <w:t xml:space="preserve"> ] </w:t>
      </w:r>
      <w:bookmarkEnd w:id="915"/>
    </w:p>
    <w:p>
      <w:pPr>
        <w:pStyle w:val="Para 01"/>
      </w:pPr>
      <w:r>
        <w:t>Anton B., HW 4348. Так же смотри Max D., HW 2536.</w:t>
      </w:r>
    </w:p>
    <w:p>
      <w:bookmarkStart w:id="916" w:name="__163"/>
      <w:pPr>
        <w:pStyle w:val="Normal"/>
      </w:pPr>
      <w:r>
        <w:t>[</w:t>
      </w:r>
      <w:hyperlink w:anchor="163">
        <w:r>
          <w:rPr>
            <w:rStyle w:val="Text1"/>
          </w:rPr>
          <w:t>←163</w:t>
        </w:r>
      </w:hyperlink>
      <w:r>
        <w:t xml:space="preserve"> ] </w:t>
      </w:r>
      <w:bookmarkEnd w:id="916"/>
    </w:p>
    <w:p>
      <w:pPr>
        <w:pStyle w:val="Para 01"/>
      </w:pPr>
      <w:r>
        <w:t>Walter Z., HW 2619-20; Erwin G., HW 4345.</w:t>
      </w:r>
    </w:p>
    <w:p>
      <w:bookmarkStart w:id="917" w:name="__164"/>
      <w:pPr>
        <w:pStyle w:val="Normal"/>
      </w:pPr>
      <w:r>
        <w:t>[</w:t>
      </w:r>
      <w:hyperlink w:anchor="164">
        <w:r>
          <w:rPr>
            <w:rStyle w:val="Text1"/>
          </w:rPr>
          <w:t>←164</w:t>
        </w:r>
      </w:hyperlink>
      <w:r>
        <w:t xml:space="preserve"> ] </w:t>
      </w:r>
      <w:bookmarkEnd w:id="917"/>
    </w:p>
    <w:p>
      <w:pPr>
        <w:pStyle w:val="Para 01"/>
      </w:pPr>
      <w:r>
        <w:t>Heinrich S., HW 1567, 4364; Georg K., HW 2634.</w:t>
      </w:r>
    </w:p>
    <w:p>
      <w:bookmarkStart w:id="918" w:name="__165"/>
      <w:pPr>
        <w:pStyle w:val="Normal"/>
      </w:pPr>
      <w:r>
        <w:t>[</w:t>
      </w:r>
      <w:hyperlink w:anchor="165">
        <w:r>
          <w:rPr>
            <w:rStyle w:val="Text1"/>
          </w:rPr>
          <w:t>←165</w:t>
        </w:r>
      </w:hyperlink>
      <w:r>
        <w:t xml:space="preserve"> ] </w:t>
      </w:r>
      <w:bookmarkEnd w:id="918"/>
    </w:p>
    <w:p>
      <w:pPr>
        <w:pStyle w:val="Para 01"/>
      </w:pPr>
      <w:r>
        <w:t>Joseph P., HW 2743-45.</w:t>
      </w:r>
    </w:p>
    <w:p>
      <w:bookmarkStart w:id="919" w:name="__166"/>
      <w:pPr>
        <w:pStyle w:val="Normal"/>
      </w:pPr>
      <w:r>
        <w:t>[</w:t>
      </w:r>
      <w:hyperlink w:anchor="166">
        <w:r>
          <w:rPr>
            <w:rStyle w:val="Text1"/>
          </w:rPr>
          <w:t>←166</w:t>
        </w:r>
      </w:hyperlink>
      <w:r>
        <w:t xml:space="preserve"> ] </w:t>
      </w:r>
      <w:bookmarkEnd w:id="919"/>
    </w:p>
    <w:p>
      <w:pPr>
        <w:pStyle w:val="Para 01"/>
      </w:pPr>
      <w:r>
        <w:t>Paul M., G 206-7.</w:t>
      </w:r>
    </w:p>
    <w:p>
      <w:bookmarkStart w:id="920" w:name="__167"/>
      <w:pPr>
        <w:pStyle w:val="Normal"/>
      </w:pPr>
      <w:r>
        <w:t>[</w:t>
      </w:r>
      <w:hyperlink w:anchor="167">
        <w:r>
          <w:rPr>
            <w:rStyle w:val="Text1"/>
          </w:rPr>
          <w:t>←167</w:t>
        </w:r>
      </w:hyperlink>
      <w:r>
        <w:t xml:space="preserve"> ] </w:t>
      </w:r>
      <w:bookmarkEnd w:id="920"/>
    </w:p>
    <w:p>
      <w:pPr>
        <w:pStyle w:val="Para 01"/>
      </w:pPr>
      <w:r>
        <w:t>Gusta</w:t>
        <w:t>v</w:t>
        <w:t xml:space="preserve"> M., G 168.</w:t>
      </w:r>
    </w:p>
    <w:p>
      <w:bookmarkStart w:id="921" w:name="__168"/>
      <w:pPr>
        <w:pStyle w:val="Normal"/>
      </w:pPr>
      <w:r>
        <w:t>[</w:t>
      </w:r>
      <w:hyperlink w:anchor="168">
        <w:r>
          <w:rPr>
            <w:rStyle w:val="Text1"/>
          </w:rPr>
          <w:t>←168</w:t>
        </w:r>
      </w:hyperlink>
      <w:r>
        <w:t xml:space="preserve"> ] </w:t>
      </w:r>
      <w:bookmarkEnd w:id="921"/>
    </w:p>
    <w:p>
      <w:pPr>
        <w:pStyle w:val="Para 01"/>
      </w:pPr>
      <w:r>
        <w:t>Hans D., HW 1336, 3542.</w:t>
      </w:r>
    </w:p>
    <w:p>
      <w:bookmarkStart w:id="922" w:name="__169"/>
      <w:pPr>
        <w:pStyle w:val="Normal"/>
      </w:pPr>
      <w:r>
        <w:t>[</w:t>
      </w:r>
      <w:hyperlink w:anchor="169">
        <w:r>
          <w:rPr>
            <w:rStyle w:val="Text1"/>
          </w:rPr>
          <w:t>←169</w:t>
        </w:r>
      </w:hyperlink>
      <w:r>
        <w:t xml:space="preserve"> ] </w:t>
      </w:r>
      <w:bookmarkEnd w:id="922"/>
    </w:p>
    <w:p>
      <w:pPr>
        <w:pStyle w:val="Para 01"/>
      </w:pPr>
      <w:r>
        <w:t>Walter N ., HW 3926, G 230.</w:t>
      </w:r>
    </w:p>
    <w:p>
      <w:bookmarkStart w:id="923" w:name="__170"/>
      <w:pPr>
        <w:pStyle w:val="Normal"/>
      </w:pPr>
      <w:r>
        <w:t>[</w:t>
      </w:r>
      <w:hyperlink w:anchor="170">
        <w:r>
          <w:rPr>
            <w:rStyle w:val="Text1"/>
          </w:rPr>
          <w:t>←170</w:t>
        </w:r>
      </w:hyperlink>
      <w:r>
        <w:t xml:space="preserve"> ] </w:t>
      </w:r>
      <w:bookmarkEnd w:id="923"/>
    </w:p>
    <w:p>
      <w:pPr>
        <w:pStyle w:val="Para 01"/>
      </w:pPr>
      <w:r>
        <w:t>August Z., G 277.</w:t>
      </w:r>
    </w:p>
    <w:p>
      <w:bookmarkStart w:id="924" w:name="__171"/>
      <w:pPr>
        <w:pStyle w:val="Normal"/>
      </w:pPr>
      <w:r>
        <w:t>[</w:t>
      </w:r>
      <w:hyperlink w:anchor="171">
        <w:r>
          <w:rPr>
            <w:rStyle w:val="Text1"/>
          </w:rPr>
          <w:t>←171</w:t>
        </w:r>
      </w:hyperlink>
      <w:r>
        <w:t xml:space="preserve"> ] </w:t>
      </w:r>
      <w:bookmarkEnd w:id="924"/>
    </w:p>
    <w:p>
      <w:pPr>
        <w:pStyle w:val="Para 01"/>
      </w:pPr>
      <w:r>
        <w:t>Georg K., HW 2634.</w:t>
      </w:r>
    </w:p>
    <w:p>
      <w:bookmarkStart w:id="925" w:name="__172"/>
      <w:pPr>
        <w:pStyle w:val="Normal"/>
      </w:pPr>
      <w:r>
        <w:t>[</w:t>
      </w:r>
      <w:hyperlink w:anchor="172">
        <w:r>
          <w:rPr>
            <w:rStyle w:val="Text1"/>
          </w:rPr>
          <w:t>←172</w:t>
        </w:r>
      </w:hyperlink>
      <w:r>
        <w:t xml:space="preserve"> ] </w:t>
      </w:r>
      <w:bookmarkEnd w:id="925"/>
    </w:p>
    <w:p>
      <w:pPr>
        <w:pStyle w:val="Para 01"/>
      </w:pPr>
      <w:r>
        <w:t>Otto-Julius S., HW 4579; Fr</w:t>
        <w:t>i</w:t>
        <w:t>ederick V., HW 1540.</w:t>
      </w:r>
    </w:p>
    <w:p>
      <w:bookmarkStart w:id="926" w:name="__173"/>
      <w:pPr>
        <w:pStyle w:val="Normal"/>
      </w:pPr>
      <w:r>
        <w:t>[</w:t>
      </w:r>
      <w:hyperlink w:anchor="173">
        <w:r>
          <w:rPr>
            <w:rStyle w:val="Text1"/>
          </w:rPr>
          <w:t>←173</w:t>
        </w:r>
      </w:hyperlink>
      <w:r>
        <w:t xml:space="preserve"> ] </w:t>
      </w:r>
      <w:bookmarkEnd w:id="926"/>
    </w:p>
    <w:p>
      <w:pPr>
        <w:pStyle w:val="Para 01"/>
      </w:pPr>
      <w:r>
        <w:t>Rudolf B., HW 2434, 2951, 4357.</w:t>
      </w:r>
    </w:p>
    <w:p>
      <w:bookmarkStart w:id="927" w:name="__174"/>
      <w:pPr>
        <w:pStyle w:val="Normal"/>
      </w:pPr>
      <w:r>
        <w:t>[</w:t>
      </w:r>
      <w:hyperlink w:anchor="174">
        <w:r>
          <w:rPr>
            <w:rStyle w:val="Text1"/>
          </w:rPr>
          <w:t>←174</w:t>
        </w:r>
      </w:hyperlink>
      <w:r>
        <w:t xml:space="preserve"> ] </w:t>
      </w:r>
      <w:bookmarkEnd w:id="927"/>
    </w:p>
    <w:p>
      <w:pPr>
        <w:pStyle w:val="Para 01"/>
      </w:pPr>
      <w:r>
        <w:t>Franz K., HW 2483-86.</w:t>
      </w:r>
    </w:p>
    <w:p>
      <w:bookmarkStart w:id="928" w:name="__175"/>
      <w:pPr>
        <w:pStyle w:val="Normal"/>
      </w:pPr>
      <w:r>
        <w:t>[</w:t>
      </w:r>
      <w:hyperlink w:anchor="175">
        <w:r>
          <w:rPr>
            <w:rStyle w:val="Text1"/>
          </w:rPr>
          <w:t>←175</w:t>
        </w:r>
      </w:hyperlink>
      <w:r>
        <w:t xml:space="preserve"> ] </w:t>
      </w:r>
      <w:bookmarkEnd w:id="928"/>
    </w:p>
    <w:p>
      <w:pPr>
        <w:pStyle w:val="Para 01"/>
      </w:pPr>
      <w:r>
        <w:t>В дополнении к вышеперечисленным случаям, ещё одним полицейским, попросившим освобождения из-за нервов после нескольких раундов был Bru</w:t>
        <w:t>n</w:t>
        <w:t>o D., HW 1876, 2535, 4361.</w:t>
      </w:r>
    </w:p>
    <w:p>
      <w:bookmarkStart w:id="929" w:name="__176"/>
      <w:pPr>
        <w:pStyle w:val="Normal"/>
      </w:pPr>
      <w:r>
        <w:t>[</w:t>
      </w:r>
      <w:hyperlink w:anchor="176">
        <w:r>
          <w:rPr>
            <w:rStyle w:val="Text1"/>
          </w:rPr>
          <w:t>←176</w:t>
        </w:r>
      </w:hyperlink>
      <w:r>
        <w:t xml:space="preserve"> ] </w:t>
      </w:r>
      <w:bookmarkEnd w:id="929"/>
    </w:p>
    <w:p>
      <w:pPr>
        <w:pStyle w:val="Para 01"/>
      </w:pPr>
      <w:r>
        <w:t>Erwin G., HW 2505; подтверждено Rudolf K., HW 2646-47.</w:t>
      </w:r>
    </w:p>
    <w:p>
      <w:bookmarkStart w:id="930" w:name="__177"/>
      <w:pPr>
        <w:pStyle w:val="Normal"/>
      </w:pPr>
      <w:r>
        <w:t>[</w:t>
      </w:r>
      <w:hyperlink w:anchor="177">
        <w:r>
          <w:rPr>
            <w:rStyle w:val="Text1"/>
          </w:rPr>
          <w:t>←177</w:t>
        </w:r>
      </w:hyperlink>
      <w:r>
        <w:t xml:space="preserve"> ] </w:t>
      </w:r>
      <w:bookmarkEnd w:id="930"/>
    </w:p>
    <w:p>
      <w:pPr>
        <w:pStyle w:val="Para 01"/>
      </w:pPr>
      <w:r>
        <w:t>Anton B., HW 2691-93, 4348.</w:t>
      </w:r>
    </w:p>
    <w:p>
      <w:bookmarkStart w:id="931" w:name="__178"/>
      <w:pPr>
        <w:pStyle w:val="Normal"/>
      </w:pPr>
      <w:r>
        <w:t>[</w:t>
      </w:r>
      <w:hyperlink w:anchor="178">
        <w:r>
          <w:rPr>
            <w:rStyle w:val="Text1"/>
          </w:rPr>
          <w:t>←178</w:t>
        </w:r>
      </w:hyperlink>
      <w:r>
        <w:t xml:space="preserve"> ] </w:t>
      </w:r>
      <w:bookmarkEnd w:id="931"/>
    </w:p>
    <w:p>
      <w:pPr>
        <w:pStyle w:val="Para 01"/>
      </w:pPr>
      <w:r>
        <w:t>Willy R., HW 2085.</w:t>
      </w:r>
    </w:p>
    <w:p>
      <w:bookmarkStart w:id="932" w:name="__179"/>
      <w:pPr>
        <w:pStyle w:val="Normal"/>
      </w:pPr>
      <w:r>
        <w:t>[</w:t>
      </w:r>
      <w:hyperlink w:anchor="179">
        <w:r>
          <w:rPr>
            <w:rStyle w:val="Text1"/>
          </w:rPr>
          <w:t>←179</w:t>
        </w:r>
      </w:hyperlink>
      <w:r>
        <w:t xml:space="preserve"> ] </w:t>
      </w:r>
      <w:bookmarkEnd w:id="932"/>
    </w:p>
    <w:p>
      <w:pPr>
        <w:pStyle w:val="Para 01"/>
      </w:pPr>
      <w:r>
        <w:t>Alfred B., HW 440; Walte</w:t>
        <w:t>r</w:t>
        <w:t xml:space="preserve"> Z., HW 2621; Georg K., HW 2635, August </w:t>
        <w:t>Z</w:t>
        <w:t>., G 278.</w:t>
      </w:r>
    </w:p>
    <w:p>
      <w:bookmarkStart w:id="933" w:name="__180"/>
      <w:pPr>
        <w:pStyle w:val="Normal"/>
      </w:pPr>
      <w:r>
        <w:t>[</w:t>
      </w:r>
      <w:hyperlink w:anchor="180">
        <w:r>
          <w:rPr>
            <w:rStyle w:val="Text1"/>
          </w:rPr>
          <w:t>←180</w:t>
        </w:r>
      </w:hyperlink>
      <w:r>
        <w:t xml:space="preserve"> ] </w:t>
      </w:r>
      <w:bookmarkEnd w:id="933"/>
    </w:p>
    <w:p>
      <w:pPr>
        <w:pStyle w:val="Para 01"/>
      </w:pPr>
      <w:r>
        <w:t>Friedrich B., HW 1581.</w:t>
      </w:r>
    </w:p>
    <w:p>
      <w:bookmarkStart w:id="934" w:name="__181"/>
      <w:pPr>
        <w:pStyle w:val="Normal"/>
      </w:pPr>
      <w:r>
        <w:t>[</w:t>
      </w:r>
      <w:hyperlink w:anchor="181">
        <w:r>
          <w:rPr>
            <w:rStyle w:val="Text1"/>
          </w:rPr>
          <w:t>←181</w:t>
        </w:r>
      </w:hyperlink>
      <w:r>
        <w:t xml:space="preserve"> ] </w:t>
      </w:r>
      <w:bookmarkEnd w:id="934"/>
    </w:p>
    <w:p>
      <w:pPr>
        <w:pStyle w:val="Para 01"/>
      </w:pPr>
      <w:r>
        <w:t>Юлиус Волауф, HW 758.</w:t>
      </w:r>
    </w:p>
    <w:p>
      <w:bookmarkStart w:id="935" w:name="__182"/>
      <w:pPr>
        <w:pStyle w:val="Normal"/>
      </w:pPr>
      <w:r>
        <w:t>[</w:t>
      </w:r>
      <w:hyperlink w:anchor="182">
        <w:r>
          <w:rPr>
            <w:rStyle w:val="Text1"/>
          </w:rPr>
          <w:t>←182</w:t>
        </w:r>
      </w:hyperlink>
      <w:r>
        <w:t xml:space="preserve"> ] </w:t>
      </w:r>
      <w:bookmarkEnd w:id="935"/>
    </w:p>
    <w:p>
      <w:pPr>
        <w:pStyle w:val="Para 01"/>
      </w:pPr>
      <w:r>
        <w:t>Heinrich B., HW 2984.</w:t>
      </w:r>
    </w:p>
    <w:p>
      <w:bookmarkStart w:id="936" w:name="__183"/>
      <w:pPr>
        <w:pStyle w:val="Normal"/>
      </w:pPr>
      <w:r>
        <w:t>[</w:t>
      </w:r>
      <w:hyperlink w:anchor="183">
        <w:r>
          <w:rPr>
            <w:rStyle w:val="Text1"/>
          </w:rPr>
          <w:t>←183</w:t>
        </w:r>
      </w:hyperlink>
      <w:r>
        <w:t xml:space="preserve"> ] </w:t>
      </w:r>
      <w:bookmarkEnd w:id="936"/>
    </w:p>
    <w:p>
      <w:pPr>
        <w:pStyle w:val="Para 01"/>
      </w:pPr>
      <w:r>
        <w:t>Alfred B., HW 441.</w:t>
      </w:r>
    </w:p>
    <w:p>
      <w:bookmarkStart w:id="937" w:name="__184"/>
      <w:pPr>
        <w:pStyle w:val="Normal"/>
      </w:pPr>
      <w:r>
        <w:t>[</w:t>
      </w:r>
      <w:hyperlink w:anchor="184">
        <w:r>
          <w:rPr>
            <w:rStyle w:val="Text1"/>
          </w:rPr>
          <w:t>←184</w:t>
        </w:r>
      </w:hyperlink>
      <w:r>
        <w:t xml:space="preserve"> ] </w:t>
      </w:r>
      <w:bookmarkEnd w:id="937"/>
    </w:p>
    <w:p>
      <w:pPr>
        <w:pStyle w:val="Para 01"/>
      </w:pPr>
      <w:r>
        <w:t>August W., HW 2042.</w:t>
      </w:r>
    </w:p>
    <w:p>
      <w:bookmarkStart w:id="938" w:name="__185"/>
      <w:pPr>
        <w:pStyle w:val="Normal"/>
      </w:pPr>
      <w:r>
        <w:t>[</w:t>
      </w:r>
      <w:hyperlink w:anchor="185">
        <w:r>
          <w:rPr>
            <w:rStyle w:val="Text1"/>
          </w:rPr>
          <w:t>←185</w:t>
        </w:r>
      </w:hyperlink>
      <w:r>
        <w:t xml:space="preserve"> ] </w:t>
      </w:r>
      <w:bookmarkEnd w:id="938"/>
    </w:p>
    <w:p>
      <w:pPr>
        <w:pStyle w:val="Para 01"/>
      </w:pPr>
      <w:r>
        <w:t>Otto-Julius S., HW 1955.</w:t>
      </w:r>
    </w:p>
    <w:p>
      <w:bookmarkStart w:id="939" w:name="__186"/>
      <w:pPr>
        <w:pStyle w:val="Normal"/>
      </w:pPr>
      <w:r>
        <w:t>[</w:t>
      </w:r>
      <w:hyperlink w:anchor="186">
        <w:r>
          <w:rPr>
            <w:rStyle w:val="Text1"/>
          </w:rPr>
          <w:t>←186</w:t>
        </w:r>
      </w:hyperlink>
      <w:r>
        <w:t xml:space="preserve"> ] </w:t>
      </w:r>
      <w:bookmarkEnd w:id="939"/>
    </w:p>
    <w:p>
      <w:pPr>
        <w:pStyle w:val="Para 01"/>
      </w:pPr>
      <w:r>
        <w:t xml:space="preserve">Свидетель за свидетелем </w:t>
        <w:t xml:space="preserve">в описании чувств людей тем вечером </w:t>
        <w:t xml:space="preserve">использовали такие термины как erschüttert [потрясённый], deprimiert [депрессия], verbittert [озлобленный], niedergeschlagen </w:t>
        <w:t xml:space="preserve">[удручённый], bedrückt [подавленный], verstört [на грани потери рассудка], empört [возмущённый], belastet [обременённый]. </w:t>
        <w:t>Прим. Переводчика — точный перевод с немецкого может расходиться со значением в русском, а моё решение использовать тот или иной перевод слов можно оспорить, однако соответствия на все 100% не требуется для понимания.</w:t>
        <w:t xml:space="preserve"> </w:t>
      </w:r>
    </w:p>
    <w:p>
      <w:bookmarkStart w:id="940" w:name="__187"/>
      <w:pPr>
        <w:pStyle w:val="Normal"/>
      </w:pPr>
      <w:r>
        <w:t>[</w:t>
      </w:r>
      <w:hyperlink w:anchor="187">
        <w:r>
          <w:rPr>
            <w:rStyle w:val="Text1"/>
          </w:rPr>
          <w:t>←187</w:t>
        </w:r>
      </w:hyperlink>
      <w:r>
        <w:t xml:space="preserve"> ] </w:t>
      </w:r>
      <w:bookmarkEnd w:id="940"/>
    </w:p>
    <w:p>
      <w:pPr>
        <w:pStyle w:val="Para 01"/>
      </w:pPr>
      <w:r>
        <w:t>Friedrich Bm., HW 2093; Hellmut S., G 647.</w:t>
      </w:r>
    </w:p>
    <w:p>
      <w:bookmarkStart w:id="941" w:name="__188"/>
      <w:pPr>
        <w:pStyle w:val="Normal"/>
      </w:pPr>
      <w:r>
        <w:t>[</w:t>
      </w:r>
      <w:hyperlink w:anchor="188">
        <w:r>
          <w:rPr>
            <w:rStyle w:val="Text1"/>
          </w:rPr>
          <w:t>←188</w:t>
        </w:r>
      </w:hyperlink>
      <w:r>
        <w:t xml:space="preserve"> ] </w:t>
      </w:r>
      <w:bookmarkEnd w:id="941"/>
    </w:p>
    <w:p>
      <w:pPr>
        <w:pStyle w:val="Para 01"/>
      </w:pPr>
      <w:r>
        <w:t>Heinrich Br., HW 3050.</w:t>
      </w:r>
    </w:p>
    <w:p>
      <w:bookmarkStart w:id="942" w:name="__189"/>
      <w:pPr>
        <w:pStyle w:val="Normal"/>
      </w:pPr>
      <w:r>
        <w:t>[</w:t>
      </w:r>
      <w:hyperlink w:anchor="189">
        <w:r>
          <w:rPr>
            <w:rStyle w:val="Text1"/>
          </w:rPr>
          <w:t>←189</w:t>
        </w:r>
      </w:hyperlink>
      <w:r>
        <w:t xml:space="preserve"> ] </w:t>
      </w:r>
      <w:bookmarkEnd w:id="942"/>
    </w:p>
    <w:p>
      <w:pPr>
        <w:pStyle w:val="Para 01"/>
      </w:pPr>
      <w:r>
        <w:t>Wilhelm J., HW 1322.</w:t>
      </w:r>
    </w:p>
    <w:p>
      <w:bookmarkStart w:id="943" w:name="__190"/>
      <w:pPr>
        <w:pStyle w:val="Normal"/>
      </w:pPr>
      <w:r>
        <w:t>[</w:t>
      </w:r>
      <w:hyperlink w:anchor="190">
        <w:r>
          <w:rPr>
            <w:rStyle w:val="Text1"/>
          </w:rPr>
          <w:t>←190</w:t>
        </w:r>
      </w:hyperlink>
      <w:r>
        <w:t xml:space="preserve"> ] </w:t>
      </w:r>
      <w:bookmarkEnd w:id="943"/>
    </w:p>
    <w:p>
      <w:pPr>
        <w:pStyle w:val="Para 01"/>
      </w:pPr>
      <w:r>
        <w:t>Willy S., HW 2053. Так же смотри Вольфганг Хоффман, HW 774-75; Johannes R., HW 1809; Bruno R., HW 2086.</w:t>
      </w:r>
    </w:p>
    <w:p>
      <w:bookmarkStart w:id="944" w:name="__191"/>
      <w:pPr>
        <w:pStyle w:val="Normal"/>
      </w:pPr>
      <w:r>
        <w:t>[</w:t>
      </w:r>
      <w:hyperlink w:anchor="191">
        <w:r>
          <w:rPr>
            <w:rStyle w:val="Text1"/>
          </w:rPr>
          <w:t>←191</w:t>
        </w:r>
      </w:hyperlink>
      <w:r>
        <w:t xml:space="preserve"> ] </w:t>
      </w:r>
      <w:bookmarkEnd w:id="944"/>
    </w:p>
    <w:p>
      <w:pPr>
        <w:pStyle w:val="Para 01"/>
      </w:pPr>
      <w:r>
        <w:t>Karl M., HW 2546, 2657.</w:t>
      </w:r>
    </w:p>
    <w:p>
      <w:bookmarkStart w:id="945" w:name="__192"/>
      <w:pPr>
        <w:pStyle w:val="Normal"/>
      </w:pPr>
      <w:r>
        <w:t>[</w:t>
      </w:r>
      <w:hyperlink w:anchor="192">
        <w:r>
          <w:rPr>
            <w:rStyle w:val="Text1"/>
          </w:rPr>
          <w:t>←192</w:t>
        </w:r>
      </w:hyperlink>
      <w:r>
        <w:t xml:space="preserve"> ] </w:t>
      </w:r>
      <w:bookmarkEnd w:id="945"/>
    </w:p>
    <w:p>
      <w:pPr>
        <w:pStyle w:val="Para 01"/>
      </w:pPr>
      <w:r>
        <w:t>Friedrich Bm., HW 2093-94; Смотри так же Karl G., HW 2194.</w:t>
      </w:r>
    </w:p>
    <w:p>
      <w:bookmarkStart w:id="946" w:name="__193"/>
      <w:pPr>
        <w:pStyle w:val="Normal"/>
      </w:pPr>
      <w:r>
        <w:t>[</w:t>
      </w:r>
      <w:hyperlink w:anchor="193">
        <w:r>
          <w:rPr>
            <w:rStyle w:val="Text1"/>
          </w:rPr>
          <w:t>←193</w:t>
        </w:r>
      </w:hyperlink>
      <w:r>
        <w:t xml:space="preserve"> ] </w:t>
      </w:r>
      <w:bookmarkEnd w:id="946"/>
    </w:p>
    <w:p>
      <w:pPr>
        <w:pStyle w:val="Para 01"/>
      </w:pPr>
      <w:r>
        <w:t>Heinz B., HW 4413; Kurt D., HW 4339.</w:t>
      </w:r>
    </w:p>
    <w:p>
      <w:bookmarkStart w:id="947" w:name="__194"/>
      <w:pPr>
        <w:pStyle w:val="Normal"/>
      </w:pPr>
      <w:r>
        <w:t>[</w:t>
      </w:r>
      <w:hyperlink w:anchor="194">
        <w:r>
          <w:rPr>
            <w:rStyle w:val="Text1"/>
          </w:rPr>
          <w:t>←194</w:t>
        </w:r>
      </w:hyperlink>
      <w:r>
        <w:t xml:space="preserve"> ] </w:t>
      </w:r>
      <w:bookmarkEnd w:id="947"/>
    </w:p>
    <w:p>
      <w:pPr>
        <w:pStyle w:val="Para 01"/>
      </w:pPr>
      <w:r>
        <w:t xml:space="preserve">В своём анализе польских спасителей, Нехама Тек [Nechama Tec] отмечает, что первоначальное решение помочь евреям было импульсивным и инстинктивным, а не результатом долгих размышлений и расчётов. </w:t>
      </w:r>
      <w:r>
        <w:rPr>
          <w:rStyle w:val="Text0"/>
        </w:rPr>
        <w:t>Когда Свет Рассеял Тьму: Спасения Христианами Евреев в Оккупированной Немцами Польше</w:t>
      </w:r>
      <w:r>
        <w:t xml:space="preserve"> [</w:t>
      </w:r>
      <w:r>
        <w:rPr>
          <w:rStyle w:val="Text0"/>
        </w:rPr>
        <w:t>When Light Pierced the Darkness: Christian Resque of Jews in Nazi-Occupied Poland</w:t>
      </w:r>
      <w:r>
        <w:t>]</w:t>
        <w:t xml:space="preserve"> (</w:t>
        <w:t>Нью-Йорк</w:t>
        <w:t>, 1986), 188.</w:t>
      </w:r>
    </w:p>
    <w:p>
      <w:bookmarkStart w:id="948" w:name="__195"/>
      <w:pPr>
        <w:pStyle w:val="Normal"/>
      </w:pPr>
      <w:r>
        <w:t>[</w:t>
      </w:r>
      <w:hyperlink w:anchor="195">
        <w:r>
          <w:rPr>
            <w:rStyle w:val="Text1"/>
          </w:rPr>
          <w:t>←195</w:t>
        </w:r>
      </w:hyperlink>
      <w:r>
        <w:t xml:space="preserve"> ] </w:t>
      </w:r>
      <w:bookmarkEnd w:id="948"/>
    </w:p>
    <w:p>
      <w:pPr>
        <w:pStyle w:val="Para 01"/>
      </w:pPr>
      <w:r>
        <w:t>Anton B., HW 2693.</w:t>
      </w:r>
    </w:p>
    <w:p>
      <w:bookmarkStart w:id="949" w:name="__196"/>
      <w:pPr>
        <w:pStyle w:val="Normal"/>
      </w:pPr>
      <w:r>
        <w:t>[</w:t>
      </w:r>
      <w:hyperlink w:anchor="196">
        <w:r>
          <w:rPr>
            <w:rStyle w:val="Text1"/>
          </w:rPr>
          <w:t>←196</w:t>
        </w:r>
      </w:hyperlink>
      <w:r>
        <w:t xml:space="preserve"> ] </w:t>
      </w:r>
      <w:bookmarkEnd w:id="949"/>
    </w:p>
    <w:p>
      <w:pPr>
        <w:pStyle w:val="Para 01"/>
      </w:pPr>
      <w:r>
        <w:t>Bruno D., HW 2535, 2992.</w:t>
      </w:r>
    </w:p>
    <w:p>
      <w:bookmarkStart w:id="950" w:name="__197"/>
      <w:pPr>
        <w:pStyle w:val="Normal"/>
      </w:pPr>
      <w:r>
        <w:t>[</w:t>
      </w:r>
      <w:hyperlink w:anchor="197">
        <w:r>
          <w:rPr>
            <w:rStyle w:val="Text1"/>
          </w:rPr>
          <w:t>←197</w:t>
        </w:r>
      </w:hyperlink>
      <w:r>
        <w:t xml:space="preserve"> ] </w:t>
      </w:r>
      <w:bookmarkEnd w:id="950"/>
    </w:p>
    <w:p>
      <w:pPr>
        <w:pStyle w:val="Para 01"/>
      </w:pPr>
      <w:r>
        <w:t>August W., HW 4592.</w:t>
      </w:r>
    </w:p>
    <w:p>
      <w:bookmarkStart w:id="951" w:name="__198"/>
      <w:pPr>
        <w:pStyle w:val="Normal"/>
      </w:pPr>
      <w:r>
        <w:t>[</w:t>
      </w:r>
      <w:hyperlink w:anchor="198">
        <w:r>
          <w:rPr>
            <w:rStyle w:val="Text1"/>
          </w:rPr>
          <w:t>←198</w:t>
        </w:r>
      </w:hyperlink>
      <w:r>
        <w:t xml:space="preserve"> ] </w:t>
      </w:r>
      <w:bookmarkEnd w:id="951"/>
    </w:p>
    <w:p>
      <w:pPr>
        <w:pStyle w:val="Para 01"/>
      </w:pPr>
      <w:r>
        <w:t>Erwin G., HW 1640, 2505, 4344.</w:t>
      </w:r>
    </w:p>
    <w:p>
      <w:bookmarkStart w:id="952" w:name="__199"/>
      <w:pPr>
        <w:pStyle w:val="Normal"/>
      </w:pPr>
      <w:r>
        <w:t>[</w:t>
      </w:r>
      <w:hyperlink w:anchor="199">
        <w:r>
          <w:rPr>
            <w:rStyle w:val="Text1"/>
          </w:rPr>
          <w:t>←199</w:t>
        </w:r>
      </w:hyperlink>
      <w:r>
        <w:t xml:space="preserve"> ] </w:t>
      </w:r>
      <w:bookmarkEnd w:id="952"/>
    </w:p>
    <w:p>
      <w:pPr>
        <w:pStyle w:val="Para 01"/>
      </w:pPr>
      <w:r>
        <w:t>Прим. Переводчика — или металлист</w:t>
        <w:t>а</w:t>
        <w:t xml:space="preserve"> </w:t>
      </w:r>
    </w:p>
    <w:p>
      <w:bookmarkStart w:id="953" w:name="__200"/>
      <w:pPr>
        <w:pStyle w:val="Normal"/>
      </w:pPr>
      <w:r>
        <w:t>[</w:t>
      </w:r>
      <w:hyperlink w:anchor="200">
        <w:r>
          <w:rPr>
            <w:rStyle w:val="Text1"/>
          </w:rPr>
          <w:t>←200</w:t>
        </w:r>
      </w:hyperlink>
      <w:r>
        <w:t xml:space="preserve"> ] </w:t>
      </w:r>
      <w:bookmarkEnd w:id="953"/>
    </w:p>
    <w:p>
      <w:pPr>
        <w:pStyle w:val="Para 01"/>
      </w:pPr>
      <w:r>
        <w:t>Friedrich M., HW 1708.</w:t>
      </w:r>
    </w:p>
    <w:p>
      <w:bookmarkStart w:id="954" w:name="__201"/>
      <w:pPr>
        <w:pStyle w:val="Normal"/>
      </w:pPr>
      <w:r>
        <w:t>[</w:t>
      </w:r>
      <w:hyperlink w:anchor="201">
        <w:r>
          <w:rPr>
            <w:rStyle w:val="Text1"/>
          </w:rPr>
          <w:t>←201</w:t>
        </w:r>
      </w:hyperlink>
      <w:r>
        <w:t xml:space="preserve"> ] </w:t>
      </w:r>
      <w:bookmarkEnd w:id="954"/>
    </w:p>
    <w:p>
      <w:pPr>
        <w:pStyle w:val="Para 01"/>
      </w:pPr>
      <w:r>
        <w:t xml:space="preserve">Прим. </w:t>
        <w:t>п</w:t>
        <w:t xml:space="preserve">ереводчика — автор намного более подробно раскрывает эту тему в «Главе 18. Обыкновенные Люди» и в «Послесловии», где так же проводит подробный анализ показаний, обстоятельств, </w:t>
        <w:t>конформизма,</w:t>
        <w:t xml:space="preserve"> политической системы и т.д.</w:t>
      </w:r>
    </w:p>
    <w:p>
      <w:bookmarkStart w:id="955" w:name="__202"/>
      <w:pPr>
        <w:pStyle w:val="Normal"/>
      </w:pPr>
      <w:r>
        <w:t>[</w:t>
      </w:r>
      <w:hyperlink w:anchor="202">
        <w:r>
          <w:rPr>
            <w:rStyle w:val="Text1"/>
          </w:rPr>
          <w:t>←202</w:t>
        </w:r>
      </w:hyperlink>
      <w:r>
        <w:t xml:space="preserve"> ] </w:t>
      </w:r>
      <w:bookmarkEnd w:id="955"/>
    </w:p>
    <w:p>
      <w:pPr>
        <w:pStyle w:val="Para 01"/>
      </w:pPr>
      <w:r>
        <w:t xml:space="preserve">Прим. переводчика — </w:t>
        <w:t xml:space="preserve">Автор не утверждает, что из отсутствия «а» следует «б», но </w:t>
        <w:t xml:space="preserve">читателям, </w:t>
        <w:t xml:space="preserve">заметившим </w:t>
        <w:t xml:space="preserve">возможную </w:t>
        <w:t xml:space="preserve">логическую ошибку в утверждении, </w:t>
        <w:t>стоит</w:t>
        <w:t xml:space="preserve"> обратить внимание на «Послесловие», где автор разбирает работу Голдхагена и критику своей книги.</w:t>
      </w:r>
    </w:p>
    <w:p>
      <w:bookmarkStart w:id="956" w:name="__203"/>
      <w:pPr>
        <w:pStyle w:val="Normal"/>
      </w:pPr>
      <w:r>
        <w:t>[</w:t>
      </w:r>
      <w:hyperlink w:anchor="203">
        <w:r>
          <w:rPr>
            <w:rStyle w:val="Text1"/>
          </w:rPr>
          <w:t>←203</w:t>
        </w:r>
      </w:hyperlink>
      <w:r>
        <w:t xml:space="preserve"> ] </w:t>
      </w:r>
      <w:bookmarkEnd w:id="956"/>
    </w:p>
    <w:p>
      <w:pPr>
        <w:pStyle w:val="Para 01"/>
      </w:pPr>
      <w:r>
        <w:t>IMT 29:151 (1919-PS).</w:t>
      </w:r>
    </w:p>
    <w:p>
      <w:bookmarkStart w:id="957" w:name="__204"/>
      <w:pPr>
        <w:pStyle w:val="Normal"/>
      </w:pPr>
      <w:r>
        <w:t>[</w:t>
      </w:r>
      <w:hyperlink w:anchor="204">
        <w:r>
          <w:rPr>
            <w:rStyle w:val="Text1"/>
          </w:rPr>
          <w:t>←204</w:t>
        </w:r>
      </w:hyperlink>
      <w:r>
        <w:t xml:space="preserve"> ] </w:t>
      </w:r>
      <w:bookmarkEnd w:id="957"/>
    </w:p>
    <w:p>
      <w:pPr>
        <w:pStyle w:val="Para 01"/>
      </w:pPr>
      <w:r>
        <w:t>Karl G., HW 2194.</w:t>
      </w:r>
    </w:p>
    <w:p>
      <w:bookmarkStart w:id="958" w:name="__205"/>
      <w:pPr>
        <w:pStyle w:val="Normal"/>
      </w:pPr>
      <w:r>
        <w:t>[</w:t>
      </w:r>
      <w:hyperlink w:anchor="205">
        <w:r>
          <w:rPr>
            <w:rStyle w:val="Text1"/>
          </w:rPr>
          <w:t>←205</w:t>
        </w:r>
      </w:hyperlink>
      <w:r>
        <w:t xml:space="preserve"> ] </w:t>
      </w:r>
      <w:bookmarkEnd w:id="958"/>
    </w:p>
    <w:p>
      <w:pPr>
        <w:pStyle w:val="Para 01"/>
      </w:pPr>
      <w:r>
        <w:t>Hans P</w:t>
        <w:t>z</w:t>
        <w:t>., HW 3938.</w:t>
      </w:r>
    </w:p>
    <w:p>
      <w:bookmarkStart w:id="959" w:name="__206"/>
      <w:pPr>
        <w:pStyle w:val="Normal"/>
      </w:pPr>
      <w:r>
        <w:t>[</w:t>
      </w:r>
      <w:hyperlink w:anchor="206">
        <w:r>
          <w:rPr>
            <w:rStyle w:val="Text1"/>
          </w:rPr>
          <w:t>←206</w:t>
        </w:r>
      </w:hyperlink>
      <w:r>
        <w:t xml:space="preserve"> ] </w:t>
      </w:r>
      <w:bookmarkEnd w:id="959"/>
    </w:p>
    <w:p>
      <w:pPr>
        <w:pStyle w:val="Para 01"/>
      </w:pPr>
      <w:r>
        <w:t>Hero B., HW 890.</w:t>
      </w:r>
    </w:p>
    <w:p>
      <w:bookmarkStart w:id="960" w:name="__207"/>
      <w:pPr>
        <w:pStyle w:val="Normal"/>
      </w:pPr>
      <w:r>
        <w:t>[</w:t>
      </w:r>
      <w:hyperlink w:anchor="207">
        <w:r>
          <w:rPr>
            <w:rStyle w:val="Text1"/>
          </w:rPr>
          <w:t>←207</w:t>
        </w:r>
      </w:hyperlink>
      <w:r>
        <w:t xml:space="preserve"> ] </w:t>
      </w:r>
      <w:bookmarkEnd w:id="960"/>
    </w:p>
    <w:p>
      <w:pPr>
        <w:pStyle w:val="Para 01"/>
      </w:pPr>
      <w:r>
        <w:t>Arthur S., HW 1165.</w:t>
      </w:r>
    </w:p>
    <w:p>
      <w:bookmarkStart w:id="961" w:name="__208"/>
      <w:pPr>
        <w:pStyle w:val="Normal"/>
      </w:pPr>
      <w:r>
        <w:t>[</w:t>
      </w:r>
      <w:hyperlink w:anchor="208">
        <w:r>
          <w:rPr>
            <w:rStyle w:val="Text1"/>
          </w:rPr>
          <w:t>←208</w:t>
        </w:r>
      </w:hyperlink>
      <w:r>
        <w:t xml:space="preserve"> ] </w:t>
      </w:r>
      <w:bookmarkEnd w:id="961"/>
    </w:p>
    <w:p>
      <w:pPr>
        <w:pStyle w:val="Para 01"/>
      </w:pPr>
      <w:r>
        <w:t>Hermann W., HW 1947.</w:t>
      </w:r>
    </w:p>
    <w:p>
      <w:bookmarkStart w:id="962" w:name="__209"/>
      <w:pPr>
        <w:pStyle w:val="Normal"/>
      </w:pPr>
      <w:r>
        <w:t>[</w:t>
      </w:r>
      <w:hyperlink w:anchor="209">
        <w:r>
          <w:rPr>
            <w:rStyle w:val="Text1"/>
          </w:rPr>
          <w:t>←209</w:t>
        </w:r>
      </w:hyperlink>
      <w:r>
        <w:t xml:space="preserve"> ] </w:t>
      </w:r>
      <w:bookmarkEnd w:id="962"/>
    </w:p>
    <w:p>
      <w:pPr>
        <w:pStyle w:val="Para 01"/>
      </w:pPr>
      <w:r>
        <w:t>Gustav M., G 169-170.</w:t>
      </w:r>
    </w:p>
    <w:p>
      <w:bookmarkStart w:id="963" w:name="__210"/>
      <w:pPr>
        <w:pStyle w:val="Normal"/>
      </w:pPr>
      <w:r>
        <w:t>[</w:t>
      </w:r>
      <w:hyperlink w:anchor="210">
        <w:r>
          <w:rPr>
            <w:rStyle w:val="Text1"/>
          </w:rPr>
          <w:t>←210</w:t>
        </w:r>
      </w:hyperlink>
      <w:r>
        <w:t xml:space="preserve"> ] </w:t>
      </w:r>
      <w:bookmarkEnd w:id="963"/>
    </w:p>
    <w:p>
      <w:pPr>
        <w:pStyle w:val="Para 01"/>
      </w:pPr>
      <w:r>
        <w:t>Heinz B., HW 2439-40.</w:t>
      </w:r>
    </w:p>
    <w:p>
      <w:bookmarkStart w:id="964" w:name="__211"/>
      <w:pPr>
        <w:pStyle w:val="Normal"/>
      </w:pPr>
      <w:r>
        <w:t>[</w:t>
      </w:r>
      <w:hyperlink w:anchor="211">
        <w:r>
          <w:rPr>
            <w:rStyle w:val="Text1"/>
          </w:rPr>
          <w:t>←211</w:t>
        </w:r>
      </w:hyperlink>
      <w:r>
        <w:t xml:space="preserve"> ] </w:t>
      </w:r>
      <w:bookmarkEnd w:id="964"/>
    </w:p>
    <w:p>
      <w:pPr>
        <w:pStyle w:val="Para 01"/>
      </w:pPr>
      <w:r>
        <w:t>Heinrich Br., HW 3050.</w:t>
      </w:r>
    </w:p>
    <w:p>
      <w:bookmarkStart w:id="965" w:name="__212"/>
      <w:pPr>
        <w:pStyle w:val="Normal"/>
      </w:pPr>
      <w:r>
        <w:t>[</w:t>
      </w:r>
      <w:hyperlink w:anchor="212">
        <w:r>
          <w:rPr>
            <w:rStyle w:val="Text1"/>
          </w:rPr>
          <w:t>←212</w:t>
        </w:r>
      </w:hyperlink>
      <w:r>
        <w:t xml:space="preserve"> ] </w:t>
      </w:r>
      <w:bookmarkEnd w:id="965"/>
    </w:p>
    <w:p>
      <w:pPr>
        <w:pStyle w:val="Para 01"/>
      </w:pPr>
      <w:r>
        <w:t>Heinrich R., G 624; August W., HW 3303.</w:t>
      </w:r>
    </w:p>
    <w:p>
      <w:bookmarkStart w:id="966" w:name="__213"/>
      <w:pPr>
        <w:pStyle w:val="Normal"/>
      </w:pPr>
      <w:r>
        <w:t>[</w:t>
      </w:r>
      <w:hyperlink w:anchor="213">
        <w:r>
          <w:rPr>
            <w:rStyle w:val="Text1"/>
          </w:rPr>
          <w:t>←213</w:t>
        </w:r>
      </w:hyperlink>
      <w:r>
        <w:t xml:space="preserve"> ] </w:t>
      </w:r>
      <w:bookmarkEnd w:id="966"/>
    </w:p>
    <w:p>
      <w:pPr>
        <w:pStyle w:val="Para 01"/>
      </w:pPr>
      <w:r>
        <w:t>Heinz B., HW 647, 822, 2438, 3940-41.</w:t>
      </w:r>
    </w:p>
    <w:p>
      <w:bookmarkStart w:id="967" w:name="__214"/>
      <w:pPr>
        <w:pStyle w:val="Normal"/>
      </w:pPr>
      <w:r>
        <w:t>[</w:t>
      </w:r>
      <w:hyperlink w:anchor="214">
        <w:r>
          <w:rPr>
            <w:rStyle w:val="Text1"/>
          </w:rPr>
          <w:t>←214</w:t>
        </w:r>
      </w:hyperlink>
      <w:r>
        <w:t xml:space="preserve"> ] </w:t>
      </w:r>
      <w:bookmarkEnd w:id="967"/>
    </w:p>
    <w:p>
      <w:pPr>
        <w:pStyle w:val="Para 01"/>
      </w:pPr>
      <w:r>
        <w:t>YVA, 0-53/121/27-31 (приказ Кинтруп</w:t>
        <w:t>п</w:t>
        <w:t xml:space="preserve">а [Kintrupp], KdO Люблина, 9 июля 1942 </w:t>
        <w:t>г.</w:t>
        <w:t>).</w:t>
      </w:r>
    </w:p>
    <w:p>
      <w:bookmarkStart w:id="968" w:name="__215"/>
      <w:pPr>
        <w:pStyle w:val="Normal"/>
      </w:pPr>
      <w:r>
        <w:t>[</w:t>
      </w:r>
      <w:hyperlink w:anchor="215">
        <w:r>
          <w:rPr>
            <w:rStyle w:val="Text1"/>
          </w:rPr>
          <w:t>←215</w:t>
        </w:r>
      </w:hyperlink>
      <w:r>
        <w:t xml:space="preserve"> ] </w:t>
      </w:r>
      <w:bookmarkEnd w:id="968"/>
    </w:p>
    <w:p>
      <w:pPr>
        <w:pStyle w:val="Para 01"/>
      </w:pPr>
      <w:r>
        <w:t xml:space="preserve">Прим. Переводчика — касаемо округов и районов. County (англ.) и Kreise (нем., </w:t>
        <w:t>полностью Stadt- und Landkreisen, что дословно переводится как городские округа и графства</w:t>
        <w:t xml:space="preserve">) переведены как районы. </w:t>
        <w:t xml:space="preserve">District (англ.) и Distrikte (нем.) переведены как округа. Сделано это с учётом определений этих слов на русском и особенности применения этих слов в книге. Округ здесь и на русском (хоть и не всегда) — некоторая чётко обозначенная политическая единица в составе государства, которую можно разбить на меньшие части. Район в свою очередь (тоже не всегда) — часть другого, большего пространства и определяется непосредственной близостью к чему-либо, часто не имеет чётко обозначенных границ. </w:t>
        <w:t xml:space="preserve">К примеру, смотри </w:t>
        <w:t>К</w:t>
        <w:t xml:space="preserve">арту </w:t>
        <w:t xml:space="preserve">1 </w:t>
        <w:t>Польши</w:t>
        <w:t xml:space="preserve"> и </w:t>
        <w:t>К</w:t>
        <w:t xml:space="preserve">арту </w:t>
        <w:t>2 округа Люблина.</w:t>
        <w:t xml:space="preserve"> </w:t>
      </w:r>
    </w:p>
    <w:p>
      <w:bookmarkStart w:id="969" w:name="__216"/>
      <w:pPr>
        <w:pStyle w:val="Normal"/>
      </w:pPr>
      <w:r>
        <w:t>[</w:t>
      </w:r>
      <w:hyperlink w:anchor="216">
        <w:r>
          <w:rPr>
            <w:rStyle w:val="Text1"/>
          </w:rPr>
          <w:t>←216</w:t>
        </w:r>
      </w:hyperlink>
      <w:r>
        <w:t xml:space="preserve"> ] </w:t>
      </w:r>
      <w:bookmarkEnd w:id="969"/>
    </w:p>
    <w:p>
      <w:pPr>
        <w:pStyle w:val="Para 01"/>
      </w:pPr>
      <w:r>
        <w:t xml:space="preserve">См. Карту </w:t>
        <w:t>2</w:t>
        <w:t>.</w:t>
      </w:r>
    </w:p>
    <w:p>
      <w:bookmarkStart w:id="970" w:name="__217"/>
      <w:pPr>
        <w:pStyle w:val="Normal"/>
      </w:pPr>
      <w:r>
        <w:t>[</w:t>
      </w:r>
      <w:hyperlink w:anchor="217">
        <w:r>
          <w:rPr>
            <w:rStyle w:val="Text1"/>
          </w:rPr>
          <w:t>←217</w:t>
        </w:r>
      </w:hyperlink>
      <w:r>
        <w:t xml:space="preserve"> ] </w:t>
      </w:r>
      <w:bookmarkEnd w:id="970"/>
    </w:p>
    <w:p>
      <w:pPr>
        <w:pStyle w:val="Para 01"/>
      </w:pPr>
      <w:r>
        <w:t>Брустин-Беренштейн</w:t>
        <w:t xml:space="preserve">, </w:t>
        <w:t xml:space="preserve">таблица </w:t>
        <w:t>2.</w:t>
        <w:t xml:space="preserve"> </w:t>
      </w:r>
    </w:p>
    <w:p>
      <w:bookmarkStart w:id="971" w:name="__218"/>
      <w:pPr>
        <w:pStyle w:val="Normal"/>
      </w:pPr>
      <w:r>
        <w:t>[</w:t>
      </w:r>
      <w:hyperlink w:anchor="218">
        <w:r>
          <w:rPr>
            <w:rStyle w:val="Text1"/>
          </w:rPr>
          <w:t>←218</w:t>
        </w:r>
      </w:hyperlink>
      <w:r>
        <w:t xml:space="preserve"> ] </w:t>
      </w:r>
      <w:bookmarkEnd w:id="971"/>
    </w:p>
    <w:p>
      <w:pPr>
        <w:pStyle w:val="Para 01"/>
      </w:pPr>
      <w:r>
        <w:t>Kurt D., HW 1230, 4368; Anton B., HW 4371.</w:t>
      </w:r>
    </w:p>
    <w:p>
      <w:bookmarkStart w:id="972" w:name="__219"/>
      <w:pPr>
        <w:pStyle w:val="Normal"/>
      </w:pPr>
      <w:r>
        <w:t>[</w:t>
      </w:r>
      <w:hyperlink w:anchor="219">
        <w:r>
          <w:rPr>
            <w:rStyle w:val="Text1"/>
          </w:rPr>
          <w:t>←219</w:t>
        </w:r>
      </w:hyperlink>
      <w:r>
        <w:t xml:space="preserve"> ] </w:t>
      </w:r>
      <w:bookmarkEnd w:id="972"/>
    </w:p>
    <w:p>
      <w:pPr>
        <w:pStyle w:val="Para 01"/>
      </w:pPr>
      <w:r>
        <w:t>Heinrich B., HW 2600, 2985.</w:t>
      </w:r>
    </w:p>
    <w:p>
      <w:bookmarkStart w:id="973" w:name="__220"/>
      <w:pPr>
        <w:pStyle w:val="Normal"/>
      </w:pPr>
      <w:r>
        <w:t>[</w:t>
      </w:r>
      <w:hyperlink w:anchor="220">
        <w:r>
          <w:rPr>
            <w:rStyle w:val="Text1"/>
          </w:rPr>
          <w:t>←220</w:t>
        </w:r>
      </w:hyperlink>
      <w:r>
        <w:t xml:space="preserve"> ] </w:t>
      </w:r>
      <w:bookmarkEnd w:id="973"/>
    </w:p>
    <w:p>
      <w:pPr>
        <w:pStyle w:val="Para 01"/>
      </w:pPr>
      <w:r>
        <w:t>Kurt D., HW 1230, 1232, 2892, 4368; Ernst Hr., HW 2732.</w:t>
      </w:r>
    </w:p>
    <w:p>
      <w:bookmarkStart w:id="974" w:name="__221"/>
      <w:pPr>
        <w:pStyle w:val="Normal"/>
      </w:pPr>
      <w:r>
        <w:t>[</w:t>
      </w:r>
      <w:hyperlink w:anchor="221">
        <w:r>
          <w:rPr>
            <w:rStyle w:val="Text1"/>
          </w:rPr>
          <w:t>←221</w:t>
        </w:r>
      </w:hyperlink>
      <w:r>
        <w:t xml:space="preserve"> ] </w:t>
      </w:r>
      <w:bookmarkEnd w:id="974"/>
    </w:p>
    <w:p>
      <w:pPr>
        <w:pStyle w:val="Para 01"/>
      </w:pPr>
      <w:r>
        <w:t>Paul M., G 207.</w:t>
      </w:r>
    </w:p>
    <w:p>
      <w:bookmarkStart w:id="975" w:name="__222"/>
      <w:pPr>
        <w:pStyle w:val="Normal"/>
      </w:pPr>
      <w:r>
        <w:t>[</w:t>
      </w:r>
      <w:hyperlink w:anchor="222">
        <w:r>
          <w:rPr>
            <w:rStyle w:val="Text1"/>
          </w:rPr>
          <w:t>←222</w:t>
        </w:r>
      </w:hyperlink>
      <w:r>
        <w:t xml:space="preserve"> ] </w:t>
      </w:r>
      <w:bookmarkEnd w:id="975"/>
    </w:p>
    <w:p>
      <w:pPr>
        <w:pStyle w:val="Para 01"/>
      </w:pPr>
      <w:r>
        <w:t>Max F., HW 1387; Ernst Hr., HW 2722; Walter L., G 184; Fritz S., G 303.</w:t>
      </w:r>
    </w:p>
    <w:p>
      <w:bookmarkStart w:id="976" w:name="__223"/>
      <w:pPr>
        <w:pStyle w:val="Normal"/>
      </w:pPr>
      <w:r>
        <w:t>[</w:t>
      </w:r>
      <w:hyperlink w:anchor="223">
        <w:r>
          <w:rPr>
            <w:rStyle w:val="Text1"/>
          </w:rPr>
          <w:t>←223</w:t>
        </w:r>
      </w:hyperlink>
      <w:r>
        <w:t xml:space="preserve"> ] </w:t>
      </w:r>
      <w:bookmarkEnd w:id="976"/>
    </w:p>
    <w:p>
      <w:pPr>
        <w:pStyle w:val="Para 01"/>
      </w:pPr>
      <w:r>
        <w:t>Anton B., HW 2698-99, 4371; Ernst Hr., HW 2722; Wolfgang H., HW 2211; Kurt D., HW 4368; August Z., G 273.</w:t>
      </w:r>
    </w:p>
    <w:p>
      <w:bookmarkStart w:id="977" w:name="__224"/>
      <w:pPr>
        <w:pStyle w:val="Normal"/>
      </w:pPr>
      <w:r>
        <w:t>[</w:t>
      </w:r>
      <w:hyperlink w:anchor="224">
        <w:r>
          <w:rPr>
            <w:rStyle w:val="Text1"/>
          </w:rPr>
          <w:t>←224</w:t>
        </w:r>
      </w:hyperlink>
      <w:r>
        <w:t xml:space="preserve"> ] </w:t>
      </w:r>
      <w:bookmarkEnd w:id="977"/>
    </w:p>
    <w:p>
      <w:pPr>
        <w:pStyle w:val="Para 01"/>
      </w:pPr>
      <w:r>
        <w:t>Fritz S., G 303-4. Смотри так же Bernhard S., HW 1717; Ernst Hr., HW 2723; Heinrich B., HW 2985; Friedrich P., G 240.</w:t>
      </w:r>
    </w:p>
    <w:p>
      <w:bookmarkStart w:id="978" w:name="__225"/>
      <w:pPr>
        <w:pStyle w:val="Normal"/>
      </w:pPr>
      <w:r>
        <w:t>[</w:t>
      </w:r>
      <w:hyperlink w:anchor="225">
        <w:r>
          <w:rPr>
            <w:rStyle w:val="Text1"/>
          </w:rPr>
          <w:t>←225</w:t>
        </w:r>
      </w:hyperlink>
      <w:r>
        <w:t xml:space="preserve"> ] </w:t>
      </w:r>
      <w:bookmarkEnd w:id="978"/>
    </w:p>
    <w:p>
      <w:pPr>
        <w:pStyle w:val="Para 01"/>
      </w:pPr>
      <w:r>
        <w:t>Ernst Hr., HW 2723; Joseph P., HW 2749-50; Walter L., G 185; Paul M., G 208.</w:t>
      </w:r>
    </w:p>
    <w:p>
      <w:bookmarkStart w:id="979" w:name="__226"/>
      <w:pPr>
        <w:pStyle w:val="Normal"/>
      </w:pPr>
      <w:r>
        <w:t>[</w:t>
      </w:r>
      <w:hyperlink w:anchor="226">
        <w:r>
          <w:rPr>
            <w:rStyle w:val="Text1"/>
          </w:rPr>
          <w:t>←226</w:t>
        </w:r>
      </w:hyperlink>
      <w:r>
        <w:t xml:space="preserve"> ] </w:t>
      </w:r>
      <w:bookmarkEnd w:id="979"/>
    </w:p>
    <w:p>
      <w:pPr>
        <w:pStyle w:val="Para 01"/>
      </w:pPr>
      <w:r>
        <w:t>Gustav M., HW 1709.</w:t>
      </w:r>
    </w:p>
    <w:p>
      <w:bookmarkStart w:id="980" w:name="__227"/>
      <w:pPr>
        <w:pStyle w:val="Normal"/>
      </w:pPr>
      <w:r>
        <w:t>[</w:t>
      </w:r>
      <w:hyperlink w:anchor="227">
        <w:r>
          <w:rPr>
            <w:rStyle w:val="Text1"/>
          </w:rPr>
          <w:t>←227</w:t>
        </w:r>
      </w:hyperlink>
      <w:r>
        <w:t xml:space="preserve"> ] </w:t>
      </w:r>
      <w:bookmarkEnd w:id="980"/>
    </w:p>
    <w:p>
      <w:pPr>
        <w:pStyle w:val="Para 01"/>
      </w:pPr>
      <w:r>
        <w:t>За фразой смотри Max F., HW 1386; за дистанцией Heinrich B., HW 2601; Walter L., G 185.</w:t>
      </w:r>
    </w:p>
    <w:p>
      <w:bookmarkStart w:id="981" w:name="__228"/>
      <w:pPr>
        <w:pStyle w:val="Normal"/>
      </w:pPr>
      <w:r>
        <w:t>[</w:t>
      </w:r>
      <w:hyperlink w:anchor="228">
        <w:r>
          <w:rPr>
            <w:rStyle w:val="Text1"/>
          </w:rPr>
          <w:t>←228</w:t>
        </w:r>
      </w:hyperlink>
      <w:r>
        <w:t xml:space="preserve"> ] </w:t>
      </w:r>
      <w:bookmarkEnd w:id="981"/>
    </w:p>
    <w:p>
      <w:pPr>
        <w:pStyle w:val="Para 01"/>
      </w:pPr>
      <w:r>
        <w:t>Max F., HW 1386; Paul M., G 207.</w:t>
      </w:r>
    </w:p>
    <w:p>
      <w:bookmarkStart w:id="982" w:name="__229"/>
      <w:pPr>
        <w:pStyle w:val="Normal"/>
      </w:pPr>
      <w:r>
        <w:t>[</w:t>
      </w:r>
      <w:hyperlink w:anchor="229">
        <w:r>
          <w:rPr>
            <w:rStyle w:val="Text1"/>
          </w:rPr>
          <w:t>←229</w:t>
        </w:r>
      </w:hyperlink>
      <w:r>
        <w:t xml:space="preserve"> ] </w:t>
      </w:r>
      <w:bookmarkEnd w:id="982"/>
    </w:p>
    <w:p>
      <w:pPr>
        <w:pStyle w:val="Para 01"/>
      </w:pPr>
      <w:r>
        <w:t>Walter Z., HW 2624; Georg K., HW 2638; Anton B., HW 4372.</w:t>
      </w:r>
    </w:p>
    <w:p>
      <w:bookmarkStart w:id="983" w:name="__230"/>
      <w:pPr>
        <w:pStyle w:val="Normal"/>
      </w:pPr>
      <w:r>
        <w:t>[</w:t>
      </w:r>
      <w:hyperlink w:anchor="230">
        <w:r>
          <w:rPr>
            <w:rStyle w:val="Text1"/>
          </w:rPr>
          <w:t>←230</w:t>
        </w:r>
      </w:hyperlink>
      <w:r>
        <w:t xml:space="preserve"> ] </w:t>
      </w:r>
      <w:bookmarkEnd w:id="983"/>
    </w:p>
    <w:p>
      <w:pPr>
        <w:pStyle w:val="Para 01"/>
      </w:pPr>
      <w:r>
        <w:t>Anton B., HW 2700-2701.</w:t>
      </w:r>
    </w:p>
    <w:p>
      <w:bookmarkStart w:id="984" w:name="__231"/>
      <w:pPr>
        <w:pStyle w:val="Normal"/>
      </w:pPr>
      <w:r>
        <w:t>[</w:t>
      </w:r>
      <w:hyperlink w:anchor="231">
        <w:r>
          <w:rPr>
            <w:rStyle w:val="Text1"/>
          </w:rPr>
          <w:t>←231</w:t>
        </w:r>
      </w:hyperlink>
      <w:r>
        <w:t xml:space="preserve"> ] </w:t>
      </w:r>
      <w:bookmarkEnd w:id="984"/>
    </w:p>
    <w:p>
      <w:pPr>
        <w:pStyle w:val="Para 01"/>
      </w:pPr>
      <w:r>
        <w:t>Wilhelm Gb., HW 2150; Karl G., HW 2197; Heinrich B., HW 2600; Georg K., HW 2638; Joseph P., HW 2750; Hermann Bg., G 98; Walter L., G 185; Paul M., G 207; August Z., G 282; Fritz S., G 313.</w:t>
      </w:r>
    </w:p>
    <w:p>
      <w:bookmarkStart w:id="985" w:name="__232"/>
      <w:pPr>
        <w:pStyle w:val="Normal"/>
      </w:pPr>
      <w:r>
        <w:t>[</w:t>
      </w:r>
      <w:hyperlink w:anchor="232">
        <w:r>
          <w:rPr>
            <w:rStyle w:val="Text1"/>
          </w:rPr>
          <w:t>←232</w:t>
        </w:r>
      </w:hyperlink>
      <w:r>
        <w:t xml:space="preserve"> ] </w:t>
      </w:r>
      <w:bookmarkEnd w:id="985"/>
    </w:p>
    <w:p>
      <w:pPr>
        <w:pStyle w:val="Para 01"/>
      </w:pPr>
      <w:r>
        <w:t>Kurt D., HW 4335, 4368-70; Anton B., HW 2703, 3960, 4348; Joseph P., HW 2750; Henry D., HW 3071; Walter N., HW 3927; Ernst Hr., HW 3928; Heinz B., HW 3943; Walter Z., HW 3954. Противоположные показания о Гн</w:t>
        <w:t>а</w:t>
        <w:t>де дали только Ernst Hr., HW 3929; Walter Z., HW 3954 и Вольфганг Хоффман, HW 4318.</w:t>
      </w:r>
    </w:p>
    <w:p>
      <w:bookmarkStart w:id="986" w:name="__233"/>
      <w:pPr>
        <w:pStyle w:val="Normal"/>
      </w:pPr>
      <w:r>
        <w:t>[</w:t>
      </w:r>
      <w:hyperlink w:anchor="233">
        <w:r>
          <w:rPr>
            <w:rStyle w:val="Text1"/>
          </w:rPr>
          <w:t>←233</w:t>
        </w:r>
      </w:hyperlink>
      <w:r>
        <w:t xml:space="preserve"> ] </w:t>
      </w:r>
      <w:bookmarkEnd w:id="986"/>
    </w:p>
    <w:p>
      <w:pPr>
        <w:pStyle w:val="Para 01"/>
      </w:pPr>
      <w:r>
        <w:t>Wilhelm I., HW 2239.</w:t>
      </w:r>
    </w:p>
    <w:p>
      <w:bookmarkStart w:id="987" w:name="__234"/>
      <w:pPr>
        <w:pStyle w:val="Normal"/>
      </w:pPr>
      <w:r>
        <w:t>[</w:t>
      </w:r>
      <w:hyperlink w:anchor="234">
        <w:r>
          <w:rPr>
            <w:rStyle w:val="Text1"/>
          </w:rPr>
          <w:t>←234</w:t>
        </w:r>
      </w:hyperlink>
      <w:r>
        <w:t xml:space="preserve"> ] </w:t>
      </w:r>
      <w:bookmarkEnd w:id="987"/>
    </w:p>
    <w:p>
      <w:pPr>
        <w:pStyle w:val="Para 01"/>
      </w:pPr>
      <w:r>
        <w:t>Friedrich P., G 241-42. Показание полностью подтверждается August Z., HW 3519.</w:t>
      </w:r>
    </w:p>
    <w:p>
      <w:bookmarkStart w:id="988" w:name="__235"/>
      <w:pPr>
        <w:pStyle w:val="Normal"/>
      </w:pPr>
      <w:r>
        <w:t>[</w:t>
      </w:r>
      <w:hyperlink w:anchor="235">
        <w:r>
          <w:rPr>
            <w:rStyle w:val="Text1"/>
          </w:rPr>
          <w:t>←235</w:t>
        </w:r>
      </w:hyperlink>
      <w:r>
        <w:t xml:space="preserve"> ] </w:t>
      </w:r>
      <w:bookmarkEnd w:id="988"/>
    </w:p>
    <w:p>
      <w:pPr>
        <w:pStyle w:val="Para 01"/>
      </w:pPr>
      <w:r>
        <w:t>Hermann Bg., G 98; Joseph P., HW 2750.</w:t>
      </w:r>
    </w:p>
    <w:p>
      <w:bookmarkStart w:id="989" w:name="__236"/>
      <w:pPr>
        <w:pStyle w:val="Normal"/>
      </w:pPr>
      <w:r>
        <w:t>[</w:t>
      </w:r>
      <w:hyperlink w:anchor="236">
        <w:r>
          <w:rPr>
            <w:rStyle w:val="Text1"/>
          </w:rPr>
          <w:t>←236</w:t>
        </w:r>
      </w:hyperlink>
      <w:r>
        <w:t xml:space="preserve"> ] </w:t>
      </w:r>
      <w:bookmarkEnd w:id="989"/>
    </w:p>
    <w:p>
      <w:pPr>
        <w:pStyle w:val="Para 01"/>
      </w:pPr>
      <w:r>
        <w:t>Walter Z., HW 2625; Georg K., HW 2638.</w:t>
      </w:r>
    </w:p>
    <w:p>
      <w:bookmarkStart w:id="990" w:name="__237"/>
      <w:pPr>
        <w:pStyle w:val="Normal"/>
      </w:pPr>
      <w:r>
        <w:t>[</w:t>
      </w:r>
      <w:hyperlink w:anchor="237">
        <w:r>
          <w:rPr>
            <w:rStyle w:val="Text1"/>
          </w:rPr>
          <w:t>←237</w:t>
        </w:r>
      </w:hyperlink>
      <w:r>
        <w:t xml:space="preserve"> ] </w:t>
      </w:r>
      <w:bookmarkEnd w:id="990"/>
    </w:p>
    <w:p>
      <w:pPr>
        <w:pStyle w:val="Para 01"/>
      </w:pPr>
      <w:r>
        <w:t>Friedrich P., G 241-42.</w:t>
      </w:r>
    </w:p>
    <w:p>
      <w:bookmarkStart w:id="991" w:name="__238"/>
      <w:pPr>
        <w:pStyle w:val="Normal"/>
      </w:pPr>
      <w:r>
        <w:t>[</w:t>
      </w:r>
      <w:hyperlink w:anchor="238">
        <w:r>
          <w:rPr>
            <w:rStyle w:val="Text1"/>
          </w:rPr>
          <w:t>←238</w:t>
        </w:r>
      </w:hyperlink>
      <w:r>
        <w:t xml:space="preserve"> ] </w:t>
      </w:r>
      <w:bookmarkEnd w:id="991"/>
    </w:p>
    <w:p>
      <w:pPr>
        <w:pStyle w:val="Para 01"/>
      </w:pPr>
      <w:r>
        <w:t>Ernst H., HW 2725.</w:t>
      </w:r>
    </w:p>
    <w:p>
      <w:bookmarkStart w:id="992" w:name="__239"/>
      <w:pPr>
        <w:pStyle w:val="Normal"/>
      </w:pPr>
      <w:r>
        <w:t>[</w:t>
      </w:r>
      <w:hyperlink w:anchor="239">
        <w:r>
          <w:rPr>
            <w:rStyle w:val="Text1"/>
          </w:rPr>
          <w:t>←239</w:t>
        </w:r>
      </w:hyperlink>
      <w:r>
        <w:t xml:space="preserve"> ] </w:t>
      </w:r>
      <w:bookmarkEnd w:id="992"/>
    </w:p>
    <w:p>
      <w:pPr>
        <w:pStyle w:val="Para 01"/>
      </w:pPr>
      <w:r>
        <w:t>Johannes R., HW 1810; Rudolf K., HW 2650; Joseph P., HW 2750-51; Kurt D., HW 4368; Paul M., G 209.</w:t>
      </w:r>
    </w:p>
    <w:p>
      <w:bookmarkStart w:id="993" w:name="__240"/>
      <w:pPr>
        <w:pStyle w:val="Normal"/>
      </w:pPr>
      <w:r>
        <w:t>[</w:t>
      </w:r>
      <w:hyperlink w:anchor="240">
        <w:r>
          <w:rPr>
            <w:rStyle w:val="Text1"/>
          </w:rPr>
          <w:t>←240</w:t>
        </w:r>
      </w:hyperlink>
      <w:r>
        <w:t xml:space="preserve"> ] </w:t>
      </w:r>
      <w:bookmarkEnd w:id="993"/>
    </w:p>
    <w:p>
      <w:pPr>
        <w:pStyle w:val="Para 01"/>
      </w:pPr>
      <w:r>
        <w:t>Ernst Hr., HW 2725-26.</w:t>
      </w:r>
    </w:p>
    <w:p>
      <w:bookmarkStart w:id="994" w:name="__241"/>
      <w:pPr>
        <w:pStyle w:val="Normal"/>
      </w:pPr>
      <w:r>
        <w:t>[</w:t>
      </w:r>
      <w:hyperlink w:anchor="241">
        <w:r>
          <w:rPr>
            <w:rStyle w:val="Text1"/>
          </w:rPr>
          <w:t>←241</w:t>
        </w:r>
      </w:hyperlink>
      <w:r>
        <w:t xml:space="preserve"> ] </w:t>
      </w:r>
      <w:bookmarkEnd w:id="994"/>
    </w:p>
    <w:p>
      <w:pPr>
        <w:pStyle w:val="Para 01"/>
      </w:pPr>
      <w:r>
        <w:t>П</w:t>
        <w:t xml:space="preserve">рим. </w:t>
        <w:t>п</w:t>
        <w:t>ереводчика. Либо цитат</w:t>
        <w:t>ы</w:t>
        <w:t xml:space="preserve"> в оригинале приведен</w:t>
        <w:t>ы</w:t>
        <w:t xml:space="preserve"> неправильно, либо Гн</w:t>
        <w:t>а</w:t>
        <w:t>д</w:t>
        <w:t>е</w:t>
        <w:t xml:space="preserve"> (а может и офицер, или оба)</w:t>
        <w:t xml:space="preserve"> был слишком пьян для адекватного ответа.</w:t>
      </w:r>
    </w:p>
    <w:p>
      <w:bookmarkStart w:id="995" w:name="__242"/>
      <w:pPr>
        <w:pStyle w:val="Normal"/>
      </w:pPr>
      <w:r>
        <w:t>[</w:t>
      </w:r>
      <w:hyperlink w:anchor="242">
        <w:r>
          <w:rPr>
            <w:rStyle w:val="Text1"/>
          </w:rPr>
          <w:t>←242</w:t>
        </w:r>
      </w:hyperlink>
      <w:r>
        <w:t xml:space="preserve"> ] </w:t>
      </w:r>
      <w:bookmarkEnd w:id="995"/>
    </w:p>
    <w:p>
      <w:pPr>
        <w:pStyle w:val="Para 01"/>
      </w:pPr>
      <w:r>
        <w:t>Ernst Hr., HW 2256.</w:t>
      </w:r>
    </w:p>
    <w:p>
      <w:bookmarkStart w:id="996" w:name="__243"/>
      <w:pPr>
        <w:pStyle w:val="Normal"/>
      </w:pPr>
      <w:r>
        <w:t>[</w:t>
      </w:r>
      <w:hyperlink w:anchor="243">
        <w:r>
          <w:rPr>
            <w:rStyle w:val="Text1"/>
          </w:rPr>
          <w:t>←243</w:t>
        </w:r>
      </w:hyperlink>
      <w:r>
        <w:t xml:space="preserve"> ] </w:t>
      </w:r>
      <w:bookmarkEnd w:id="996"/>
    </w:p>
    <w:p>
      <w:pPr>
        <w:pStyle w:val="Para 01"/>
      </w:pPr>
      <w:r>
        <w:t>Ernst Hr., HW 2256-57; Kurt D., HW 4368; August Z., G 282; Joseph P., HW 2750-51; Walter L., G 186-87; Max F., HW 1388.</w:t>
      </w:r>
    </w:p>
    <w:p>
      <w:bookmarkStart w:id="997" w:name="__244"/>
      <w:pPr>
        <w:pStyle w:val="Normal"/>
      </w:pPr>
      <w:r>
        <w:t>[</w:t>
      </w:r>
      <w:hyperlink w:anchor="244">
        <w:r>
          <w:rPr>
            <w:rStyle w:val="Text1"/>
          </w:rPr>
          <w:t>←244</w:t>
        </w:r>
      </w:hyperlink>
      <w:r>
        <w:t xml:space="preserve"> ] </w:t>
      </w:r>
      <w:bookmarkEnd w:id="997"/>
    </w:p>
    <w:p>
      <w:pPr>
        <w:pStyle w:val="Para 01"/>
      </w:pPr>
      <w:r>
        <w:t>Bernhard S., HW 1717.</w:t>
      </w:r>
    </w:p>
    <w:p>
      <w:bookmarkStart w:id="998" w:name="__245"/>
      <w:pPr>
        <w:pStyle w:val="Normal"/>
      </w:pPr>
      <w:r>
        <w:t>[</w:t>
      </w:r>
      <w:hyperlink w:anchor="245">
        <w:r>
          <w:rPr>
            <w:rStyle w:val="Text1"/>
          </w:rPr>
          <w:t>←245</w:t>
        </w:r>
      </w:hyperlink>
      <w:r>
        <w:t xml:space="preserve"> ] </w:t>
      </w:r>
      <w:bookmarkEnd w:id="998"/>
    </w:p>
    <w:p>
      <w:pPr>
        <w:pStyle w:val="Para 01"/>
      </w:pPr>
      <w:r>
        <w:t>Rudolf B., HW 405; Bruno D., HW 2535; Heinrich B., HW 2613-14; August Z., HW 3365-66, G 284.</w:t>
      </w:r>
    </w:p>
    <w:p>
      <w:bookmarkStart w:id="999" w:name="__246"/>
      <w:pPr>
        <w:pStyle w:val="Normal"/>
      </w:pPr>
      <w:r>
        <w:t>[</w:t>
      </w:r>
      <w:hyperlink w:anchor="246">
        <w:r>
          <w:rPr>
            <w:rStyle w:val="Text1"/>
          </w:rPr>
          <w:t>←246</w:t>
        </w:r>
      </w:hyperlink>
      <w:r>
        <w:t xml:space="preserve"> ] </w:t>
      </w:r>
      <w:bookmarkEnd w:id="999"/>
    </w:p>
    <w:p>
      <w:pPr>
        <w:pStyle w:val="Para 01"/>
      </w:pPr>
      <w:r>
        <w:t>Fritz S., G 303-4; Paul M., G 209; Bernhard S., HW 1717.</w:t>
      </w:r>
    </w:p>
    <w:p>
      <w:bookmarkStart w:id="1000" w:name="__247"/>
      <w:pPr>
        <w:pStyle w:val="Normal"/>
      </w:pPr>
      <w:r>
        <w:t>[</w:t>
      </w:r>
      <w:hyperlink w:anchor="247">
        <w:r>
          <w:rPr>
            <w:rStyle w:val="Text1"/>
          </w:rPr>
          <w:t>←247</w:t>
        </w:r>
      </w:hyperlink>
      <w:r>
        <w:t xml:space="preserve"> ] </w:t>
      </w:r>
      <w:bookmarkEnd w:id="1000"/>
    </w:p>
    <w:p>
      <w:pPr>
        <w:pStyle w:val="Para 01"/>
      </w:pPr>
      <w:r>
        <w:t>Anton B., HW 4374.</w:t>
      </w:r>
    </w:p>
    <w:p>
      <w:bookmarkStart w:id="1001" w:name="__248"/>
      <w:pPr>
        <w:pStyle w:val="Normal"/>
      </w:pPr>
      <w:r>
        <w:t>[</w:t>
      </w:r>
      <w:hyperlink w:anchor="248">
        <w:r>
          <w:rPr>
            <w:rStyle w:val="Text1"/>
          </w:rPr>
          <w:t>←248</w:t>
        </w:r>
      </w:hyperlink>
      <w:r>
        <w:t xml:space="preserve"> ] </w:t>
      </w:r>
      <w:bookmarkEnd w:id="1001"/>
    </w:p>
    <w:p>
      <w:pPr>
        <w:pStyle w:val="Para 01"/>
      </w:pPr>
      <w:r>
        <w:t>August Z., G 282.</w:t>
      </w:r>
    </w:p>
    <w:p>
      <w:bookmarkStart w:id="1002" w:name="__249"/>
      <w:pPr>
        <w:pStyle w:val="Normal"/>
      </w:pPr>
      <w:r>
        <w:t>[</w:t>
      </w:r>
      <w:hyperlink w:anchor="249">
        <w:r>
          <w:rPr>
            <w:rStyle w:val="Text1"/>
          </w:rPr>
          <w:t>←249</w:t>
        </w:r>
      </w:hyperlink>
      <w:r>
        <w:t xml:space="preserve"> ] </w:t>
      </w:r>
      <w:bookmarkEnd w:id="1002"/>
    </w:p>
    <w:p>
      <w:pPr>
        <w:pStyle w:val="Para 01"/>
      </w:pPr>
      <w:r>
        <w:t>Ernst Hr., HW 2727-28; August Z., G 284.</w:t>
      </w:r>
    </w:p>
    <w:p>
      <w:bookmarkStart w:id="1003" w:name="__250"/>
      <w:pPr>
        <w:pStyle w:val="Normal"/>
      </w:pPr>
      <w:r>
        <w:t>[</w:t>
      </w:r>
      <w:hyperlink w:anchor="250">
        <w:r>
          <w:rPr>
            <w:rStyle w:val="Text1"/>
          </w:rPr>
          <w:t>←250</w:t>
        </w:r>
      </w:hyperlink>
      <w:r>
        <w:t xml:space="preserve"> ] </w:t>
      </w:r>
      <w:bookmarkEnd w:id="1003"/>
    </w:p>
    <w:p>
      <w:pPr>
        <w:pStyle w:val="Para 01"/>
      </w:pPr>
      <w:r>
        <w:t>Ernst Hr., 2727.</w:t>
      </w:r>
    </w:p>
    <w:p>
      <w:bookmarkStart w:id="1004" w:name="__251"/>
      <w:pPr>
        <w:pStyle w:val="Normal"/>
      </w:pPr>
      <w:r>
        <w:t>[</w:t>
      </w:r>
      <w:hyperlink w:anchor="251">
        <w:r>
          <w:rPr>
            <w:rStyle w:val="Text1"/>
          </w:rPr>
          <w:t>←251</w:t>
        </w:r>
      </w:hyperlink>
      <w:r>
        <w:t xml:space="preserve"> ] </w:t>
      </w:r>
      <w:bookmarkEnd w:id="1004"/>
    </w:p>
    <w:p>
      <w:pPr>
        <w:pStyle w:val="Para 01"/>
      </w:pPr>
      <w:r>
        <w:t>Georg K., HW 2638.</w:t>
      </w:r>
    </w:p>
    <w:p>
      <w:bookmarkStart w:id="1005" w:name="__252"/>
      <w:pPr>
        <w:pStyle w:val="Normal"/>
      </w:pPr>
      <w:r>
        <w:t>[</w:t>
      </w:r>
      <w:hyperlink w:anchor="252">
        <w:r>
          <w:rPr>
            <w:rStyle w:val="Text1"/>
          </w:rPr>
          <w:t>←252</w:t>
        </w:r>
      </w:hyperlink>
      <w:r>
        <w:t xml:space="preserve"> ] </w:t>
      </w:r>
      <w:bookmarkEnd w:id="1005"/>
    </w:p>
    <w:p>
      <w:pPr>
        <w:pStyle w:val="Para 01"/>
      </w:pPr>
      <w:r>
        <w:t>Paul M., G 206, 209.</w:t>
      </w:r>
    </w:p>
    <w:p>
      <w:bookmarkStart w:id="1006" w:name="__253"/>
      <w:pPr>
        <w:pStyle w:val="Normal"/>
      </w:pPr>
      <w:r>
        <w:t>[</w:t>
      </w:r>
      <w:hyperlink w:anchor="253">
        <w:r>
          <w:rPr>
            <w:rStyle w:val="Text1"/>
          </w:rPr>
          <w:t>←253</w:t>
        </w:r>
      </w:hyperlink>
      <w:r>
        <w:t xml:space="preserve"> ] </w:t>
      </w:r>
      <w:bookmarkEnd w:id="1006"/>
    </w:p>
    <w:p>
      <w:pPr>
        <w:pStyle w:val="Para 01"/>
      </w:pPr>
      <w:r>
        <w:t>Adolf B., HW 441.</w:t>
      </w:r>
    </w:p>
    <w:p>
      <w:bookmarkStart w:id="1007" w:name="__254"/>
      <w:pPr>
        <w:pStyle w:val="Normal"/>
      </w:pPr>
      <w:r>
        <w:t>[</w:t>
      </w:r>
      <w:hyperlink w:anchor="254">
        <w:r>
          <w:rPr>
            <w:rStyle w:val="Text1"/>
          </w:rPr>
          <w:t>←254</w:t>
        </w:r>
      </w:hyperlink>
      <w:r>
        <w:t xml:space="preserve"> ] </w:t>
      </w:r>
      <w:bookmarkEnd w:id="1007"/>
    </w:p>
    <w:p>
      <w:pPr>
        <w:pStyle w:val="Para 01"/>
      </w:pPr>
      <w:r>
        <w:t>Anton B., HW 2703-4.</w:t>
      </w:r>
    </w:p>
    <w:p>
      <w:bookmarkStart w:id="1008" w:name="__255"/>
      <w:pPr>
        <w:pStyle w:val="Normal"/>
      </w:pPr>
      <w:r>
        <w:t>[</w:t>
      </w:r>
      <w:hyperlink w:anchor="255">
        <w:r>
          <w:rPr>
            <w:rStyle w:val="Text1"/>
          </w:rPr>
          <w:t>←255</w:t>
        </w:r>
      </w:hyperlink>
      <w:r>
        <w:t xml:space="preserve"> ] </w:t>
      </w:r>
      <w:bookmarkEnd w:id="1008"/>
    </w:p>
    <w:p>
      <w:pPr>
        <w:pStyle w:val="Para 01"/>
      </w:pPr>
      <w:r>
        <w:t>Heinrich S., HW 1569.</w:t>
      </w:r>
    </w:p>
    <w:p>
      <w:bookmarkStart w:id="1009" w:name="__256"/>
      <w:pPr>
        <w:pStyle w:val="Normal"/>
      </w:pPr>
      <w:r>
        <w:t>[</w:t>
      </w:r>
      <w:hyperlink w:anchor="256">
        <w:r>
          <w:rPr>
            <w:rStyle w:val="Text1"/>
          </w:rPr>
          <w:t>←256</w:t>
        </w:r>
      </w:hyperlink>
      <w:r>
        <w:t xml:space="preserve"> ] </w:t>
      </w:r>
      <w:bookmarkEnd w:id="1009"/>
    </w:p>
    <w:p>
      <w:pPr>
        <w:pStyle w:val="Para 01"/>
      </w:pPr>
      <w:r>
        <w:t>Georg K., HW 2637; Joseph P., HW 2747.</w:t>
      </w:r>
    </w:p>
    <w:p>
      <w:bookmarkStart w:id="1010" w:name="__257"/>
      <w:pPr>
        <w:pStyle w:val="Normal"/>
      </w:pPr>
      <w:r>
        <w:t>[</w:t>
      </w:r>
      <w:hyperlink w:anchor="257">
        <w:r>
          <w:rPr>
            <w:rStyle w:val="Text1"/>
          </w:rPr>
          <w:t>←257</w:t>
        </w:r>
      </w:hyperlink>
      <w:r>
        <w:t xml:space="preserve"> ] </w:t>
      </w:r>
      <w:bookmarkEnd w:id="1010"/>
    </w:p>
    <w:p>
      <w:pPr>
        <w:pStyle w:val="Para 01"/>
      </w:pPr>
      <w:r>
        <w:t>Erwin G., HW 1642, 2507.</w:t>
      </w:r>
    </w:p>
    <w:p>
      <w:bookmarkStart w:id="1011" w:name="__258"/>
      <w:pPr>
        <w:pStyle w:val="Normal"/>
      </w:pPr>
      <w:r>
        <w:t>[</w:t>
      </w:r>
      <w:hyperlink w:anchor="258">
        <w:r>
          <w:rPr>
            <w:rStyle w:val="Text1"/>
          </w:rPr>
          <w:t>←258</w:t>
        </w:r>
      </w:hyperlink>
      <w:r>
        <w:t xml:space="preserve"> ] </w:t>
      </w:r>
      <w:bookmarkEnd w:id="1011"/>
    </w:p>
    <w:p>
      <w:pPr>
        <w:pStyle w:val="Para 01"/>
      </w:pPr>
      <w:r>
        <w:t>Hans K., HW 2251; Georg K., HW 2636.</w:t>
      </w:r>
    </w:p>
    <w:p>
      <w:bookmarkStart w:id="1012" w:name="__259"/>
      <w:pPr>
        <w:pStyle w:val="Normal"/>
      </w:pPr>
      <w:r>
        <w:t>[</w:t>
      </w:r>
      <w:hyperlink w:anchor="259">
        <w:r>
          <w:rPr>
            <w:rStyle w:val="Text1"/>
          </w:rPr>
          <w:t>←259</w:t>
        </w:r>
      </w:hyperlink>
      <w:r>
        <w:t xml:space="preserve"> ] </w:t>
      </w:r>
      <w:bookmarkEnd w:id="1012"/>
    </w:p>
    <w:p>
      <w:pPr>
        <w:pStyle w:val="Para 01"/>
      </w:pPr>
      <w:r>
        <w:t>О роли первой роты как «поискового отряда» смотри Paul H., HW 1652; Hans K., HW 2251.</w:t>
      </w:r>
    </w:p>
    <w:p>
      <w:bookmarkStart w:id="1013" w:name="__260"/>
      <w:pPr>
        <w:pStyle w:val="Normal"/>
      </w:pPr>
      <w:r>
        <w:t>[</w:t>
      </w:r>
      <w:hyperlink w:anchor="260">
        <w:r>
          <w:rPr>
            <w:rStyle w:val="Text1"/>
          </w:rPr>
          <w:t>←260</w:t>
        </w:r>
      </w:hyperlink>
      <w:r>
        <w:t xml:space="preserve"> ] </w:t>
      </w:r>
      <w:bookmarkEnd w:id="1013"/>
    </w:p>
    <w:p>
      <w:pPr>
        <w:pStyle w:val="Para 01"/>
      </w:pPr>
      <w:r>
        <w:t>В целом о депортациях из Парчева смотри Heinrich S., HW 1569-73, ?383; Erwin G., HW 1641-42, 2507; Paul H., HW 1652; Bruno D., HW 1876-77; Heinrich E., HW 2170; Otto H., HW 2220; Hans K., HW 2251-52; Max D., HW 2536; Heinrich B., HW 2608; Georg K., HW 2636; August Z., HW 3366, G 278-79; Alfred K., G 575-76.</w:t>
      </w:r>
    </w:p>
    <w:p>
      <w:bookmarkStart w:id="1014" w:name="__261"/>
      <w:pPr>
        <w:pStyle w:val="Normal"/>
      </w:pPr>
      <w:r>
        <w:t>[</w:t>
      </w:r>
      <w:hyperlink w:anchor="261">
        <w:r>
          <w:rPr>
            <w:rStyle w:val="Text1"/>
          </w:rPr>
          <w:t>←261</w:t>
        </w:r>
      </w:hyperlink>
      <w:r>
        <w:t xml:space="preserve"> ] </w:t>
      </w:r>
      <w:bookmarkEnd w:id="1014"/>
    </w:p>
    <w:p>
      <w:pPr>
        <w:pStyle w:val="Para 01"/>
      </w:pPr>
      <w:r>
        <w:t>Heinrich S., HW 1572. Признание Штайнмеца является исключением. Конечно же, намного более обычным для полицейских было отрицание какого-либо знания о судьбе депортированных евреев.</w:t>
      </w:r>
    </w:p>
    <w:p>
      <w:bookmarkStart w:id="1015" w:name="__262"/>
      <w:pPr>
        <w:pStyle w:val="Normal"/>
      </w:pPr>
      <w:r>
        <w:t>[</w:t>
      </w:r>
      <w:hyperlink w:anchor="262">
        <w:r>
          <w:rPr>
            <w:rStyle w:val="Text1"/>
          </w:rPr>
          <w:t>←262</w:t>
        </w:r>
      </w:hyperlink>
      <w:r>
        <w:t xml:space="preserve"> ] </w:t>
      </w:r>
      <w:bookmarkEnd w:id="1015"/>
    </w:p>
    <w:p>
      <w:pPr>
        <w:pStyle w:val="Para 01"/>
      </w:pPr>
      <w:r>
        <w:t>Heinrich B., HW 2608; August Z., G 279.</w:t>
      </w:r>
    </w:p>
    <w:p>
      <w:bookmarkStart w:id="1016" w:name="__263"/>
      <w:pPr>
        <w:pStyle w:val="Normal"/>
      </w:pPr>
      <w:r>
        <w:t>[</w:t>
      </w:r>
      <w:hyperlink w:anchor="263">
        <w:r>
          <w:rPr>
            <w:rStyle w:val="Text1"/>
          </w:rPr>
          <w:t>←263</w:t>
        </w:r>
      </w:hyperlink>
      <w:r>
        <w:t xml:space="preserve"> ] </w:t>
      </w:r>
      <w:bookmarkEnd w:id="1016"/>
    </w:p>
    <w:p>
      <w:pPr>
        <w:pStyle w:val="Para 01"/>
      </w:pPr>
      <w:r>
        <w:t>В воспоминаниях почти всех полицейских августовские депортации из Мендзыжеца сжались в один день. Однако один полицейский Heinrich R., G 626 и все еврейские свидетели Tauba T., HW 1066-67; Berl C., HW 1092; Rywka G., HW 1112; ZStL, 8 AR-Z 236/60 [</w:t>
        <w:t>расследование отделения</w:t>
        <w:t xml:space="preserve"> KdS </w:t>
        <w:t>в Радзине</w:t>
        <w:t>], 1:3-4 [выдержка из Feigenbaum] вспоминали двухдневную операцию. Учитывая количество депортированных евреев, практически точно необходимо было два дня.</w:t>
      </w:r>
    </w:p>
    <w:p>
      <w:bookmarkStart w:id="1017" w:name="__264"/>
      <w:pPr>
        <w:pStyle w:val="Normal"/>
      </w:pPr>
      <w:r>
        <w:t>[</w:t>
      </w:r>
      <w:hyperlink w:anchor="264">
        <w:r>
          <w:rPr>
            <w:rStyle w:val="Text1"/>
          </w:rPr>
          <w:t>←264</w:t>
        </w:r>
      </w:hyperlink>
      <w:r>
        <w:t xml:space="preserve"> ] </w:t>
      </w:r>
      <w:bookmarkEnd w:id="1017"/>
    </w:p>
    <w:p>
      <w:pPr>
        <w:pStyle w:val="Para 01"/>
      </w:pPr>
      <w:r>
        <w:t xml:space="preserve">YVA, TR-10/710 (Landgericht Dortmund, 8 Ks 1/70 judgement against Josef </w:t>
        <w:t>Bürger), 16.</w:t>
        <w:t xml:space="preserve"> </w:t>
      </w:r>
    </w:p>
    <w:p>
      <w:bookmarkStart w:id="1018" w:name="__265"/>
      <w:pPr>
        <w:pStyle w:val="Normal"/>
      </w:pPr>
      <w:r>
        <w:t>[</w:t>
      </w:r>
      <w:hyperlink w:anchor="265">
        <w:r>
          <w:rPr>
            <w:rStyle w:val="Text1"/>
          </w:rPr>
          <w:t>←265</w:t>
        </w:r>
      </w:hyperlink>
      <w:r>
        <w:t xml:space="preserve"> ] </w:t>
      </w:r>
      <w:bookmarkEnd w:id="1018"/>
    </w:p>
    <w:p>
      <w:pPr>
        <w:pStyle w:val="Para 01"/>
      </w:pPr>
      <w:r>
        <w:t>Полицейские из второй и третьей роты в своих показаниях указывали, что вторая рота тоже участвовала. Однако кроме третьего взвода ни один член второй роты — даже те, кто открыто давал показания о Ломазы и Юзефуве — не помнил депортации из Мендзыжеца в Августе. Таким образом, я считаю наиболее вероятным, что первый и второй взводы второй роты в этом случае отсутствовали.</w:t>
      </w:r>
    </w:p>
    <w:p>
      <w:bookmarkStart w:id="1019" w:name="__266"/>
      <w:pPr>
        <w:pStyle w:val="Normal"/>
      </w:pPr>
      <w:r>
        <w:t>[</w:t>
      </w:r>
      <w:hyperlink w:anchor="266">
        <w:r>
          <w:rPr>
            <w:rStyle w:val="Text1"/>
          </w:rPr>
          <w:t>←266</w:t>
        </w:r>
      </w:hyperlink>
      <w:r>
        <w:t xml:space="preserve"> ] </w:t>
      </w:r>
      <w:bookmarkEnd w:id="1019"/>
    </w:p>
    <w:p>
      <w:pPr>
        <w:pStyle w:val="Para 01"/>
      </w:pPr>
      <w:r>
        <w:t>Ernst Hn., G 512; Heinrich R., G 625.</w:t>
      </w:r>
    </w:p>
    <w:p>
      <w:bookmarkStart w:id="1020" w:name="__267"/>
      <w:pPr>
        <w:pStyle w:val="Normal"/>
      </w:pPr>
      <w:r>
        <w:t>[</w:t>
      </w:r>
      <w:hyperlink w:anchor="267">
        <w:r>
          <w:rPr>
            <w:rStyle w:val="Text1"/>
          </w:rPr>
          <w:t>←267</w:t>
        </w:r>
      </w:hyperlink>
      <w:r>
        <w:t xml:space="preserve"> ] </w:t>
      </w:r>
      <w:bookmarkEnd w:id="1020"/>
    </w:p>
    <w:p>
      <w:pPr>
        <w:pStyle w:val="Para 01"/>
      </w:pPr>
      <w:r>
        <w:t>Heinrich H., HW 976, 3219. Так же смотри Friedrich B., HW 1582, 3529; Hans K., 2252, 3220.</w:t>
      </w:r>
    </w:p>
    <w:p>
      <w:bookmarkStart w:id="1021" w:name="__268"/>
      <w:pPr>
        <w:pStyle w:val="Normal"/>
      </w:pPr>
      <w:r>
        <w:t>[</w:t>
      </w:r>
      <w:hyperlink w:anchor="268">
        <w:r>
          <w:rPr>
            <w:rStyle w:val="Text1"/>
          </w:rPr>
          <w:t>←268</w:t>
        </w:r>
      </w:hyperlink>
      <w:r>
        <w:t xml:space="preserve"> ] </w:t>
      </w:r>
      <w:bookmarkEnd w:id="1021"/>
    </w:p>
    <w:p>
      <w:pPr>
        <w:pStyle w:val="Para 01"/>
      </w:pPr>
      <w:r>
        <w:t>H. оценка от 6 декабря 1940 и 31 марта 1941 в HW 565-67.</w:t>
      </w:r>
    </w:p>
    <w:p>
      <w:bookmarkStart w:id="1022" w:name="__269"/>
      <w:pPr>
        <w:pStyle w:val="Normal"/>
      </w:pPr>
      <w:r>
        <w:t>[</w:t>
      </w:r>
      <w:hyperlink w:anchor="269">
        <w:r>
          <w:rPr>
            <w:rStyle w:val="Text1"/>
          </w:rPr>
          <w:t>←269</w:t>
        </w:r>
      </w:hyperlink>
      <w:r>
        <w:t xml:space="preserve"> ] </w:t>
      </w:r>
      <w:bookmarkEnd w:id="1022"/>
    </w:p>
    <w:p>
      <w:pPr>
        <w:pStyle w:val="Para 01"/>
      </w:pPr>
      <w:r>
        <w:t>R. оценка от 21 июля 1941 в HW 574-80.</w:t>
      </w:r>
    </w:p>
    <w:p>
      <w:bookmarkStart w:id="1023" w:name="__270"/>
      <w:pPr>
        <w:pStyle w:val="Normal"/>
      </w:pPr>
      <w:r>
        <w:t>[</w:t>
      </w:r>
      <w:hyperlink w:anchor="270">
        <w:r>
          <w:rPr>
            <w:rStyle w:val="Text1"/>
          </w:rPr>
          <w:t>←270</w:t>
        </w:r>
      </w:hyperlink>
      <w:r>
        <w:t xml:space="preserve"> ] </w:t>
      </w:r>
      <w:bookmarkEnd w:id="1023"/>
    </w:p>
    <w:p>
      <w:pPr>
        <w:pStyle w:val="Para 01"/>
      </w:pPr>
      <w:r>
        <w:t xml:space="preserve">Оценка Траппа от 21 июля 1941 в HW 574-80. </w:t>
        <w:t>Прим. переводчика — не выделено автором как цитата.</w:t>
        <w:t xml:space="preserve"> </w:t>
      </w:r>
    </w:p>
    <w:p>
      <w:bookmarkStart w:id="1024" w:name="__271"/>
      <w:pPr>
        <w:pStyle w:val="Normal"/>
      </w:pPr>
      <w:r>
        <w:t>[</w:t>
      </w:r>
      <w:hyperlink w:anchor="271">
        <w:r>
          <w:rPr>
            <w:rStyle w:val="Text1"/>
          </w:rPr>
          <w:t>←271</w:t>
        </w:r>
      </w:hyperlink>
      <w:r>
        <w:t xml:space="preserve"> ] </w:t>
      </w:r>
      <w:bookmarkEnd w:id="1024"/>
    </w:p>
    <w:p>
      <w:pPr>
        <w:pStyle w:val="Para 01"/>
      </w:pPr>
      <w:r>
        <w:t>Hans P</w:t>
        <w:t>g</w:t>
        <w:t>., HW 1945; Ernst Hr., HW 2713.</w:t>
      </w:r>
    </w:p>
    <w:p>
      <w:bookmarkStart w:id="1025" w:name="__272"/>
      <w:pPr>
        <w:pStyle w:val="Normal"/>
      </w:pPr>
      <w:r>
        <w:t>[</w:t>
      </w:r>
      <w:hyperlink w:anchor="272">
        <w:r>
          <w:rPr>
            <w:rStyle w:val="Text1"/>
          </w:rPr>
          <w:t>←272</w:t>
        </w:r>
      </w:hyperlink>
      <w:r>
        <w:t xml:space="preserve"> ] </w:t>
      </w:r>
      <w:bookmarkEnd w:id="1025"/>
    </w:p>
    <w:p>
      <w:pPr>
        <w:pStyle w:val="Para 01"/>
      </w:pPr>
      <w:r>
        <w:t>Chief Clerk</w:t>
      </w:r>
    </w:p>
    <w:p>
      <w:bookmarkStart w:id="1026" w:name="__273"/>
      <w:pPr>
        <w:pStyle w:val="Normal"/>
      </w:pPr>
      <w:r>
        <w:t>[</w:t>
      </w:r>
      <w:hyperlink w:anchor="273">
        <w:r>
          <w:rPr>
            <w:rStyle w:val="Text1"/>
          </w:rPr>
          <w:t>←273</w:t>
        </w:r>
      </w:hyperlink>
      <w:r>
        <w:t xml:space="preserve"> ] </w:t>
      </w:r>
      <w:bookmarkEnd w:id="1026"/>
    </w:p>
    <w:p>
      <w:pPr>
        <w:pStyle w:val="Para 01"/>
      </w:pPr>
      <w:r>
        <w:t>Heinrich E., HW 3351, 3354.</w:t>
      </w:r>
    </w:p>
    <w:p>
      <w:bookmarkStart w:id="1027" w:name="__274"/>
      <w:pPr>
        <w:pStyle w:val="Normal"/>
      </w:pPr>
      <w:r>
        <w:t>[</w:t>
      </w:r>
      <w:hyperlink w:anchor="274">
        <w:r>
          <w:rPr>
            <w:rStyle w:val="Text1"/>
          </w:rPr>
          <w:t>←274</w:t>
        </w:r>
      </w:hyperlink>
      <w:r>
        <w:t xml:space="preserve"> ] </w:t>
      </w:r>
      <w:bookmarkEnd w:id="1027"/>
    </w:p>
    <w:p>
      <w:pPr>
        <w:pStyle w:val="Para 01"/>
      </w:pPr>
      <w:r>
        <w:t>Heinz B., HW 4414.</w:t>
      </w:r>
    </w:p>
    <w:p>
      <w:bookmarkStart w:id="1028" w:name="__275"/>
      <w:pPr>
        <w:pStyle w:val="Normal"/>
      </w:pPr>
      <w:r>
        <w:t>[</w:t>
      </w:r>
      <w:hyperlink w:anchor="275">
        <w:r>
          <w:rPr>
            <w:rStyle w:val="Text1"/>
          </w:rPr>
          <w:t>←275</w:t>
        </w:r>
      </w:hyperlink>
      <w:r>
        <w:t xml:space="preserve"> ] </w:t>
      </w:r>
      <w:bookmarkEnd w:id="1028"/>
    </w:p>
    <w:p>
      <w:pPr>
        <w:pStyle w:val="Para 01"/>
      </w:pPr>
      <w:r>
        <w:t>Юлиус Волауф, HW 750-51, 760.</w:t>
      </w:r>
    </w:p>
    <w:p>
      <w:bookmarkStart w:id="1029" w:name="__276"/>
      <w:pPr>
        <w:pStyle w:val="Normal"/>
      </w:pPr>
      <w:r>
        <w:t>[</w:t>
      </w:r>
      <w:hyperlink w:anchor="276">
        <w:r>
          <w:rPr>
            <w:rStyle w:val="Text1"/>
          </w:rPr>
          <w:t>←276</w:t>
        </w:r>
      </w:hyperlink>
      <w:r>
        <w:t xml:space="preserve"> ] </w:t>
      </w:r>
      <w:bookmarkEnd w:id="1029"/>
    </w:p>
    <w:p>
      <w:pPr>
        <w:pStyle w:val="Para 01"/>
      </w:pPr>
      <w:r>
        <w:t>Friedrich B., HW 1582; Friedrich Bm., HW 2099; Heinz B. And Arthur K., HW 3357; Ernst R., G 610; Heinrich R., G 627.</w:t>
      </w:r>
    </w:p>
    <w:p>
      <w:bookmarkStart w:id="1030" w:name="__277"/>
      <w:pPr>
        <w:pStyle w:val="Normal"/>
      </w:pPr>
      <w:r>
        <w:t>[</w:t>
      </w:r>
      <w:hyperlink w:anchor="277">
        <w:r>
          <w:rPr>
            <w:rStyle w:val="Text1"/>
          </w:rPr>
          <w:t>←277</w:t>
        </w:r>
      </w:hyperlink>
      <w:r>
        <w:t xml:space="preserve"> ] </w:t>
      </w:r>
      <w:bookmarkEnd w:id="1030"/>
    </w:p>
    <w:p>
      <w:pPr>
        <w:pStyle w:val="Para 01"/>
      </w:pPr>
      <w:r>
        <w:t>Самые детальные показания о депортациях в Ме</w:t>
        <w:t>н</w:t>
        <w:t>дзыжеце дали Heinrich H., HW 976-78; Friedrich B., HW 1582-83; Hans K., HW 2253-54; Ernst Hn., G 512-13; Ernst R., G 610-12; Karl S., G 659-60.</w:t>
      </w:r>
    </w:p>
    <w:p>
      <w:bookmarkStart w:id="1031" w:name="__278"/>
      <w:pPr>
        <w:pStyle w:val="Normal"/>
      </w:pPr>
      <w:r>
        <w:t>[</w:t>
      </w:r>
      <w:hyperlink w:anchor="278">
        <w:r>
          <w:rPr>
            <w:rStyle w:val="Text1"/>
          </w:rPr>
          <w:t>←278</w:t>
        </w:r>
      </w:hyperlink>
      <w:r>
        <w:t xml:space="preserve"> ] </w:t>
      </w:r>
      <w:bookmarkEnd w:id="1031"/>
    </w:p>
    <w:p>
      <w:pPr>
        <w:pStyle w:val="Para 01"/>
      </w:pPr>
      <w:r>
        <w:t>Hans K., HW 2253.</w:t>
      </w:r>
    </w:p>
    <w:p>
      <w:bookmarkStart w:id="1032" w:name="__279"/>
      <w:pPr>
        <w:pStyle w:val="Normal"/>
      </w:pPr>
      <w:r>
        <w:t>[</w:t>
      </w:r>
      <w:hyperlink w:anchor="279">
        <w:r>
          <w:rPr>
            <w:rStyle w:val="Text1"/>
          </w:rPr>
          <w:t>←279</w:t>
        </w:r>
      </w:hyperlink>
      <w:r>
        <w:t xml:space="preserve"> ] </w:t>
      </w:r>
      <w:bookmarkEnd w:id="1032"/>
    </w:p>
    <w:p>
      <w:pPr>
        <w:pStyle w:val="Para 01"/>
      </w:pPr>
      <w:r>
        <w:t>Karl S., G 659.</w:t>
      </w:r>
    </w:p>
    <w:p>
      <w:bookmarkStart w:id="1033" w:name="__280"/>
      <w:pPr>
        <w:pStyle w:val="Normal"/>
      </w:pPr>
      <w:r>
        <w:t>[</w:t>
      </w:r>
      <w:hyperlink w:anchor="280">
        <w:r>
          <w:rPr>
            <w:rStyle w:val="Text1"/>
          </w:rPr>
          <w:t>←280</w:t>
        </w:r>
      </w:hyperlink>
      <w:r>
        <w:t xml:space="preserve"> ] </w:t>
      </w:r>
      <w:bookmarkEnd w:id="1033"/>
    </w:p>
    <w:p>
      <w:pPr>
        <w:pStyle w:val="Para 01"/>
      </w:pPr>
      <w:r>
        <w:t>Heinrich R., G 610.</w:t>
      </w:r>
    </w:p>
    <w:p>
      <w:bookmarkStart w:id="1034" w:name="__281"/>
      <w:pPr>
        <w:pStyle w:val="Normal"/>
      </w:pPr>
      <w:r>
        <w:t>[</w:t>
      </w:r>
      <w:hyperlink w:anchor="281">
        <w:r>
          <w:rPr>
            <w:rStyle w:val="Text1"/>
          </w:rPr>
          <w:t>←281</w:t>
        </w:r>
      </w:hyperlink>
      <w:r>
        <w:t xml:space="preserve"> ] </w:t>
      </w:r>
      <w:bookmarkEnd w:id="1034"/>
    </w:p>
    <w:p>
      <w:pPr>
        <w:pStyle w:val="Para 01"/>
      </w:pPr>
      <w:r>
        <w:t>Friedrich B., HW 3529.</w:t>
      </w:r>
    </w:p>
    <w:p>
      <w:bookmarkStart w:id="1035" w:name="__282"/>
      <w:pPr>
        <w:pStyle w:val="Normal"/>
      </w:pPr>
      <w:r>
        <w:t>[</w:t>
      </w:r>
      <w:hyperlink w:anchor="282">
        <w:r>
          <w:rPr>
            <w:rStyle w:val="Text1"/>
          </w:rPr>
          <w:t>←282</w:t>
        </w:r>
      </w:hyperlink>
      <w:r>
        <w:t xml:space="preserve"> ] </w:t>
      </w:r>
      <w:bookmarkEnd w:id="1035"/>
    </w:p>
    <w:p>
      <w:pPr>
        <w:pStyle w:val="Para 01"/>
      </w:pPr>
      <w:r>
        <w:t>Friedrich B., HW 1583; Ernst Hn., G 512.</w:t>
      </w:r>
    </w:p>
    <w:p>
      <w:bookmarkStart w:id="1036" w:name="__283"/>
      <w:pPr>
        <w:pStyle w:val="Normal"/>
      </w:pPr>
      <w:r>
        <w:t>[</w:t>
      </w:r>
      <w:hyperlink w:anchor="283">
        <w:r>
          <w:rPr>
            <w:rStyle w:val="Text1"/>
          </w:rPr>
          <w:t>←283</w:t>
        </w:r>
      </w:hyperlink>
      <w:r>
        <w:t xml:space="preserve"> ] </w:t>
      </w:r>
      <w:bookmarkEnd w:id="1036"/>
    </w:p>
    <w:p>
      <w:pPr>
        <w:pStyle w:val="Para 01"/>
      </w:pPr>
      <w:r>
        <w:t>Heinrich H., HW 978, 3219; Hans K., HW 3220; Ernst R., G 611.</w:t>
      </w:r>
    </w:p>
    <w:p>
      <w:bookmarkStart w:id="1037" w:name="__284"/>
      <w:pPr>
        <w:pStyle w:val="Normal"/>
      </w:pPr>
      <w:r>
        <w:t>[</w:t>
      </w:r>
      <w:hyperlink w:anchor="284">
        <w:r>
          <w:rPr>
            <w:rStyle w:val="Text1"/>
          </w:rPr>
          <w:t>←284</w:t>
        </w:r>
      </w:hyperlink>
      <w:r>
        <w:t xml:space="preserve"> ] </w:t>
      </w:r>
      <w:bookmarkEnd w:id="1037"/>
    </w:p>
    <w:p>
      <w:pPr>
        <w:pStyle w:val="Para 01"/>
      </w:pPr>
      <w:r>
        <w:t>Heinrich H., HW 977; Friedrich B., HW 1584; Hans K., HW 2254; Ernst Hn., G 513; Ernst R., G 612.</w:t>
      </w:r>
    </w:p>
    <w:p>
      <w:bookmarkStart w:id="1038" w:name="__285"/>
      <w:pPr>
        <w:pStyle w:val="Normal"/>
      </w:pPr>
      <w:r>
        <w:t>[</w:t>
      </w:r>
      <w:hyperlink w:anchor="285">
        <w:r>
          <w:rPr>
            <w:rStyle w:val="Text1"/>
          </w:rPr>
          <w:t>←285</w:t>
        </w:r>
      </w:hyperlink>
      <w:r>
        <w:t xml:space="preserve"> ] </w:t>
      </w:r>
      <w:bookmarkEnd w:id="1038"/>
    </w:p>
    <w:p>
      <w:pPr>
        <w:pStyle w:val="Para 01"/>
      </w:pPr>
      <w:r>
        <w:t xml:space="preserve">Прим. переводчика </w:t>
        <w:t>—</w:t>
        <w:t xml:space="preserve"> гибкая трость для тренировки и управления лошадьми.</w:t>
      </w:r>
    </w:p>
    <w:p>
      <w:bookmarkStart w:id="1039" w:name="__286"/>
      <w:pPr>
        <w:pStyle w:val="Normal"/>
      </w:pPr>
      <w:r>
        <w:t>[</w:t>
      </w:r>
      <w:hyperlink w:anchor="286">
        <w:r>
          <w:rPr>
            <w:rStyle w:val="Text1"/>
          </w:rPr>
          <w:t>←286</w:t>
        </w:r>
      </w:hyperlink>
      <w:r>
        <w:t xml:space="preserve"> ] </w:t>
      </w:r>
      <w:bookmarkEnd w:id="1039"/>
    </w:p>
    <w:p>
      <w:pPr>
        <w:pStyle w:val="Para 01"/>
      </w:pPr>
      <w:r>
        <w:t>Heinrich H., HW 977-78.</w:t>
      </w:r>
    </w:p>
    <w:p>
      <w:bookmarkStart w:id="1040" w:name="__287"/>
      <w:pPr>
        <w:pStyle w:val="Normal"/>
      </w:pPr>
      <w:r>
        <w:t>[</w:t>
      </w:r>
      <w:hyperlink w:anchor="287">
        <w:r>
          <w:rPr>
            <w:rStyle w:val="Text1"/>
          </w:rPr>
          <w:t>←287</w:t>
        </w:r>
      </w:hyperlink>
      <w:r>
        <w:t xml:space="preserve"> ] </w:t>
      </w:r>
      <w:bookmarkEnd w:id="1040"/>
    </w:p>
    <w:p>
      <w:pPr>
        <w:pStyle w:val="Para 01"/>
      </w:pPr>
      <w:r>
        <w:t>Ilse de L., HW 1293.</w:t>
      </w:r>
    </w:p>
    <w:p>
      <w:bookmarkStart w:id="1041" w:name="__288"/>
      <w:pPr>
        <w:pStyle w:val="Normal"/>
      </w:pPr>
      <w:r>
        <w:t>[</w:t>
      </w:r>
      <w:hyperlink w:anchor="288">
        <w:r>
          <w:rPr>
            <w:rStyle w:val="Text1"/>
          </w:rPr>
          <w:t>←288</w:t>
        </w:r>
      </w:hyperlink>
      <w:r>
        <w:t xml:space="preserve"> ] </w:t>
      </w:r>
      <w:bookmarkEnd w:id="1041"/>
    </w:p>
    <w:p>
      <w:pPr>
        <w:pStyle w:val="Para 01"/>
      </w:pPr>
      <w:r>
        <w:t>Heinrich H., HW 978; Hans K., HW 2254.</w:t>
      </w:r>
    </w:p>
    <w:p>
      <w:bookmarkStart w:id="1042" w:name="__289"/>
      <w:pPr>
        <w:pStyle w:val="Normal"/>
      </w:pPr>
      <w:r>
        <w:t>[</w:t>
      </w:r>
      <w:hyperlink w:anchor="289">
        <w:r>
          <w:rPr>
            <w:rStyle w:val="Text1"/>
          </w:rPr>
          <w:t>←289</w:t>
        </w:r>
      </w:hyperlink>
      <w:r>
        <w:t xml:space="preserve"> ] </w:t>
      </w:r>
      <w:bookmarkEnd w:id="1042"/>
    </w:p>
    <w:p>
      <w:pPr>
        <w:pStyle w:val="Para 01"/>
      </w:pPr>
      <w:r>
        <w:t>Berl C., HW 1091.</w:t>
      </w:r>
    </w:p>
    <w:p>
      <w:bookmarkStart w:id="1043" w:name="__290"/>
      <w:pPr>
        <w:pStyle w:val="Normal"/>
      </w:pPr>
      <w:r>
        <w:t>[</w:t>
      </w:r>
      <w:hyperlink w:anchor="290">
        <w:r>
          <w:rPr>
            <w:rStyle w:val="Text1"/>
          </w:rPr>
          <w:t>←290</w:t>
        </w:r>
      </w:hyperlink>
      <w:r>
        <w:t xml:space="preserve"> ] </w:t>
      </w:r>
      <w:bookmarkEnd w:id="1043"/>
    </w:p>
    <w:p>
      <w:pPr>
        <w:pStyle w:val="Para 01"/>
      </w:pPr>
      <w:r>
        <w:t xml:space="preserve">YVA 0-53/105/III (Доклад Варшавского Юденрат </w:t>
        <w:t>[Judenrat]</w:t>
        <w:t>).</w:t>
      </w:r>
    </w:p>
    <w:p>
      <w:bookmarkStart w:id="1044" w:name="__291"/>
      <w:pPr>
        <w:pStyle w:val="Normal"/>
      </w:pPr>
      <w:r>
        <w:t>[</w:t>
      </w:r>
      <w:hyperlink w:anchor="291">
        <w:r>
          <w:rPr>
            <w:rStyle w:val="Text1"/>
          </w:rPr>
          <w:t>←291</w:t>
        </w:r>
      </w:hyperlink>
      <w:r>
        <w:t xml:space="preserve"> ] </w:t>
      </w:r>
      <w:bookmarkEnd w:id="1044"/>
    </w:p>
    <w:p>
      <w:pPr>
        <w:pStyle w:val="Para 01"/>
      </w:pPr>
      <w:r>
        <w:t>Прим. переводчика — то есть на взвод меньше.</w:t>
      </w:r>
    </w:p>
    <w:p>
      <w:bookmarkStart w:id="1045" w:name="__292"/>
      <w:pPr>
        <w:pStyle w:val="Normal"/>
      </w:pPr>
      <w:r>
        <w:t>[</w:t>
      </w:r>
      <w:hyperlink w:anchor="292">
        <w:r>
          <w:rPr>
            <w:rStyle w:val="Text1"/>
          </w:rPr>
          <w:t>←292</w:t>
        </w:r>
      </w:hyperlink>
      <w:r>
        <w:t xml:space="preserve"> ] </w:t>
      </w:r>
      <w:bookmarkEnd w:id="1045"/>
    </w:p>
    <w:p>
      <w:pPr>
        <w:pStyle w:val="Para 01"/>
      </w:pPr>
      <w:r>
        <w:t>ZStL, 8 AR-Z 236/60 (расследование отделения KdS в Радзине) 3:464 (маршрутный лист восточной железной дороги [Ostbahn] от 25 августа 1942-</w:t>
        <w:t>го</w:t>
        <w:t xml:space="preserve">). Об аварии в Треблинки смотри </w:t>
        <w:t>Гитта Серени</w:t>
        <w:t xml:space="preserve">, </w:t>
      </w:r>
      <w:r>
        <w:rPr>
          <w:rStyle w:val="Text0"/>
        </w:rPr>
        <w:t xml:space="preserve">Во Тьму </w:t>
      </w:r>
      <w:r>
        <w:t>[</w:t>
      </w:r>
      <w:r>
        <w:rPr>
          <w:rStyle w:val="Text0"/>
        </w:rPr>
        <w:t>Into That Darkness</w:t>
      </w:r>
      <w:r>
        <w:t>]</w:t>
        <w:t xml:space="preserve"> </w:t>
        <w:t>(</w:t>
        <w:t>Лондон</w:t>
        <w:t>, 1974), 156-64; Arad, 89-96, 119-23.</w:t>
      </w:r>
    </w:p>
    <w:p>
      <w:bookmarkStart w:id="1046" w:name="__293"/>
      <w:pPr>
        <w:pStyle w:val="Normal"/>
      </w:pPr>
      <w:r>
        <w:t>[</w:t>
      </w:r>
      <w:hyperlink w:anchor="293">
        <w:r>
          <w:rPr>
            <w:rStyle w:val="Text1"/>
          </w:rPr>
          <w:t>←293</w:t>
        </w:r>
      </w:hyperlink>
      <w:r>
        <w:t xml:space="preserve"> ] </w:t>
      </w:r>
      <w:bookmarkEnd w:id="1046"/>
    </w:p>
    <w:p>
      <w:pPr>
        <w:pStyle w:val="Para 01"/>
      </w:pPr>
      <w:r>
        <w:t>Volksdeutscher Selbstschutz, Народная Немецкая Самозащита.</w:t>
      </w:r>
    </w:p>
    <w:p>
      <w:bookmarkStart w:id="1047" w:name="__294"/>
      <w:pPr>
        <w:pStyle w:val="Normal"/>
      </w:pPr>
      <w:r>
        <w:t>[</w:t>
      </w:r>
      <w:hyperlink w:anchor="294">
        <w:r>
          <w:rPr>
            <w:rStyle w:val="Text1"/>
          </w:rPr>
          <w:t>←294</w:t>
        </w:r>
      </w:hyperlink>
      <w:r>
        <w:t xml:space="preserve"> ] </w:t>
      </w:r>
      <w:bookmarkEnd w:id="1047"/>
    </w:p>
    <w:p>
      <w:pPr>
        <w:pStyle w:val="Para 01"/>
      </w:pPr>
      <w:r>
        <w:t>П</w:t>
        <w:t xml:space="preserve">рим. </w:t>
        <w:t>п</w:t>
        <w:t xml:space="preserve">ереводчика — уже во второй раз после Первой Мировой, </w:t>
        <w:t xml:space="preserve">если учитывать другие отряды Selbstschutz. Были официально объединены в «Volksdeutscher Selbstschutz». </w:t>
        <w:t>На их основе создали Sonderdienst (далее в тексте).</w:t>
        <w:t xml:space="preserve"> </w:t>
      </w:r>
    </w:p>
    <w:p>
      <w:bookmarkStart w:id="1048" w:name="__295"/>
      <w:pPr>
        <w:pStyle w:val="Normal"/>
      </w:pPr>
      <w:r>
        <w:t>[</w:t>
      </w:r>
      <w:hyperlink w:anchor="295">
        <w:r>
          <w:rPr>
            <w:rStyle w:val="Text1"/>
          </w:rPr>
          <w:t>←295</w:t>
        </w:r>
      </w:hyperlink>
      <w:r>
        <w:t xml:space="preserve"> ] </w:t>
      </w:r>
      <w:bookmarkEnd w:id="1048"/>
    </w:p>
    <w:p>
      <w:pPr>
        <w:pStyle w:val="Para 01"/>
      </w:pPr>
      <w:r>
        <w:t>Ferdinand H., HW 3257-58.</w:t>
      </w:r>
    </w:p>
    <w:p>
      <w:bookmarkStart w:id="1049" w:name="__296"/>
      <w:pPr>
        <w:pStyle w:val="Normal"/>
      </w:pPr>
      <w:r>
        <w:t>[</w:t>
      </w:r>
      <w:hyperlink w:anchor="296">
        <w:r>
          <w:rPr>
            <w:rStyle w:val="Text1"/>
          </w:rPr>
          <w:t>←296</w:t>
        </w:r>
      </w:hyperlink>
      <w:r>
        <w:t xml:space="preserve"> ] </w:t>
      </w:r>
      <w:bookmarkEnd w:id="1049"/>
    </w:p>
    <w:p>
      <w:pPr>
        <w:pStyle w:val="Para 01"/>
      </w:pPr>
      <w:r>
        <w:t>Hans K., HW 2258.</w:t>
      </w:r>
    </w:p>
    <w:p>
      <w:bookmarkStart w:id="1050" w:name="__297"/>
      <w:pPr>
        <w:pStyle w:val="Normal"/>
      </w:pPr>
      <w:r>
        <w:t>[</w:t>
      </w:r>
      <w:hyperlink w:anchor="297">
        <w:r>
          <w:rPr>
            <w:rStyle w:val="Text1"/>
          </w:rPr>
          <w:t>←297</w:t>
        </w:r>
      </w:hyperlink>
      <w:r>
        <w:t xml:space="preserve"> ] </w:t>
      </w:r>
      <w:bookmarkEnd w:id="1050"/>
    </w:p>
    <w:p>
      <w:pPr>
        <w:pStyle w:val="Para 01"/>
      </w:pPr>
      <w:r>
        <w:t>Самое важное показание о расстрелах в Серокомле это Friedrich B., HW 1586-89, 3534; Hans K., HW 2256-60; Ernst R., G 612a-b; Karl S., G 661-62.</w:t>
      </w:r>
    </w:p>
    <w:p>
      <w:bookmarkStart w:id="1051" w:name="__298"/>
      <w:pPr>
        <w:pStyle w:val="Normal"/>
      </w:pPr>
      <w:r>
        <w:t>[</w:t>
      </w:r>
      <w:hyperlink w:anchor="298">
        <w:r>
          <w:rPr>
            <w:rStyle w:val="Text1"/>
          </w:rPr>
          <w:t>←298</w:t>
        </w:r>
      </w:hyperlink>
      <w:r>
        <w:t xml:space="preserve"> ] </w:t>
      </w:r>
      <w:bookmarkEnd w:id="1051"/>
    </w:p>
    <w:p>
      <w:pPr>
        <w:pStyle w:val="Para 01"/>
      </w:pPr>
      <w:r>
        <w:t>Fried</w:t>
        <w:t>r</w:t>
        <w:t>ich P., HW 3534.</w:t>
      </w:r>
    </w:p>
    <w:p>
      <w:bookmarkStart w:id="1052" w:name="__299"/>
      <w:pPr>
        <w:pStyle w:val="Normal"/>
      </w:pPr>
      <w:r>
        <w:t>[</w:t>
      </w:r>
      <w:hyperlink w:anchor="299">
        <w:r>
          <w:rPr>
            <w:rStyle w:val="Text1"/>
          </w:rPr>
          <w:t>←299</w:t>
        </w:r>
      </w:hyperlink>
      <w:r>
        <w:t xml:space="preserve"> ] </w:t>
      </w:r>
      <w:bookmarkEnd w:id="1052"/>
    </w:p>
    <w:p>
      <w:pPr>
        <w:pStyle w:val="Para 01"/>
      </w:pPr>
      <w:r>
        <w:t>Hans K., HW 2258.</w:t>
      </w:r>
    </w:p>
    <w:p>
      <w:bookmarkStart w:id="1053" w:name="__300"/>
      <w:pPr>
        <w:pStyle w:val="Normal"/>
      </w:pPr>
      <w:r>
        <w:t>[</w:t>
      </w:r>
      <w:hyperlink w:anchor="300">
        <w:r>
          <w:rPr>
            <w:rStyle w:val="Text1"/>
          </w:rPr>
          <w:t>←300</w:t>
        </w:r>
      </w:hyperlink>
      <w:r>
        <w:t xml:space="preserve"> ] </w:t>
      </w:r>
      <w:bookmarkEnd w:id="1053"/>
    </w:p>
    <w:p>
      <w:pPr>
        <w:pStyle w:val="Para 01"/>
      </w:pPr>
      <w:r>
        <w:t>Albert D., HW 3539; Arthur S., HW 3540.</w:t>
      </w:r>
    </w:p>
    <w:p>
      <w:bookmarkStart w:id="1054" w:name="__301"/>
      <w:pPr>
        <w:pStyle w:val="Normal"/>
      </w:pPr>
      <w:r>
        <w:t>[</w:t>
      </w:r>
      <w:hyperlink w:anchor="301">
        <w:r>
          <w:rPr>
            <w:rStyle w:val="Text1"/>
          </w:rPr>
          <w:t>←301</w:t>
        </w:r>
      </w:hyperlink>
      <w:r>
        <w:t xml:space="preserve"> ] </w:t>
      </w:r>
      <w:bookmarkEnd w:id="1054"/>
    </w:p>
    <w:p>
      <w:pPr>
        <w:pStyle w:val="Para 01"/>
      </w:pPr>
      <w:r>
        <w:t>Heinrich Bl., HW 464; Hans K., HW 2255; Friedrich Bm., HW 2096.</w:t>
      </w:r>
    </w:p>
    <w:p>
      <w:bookmarkStart w:id="1055" w:name="__302"/>
      <w:pPr>
        <w:pStyle w:val="Normal"/>
      </w:pPr>
      <w:r>
        <w:t>[</w:t>
      </w:r>
      <w:hyperlink w:anchor="302">
        <w:r>
          <w:rPr>
            <w:rStyle w:val="Text1"/>
          </w:rPr>
          <w:t>←302</w:t>
        </w:r>
      </w:hyperlink>
      <w:r>
        <w:t xml:space="preserve"> ] </w:t>
      </w:r>
      <w:bookmarkEnd w:id="1055"/>
    </w:p>
    <w:p>
      <w:pPr>
        <w:pStyle w:val="Para 01"/>
      </w:pPr>
      <w:r>
        <w:t>Heinrich E., HW 2173.</w:t>
      </w:r>
    </w:p>
    <w:p>
      <w:bookmarkStart w:id="1056" w:name="__303"/>
      <w:pPr>
        <w:pStyle w:val="Normal"/>
      </w:pPr>
      <w:r>
        <w:t>[</w:t>
      </w:r>
      <w:hyperlink w:anchor="303">
        <w:r>
          <w:rPr>
            <w:rStyle w:val="Text1"/>
          </w:rPr>
          <w:t>←303</w:t>
        </w:r>
      </w:hyperlink>
      <w:r>
        <w:t xml:space="preserve"> ] </w:t>
      </w:r>
      <w:bookmarkEnd w:id="1056"/>
    </w:p>
    <w:p>
      <w:pPr>
        <w:pStyle w:val="Para 01"/>
      </w:pPr>
      <w:r>
        <w:t>Hans K., HW 2256.</w:t>
      </w:r>
    </w:p>
    <w:p>
      <w:bookmarkStart w:id="1057" w:name="__304"/>
      <w:pPr>
        <w:pStyle w:val="Normal"/>
      </w:pPr>
      <w:r>
        <w:t>[</w:t>
      </w:r>
      <w:hyperlink w:anchor="304">
        <w:r>
          <w:rPr>
            <w:rStyle w:val="Text1"/>
          </w:rPr>
          <w:t>←304</w:t>
        </w:r>
      </w:hyperlink>
      <w:r>
        <w:t xml:space="preserve"> ] </w:t>
      </w:r>
      <w:bookmarkEnd w:id="1057"/>
    </w:p>
    <w:p>
      <w:pPr>
        <w:pStyle w:val="Para 01"/>
      </w:pPr>
      <w:r>
        <w:t>Ernst Hn, G 509.</w:t>
      </w:r>
    </w:p>
    <w:p>
      <w:bookmarkStart w:id="1058" w:name="__305"/>
      <w:pPr>
        <w:pStyle w:val="Normal"/>
      </w:pPr>
      <w:r>
        <w:t>[</w:t>
      </w:r>
      <w:hyperlink w:anchor="305">
        <w:r>
          <w:rPr>
            <w:rStyle w:val="Text1"/>
          </w:rPr>
          <w:t>←305</w:t>
        </w:r>
      </w:hyperlink>
      <w:r>
        <w:t xml:space="preserve"> ] </w:t>
      </w:r>
      <w:bookmarkEnd w:id="1058"/>
    </w:p>
    <w:p>
      <w:pPr>
        <w:pStyle w:val="Para 01"/>
      </w:pPr>
      <w:r>
        <w:t>Ernst Hn., G 509; Friedrich B., HW 1590.</w:t>
      </w:r>
    </w:p>
    <w:p>
      <w:bookmarkStart w:id="1059" w:name="__306"/>
      <w:pPr>
        <w:pStyle w:val="Normal"/>
      </w:pPr>
      <w:r>
        <w:t>[</w:t>
      </w:r>
      <w:hyperlink w:anchor="306">
        <w:r>
          <w:rPr>
            <w:rStyle w:val="Text1"/>
          </w:rPr>
          <w:t>←306</w:t>
        </w:r>
      </w:hyperlink>
      <w:r>
        <w:t xml:space="preserve"> ] </w:t>
      </w:r>
      <w:bookmarkEnd w:id="1059"/>
    </w:p>
    <w:p>
      <w:pPr>
        <w:pStyle w:val="Para 01"/>
      </w:pPr>
      <w:r>
        <w:t>Heinz B., HW 826.</w:t>
      </w:r>
    </w:p>
    <w:p>
      <w:bookmarkStart w:id="1060" w:name="__307"/>
      <w:pPr>
        <w:pStyle w:val="Normal"/>
      </w:pPr>
      <w:r>
        <w:t>[</w:t>
      </w:r>
      <w:hyperlink w:anchor="307">
        <w:r>
          <w:rPr>
            <w:rStyle w:val="Text1"/>
          </w:rPr>
          <w:t>←307</w:t>
        </w:r>
      </w:hyperlink>
      <w:r>
        <w:t xml:space="preserve"> ] </w:t>
      </w:r>
      <w:bookmarkEnd w:id="1060"/>
    </w:p>
    <w:p>
      <w:pPr>
        <w:pStyle w:val="Para 01"/>
      </w:pPr>
      <w:r>
        <w:t>Georg W., HW 1733.</w:t>
      </w:r>
    </w:p>
    <w:p>
      <w:bookmarkStart w:id="1061" w:name="__308"/>
      <w:pPr>
        <w:pStyle w:val="Normal"/>
      </w:pPr>
      <w:r>
        <w:t>[</w:t>
      </w:r>
      <w:hyperlink w:anchor="308">
        <w:r>
          <w:rPr>
            <w:rStyle w:val="Text1"/>
          </w:rPr>
          <w:t>←308</w:t>
        </w:r>
      </w:hyperlink>
      <w:r>
        <w:t xml:space="preserve"> ] </w:t>
      </w:r>
      <w:bookmarkEnd w:id="1061"/>
    </w:p>
    <w:p>
      <w:pPr>
        <w:pStyle w:val="Para 01"/>
      </w:pPr>
      <w:r>
        <w:t>Gerhard H., G 541.</w:t>
      </w:r>
    </w:p>
    <w:p>
      <w:bookmarkStart w:id="1062" w:name="__309"/>
      <w:pPr>
        <w:pStyle w:val="Normal"/>
      </w:pPr>
      <w:r>
        <w:t>[</w:t>
      </w:r>
      <w:hyperlink w:anchor="309">
        <w:r>
          <w:rPr>
            <w:rStyle w:val="Text1"/>
          </w:rPr>
          <w:t>←309</w:t>
        </w:r>
      </w:hyperlink>
      <w:r>
        <w:t xml:space="preserve"> ] </w:t>
      </w:r>
      <w:bookmarkEnd w:id="1062"/>
    </w:p>
    <w:p>
      <w:pPr>
        <w:pStyle w:val="Para 01"/>
      </w:pPr>
      <w:r>
        <w:t>Hans K., HW 2255; Friedrich Bm., HW 2097; Hellmut S., G 648.</w:t>
      </w:r>
    </w:p>
    <w:p>
      <w:bookmarkStart w:id="1063" w:name="__310"/>
      <w:pPr>
        <w:pStyle w:val="Normal"/>
      </w:pPr>
      <w:r>
        <w:t>[</w:t>
      </w:r>
      <w:hyperlink w:anchor="310">
        <w:r>
          <w:rPr>
            <w:rStyle w:val="Text1"/>
          </w:rPr>
          <w:t>←310</w:t>
        </w:r>
      </w:hyperlink>
      <w:r>
        <w:t xml:space="preserve"> ] </w:t>
      </w:r>
      <w:bookmarkEnd w:id="1063"/>
    </w:p>
    <w:p>
      <w:pPr>
        <w:pStyle w:val="Para 01"/>
      </w:pPr>
      <w:r>
        <w:t>Alfred H., HW 286.</w:t>
      </w:r>
    </w:p>
    <w:p>
      <w:bookmarkStart w:id="1064" w:name="__311"/>
      <w:pPr>
        <w:pStyle w:val="Normal"/>
      </w:pPr>
      <w:r>
        <w:t>[</w:t>
      </w:r>
      <w:hyperlink w:anchor="311">
        <w:r>
          <w:rPr>
            <w:rStyle w:val="Text1"/>
          </w:rPr>
          <w:t>←311</w:t>
        </w:r>
      </w:hyperlink>
      <w:r>
        <w:t xml:space="preserve"> ] </w:t>
      </w:r>
      <w:bookmarkEnd w:id="1064"/>
    </w:p>
    <w:p>
      <w:pPr>
        <w:pStyle w:val="Para 01"/>
      </w:pPr>
      <w:r>
        <w:t>Heinrich Bl., HW 464-65.</w:t>
      </w:r>
    </w:p>
    <w:p>
      <w:bookmarkStart w:id="1065" w:name="__312"/>
      <w:pPr>
        <w:pStyle w:val="Normal"/>
      </w:pPr>
      <w:r>
        <w:t>[</w:t>
      </w:r>
      <w:hyperlink w:anchor="312">
        <w:r>
          <w:rPr>
            <w:rStyle w:val="Text1"/>
          </w:rPr>
          <w:t>←312</w:t>
        </w:r>
      </w:hyperlink>
      <w:r>
        <w:t xml:space="preserve"> ] </w:t>
      </w:r>
      <w:bookmarkEnd w:id="1065"/>
    </w:p>
    <w:p>
      <w:pPr>
        <w:pStyle w:val="Para 01"/>
      </w:pPr>
      <w:r>
        <w:t>Fried</w:t>
        <w:t>r</w:t>
        <w:t>ich Bm., HW 2097-98; Hans K., 2255-56; Hellmut S., G 648-49; Karl S., G 662.</w:t>
      </w:r>
    </w:p>
    <w:p>
      <w:bookmarkStart w:id="1066" w:name="__313"/>
      <w:pPr>
        <w:pStyle w:val="Normal"/>
      </w:pPr>
      <w:r>
        <w:t>[</w:t>
      </w:r>
      <w:hyperlink w:anchor="313">
        <w:r>
          <w:rPr>
            <w:rStyle w:val="Text1"/>
          </w:rPr>
          <w:t>←313</w:t>
        </w:r>
      </w:hyperlink>
      <w:r>
        <w:t xml:space="preserve"> ] </w:t>
      </w:r>
      <w:bookmarkEnd w:id="1066"/>
    </w:p>
    <w:p>
      <w:pPr>
        <w:pStyle w:val="Para 01"/>
      </w:pPr>
      <w:r>
        <w:t xml:space="preserve">Трапп рапортовал Полицейскому Подразделению 25, 26 сентября 1942 </w:t>
        <w:t>г.</w:t>
        <w:t>, HW 2548-50.</w:t>
      </w:r>
    </w:p>
    <w:p>
      <w:bookmarkStart w:id="1067" w:name="__314"/>
      <w:pPr>
        <w:pStyle w:val="Normal"/>
      </w:pPr>
      <w:r>
        <w:t>[</w:t>
      </w:r>
      <w:hyperlink w:anchor="314">
        <w:r>
          <w:rPr>
            <w:rStyle w:val="Text1"/>
          </w:rPr>
          <w:t>←314</w:t>
        </w:r>
      </w:hyperlink>
      <w:r>
        <w:t xml:space="preserve"> ] </w:t>
      </w:r>
      <w:bookmarkEnd w:id="1067"/>
    </w:p>
    <w:p>
      <w:pPr>
        <w:pStyle w:val="Para 01"/>
      </w:pPr>
      <w:r>
        <w:t>Heinz B., HW 648, 822, 824, 2438, 2440-41, 3941, 4415.</w:t>
      </w:r>
    </w:p>
    <w:p>
      <w:bookmarkStart w:id="1068" w:name="__315"/>
      <w:pPr>
        <w:pStyle w:val="Normal"/>
      </w:pPr>
      <w:r>
        <w:t>[</w:t>
      </w:r>
      <w:hyperlink w:anchor="315">
        <w:r>
          <w:rPr>
            <w:rStyle w:val="Text1"/>
          </w:rPr>
          <w:t>←315</w:t>
        </w:r>
      </w:hyperlink>
      <w:r>
        <w:t xml:space="preserve"> ] </w:t>
      </w:r>
      <w:bookmarkEnd w:id="1068"/>
    </w:p>
    <w:p>
      <w:pPr>
        <w:pStyle w:val="Para 01"/>
      </w:pPr>
      <w:r>
        <w:t>Heinrich E., HW 2172.</w:t>
      </w:r>
    </w:p>
    <w:p>
      <w:bookmarkStart w:id="1069" w:name="__316"/>
      <w:pPr>
        <w:pStyle w:val="Normal"/>
      </w:pPr>
      <w:r>
        <w:t>[</w:t>
      </w:r>
      <w:hyperlink w:anchor="316">
        <w:r>
          <w:rPr>
            <w:rStyle w:val="Text1"/>
          </w:rPr>
          <w:t>←316</w:t>
        </w:r>
      </w:hyperlink>
      <w:r>
        <w:t xml:space="preserve"> ] </w:t>
      </w:r>
      <w:bookmarkEnd w:id="1069"/>
    </w:p>
    <w:p>
      <w:pPr>
        <w:pStyle w:val="Para 01"/>
      </w:pPr>
      <w:r>
        <w:t>Hans K., HW 2242; Kurt D., HW 2678; Arthur S., HW 3539; Alfred K., G 582; Ernst R., G 612d.</w:t>
      </w:r>
    </w:p>
    <w:p>
      <w:bookmarkStart w:id="1070" w:name="__317"/>
      <w:pPr>
        <w:pStyle w:val="Normal"/>
      </w:pPr>
      <w:r>
        <w:t>[</w:t>
      </w:r>
      <w:hyperlink w:anchor="317">
        <w:r>
          <w:rPr>
            <w:rStyle w:val="Text1"/>
          </w:rPr>
          <w:t>←317</w:t>
        </w:r>
      </w:hyperlink>
      <w:r>
        <w:t xml:space="preserve"> ] </w:t>
      </w:r>
      <w:bookmarkEnd w:id="1070"/>
    </w:p>
    <w:p>
      <w:pPr>
        <w:pStyle w:val="Para 01"/>
      </w:pPr>
      <w:r>
        <w:t>He</w:t>
        <w:t>i</w:t>
        <w:t>nrich E., HW 2174.</w:t>
      </w:r>
    </w:p>
    <w:p>
      <w:bookmarkStart w:id="1071" w:name="__318"/>
      <w:pPr>
        <w:pStyle w:val="Normal"/>
      </w:pPr>
      <w:r>
        <w:t>[</w:t>
      </w:r>
      <w:hyperlink w:anchor="318">
        <w:r>
          <w:rPr>
            <w:rStyle w:val="Text1"/>
          </w:rPr>
          <w:t>←318</w:t>
        </w:r>
      </w:hyperlink>
      <w:r>
        <w:t xml:space="preserve"> ] </w:t>
      </w:r>
      <w:bookmarkEnd w:id="1071"/>
    </w:p>
    <w:p>
      <w:pPr>
        <w:pStyle w:val="Para 01"/>
      </w:pPr>
      <w:r>
        <w:t>Heinz B., HW 648, 2438.</w:t>
      </w:r>
    </w:p>
    <w:p>
      <w:bookmarkStart w:id="1072" w:name="__319"/>
      <w:pPr>
        <w:pStyle w:val="Normal"/>
      </w:pPr>
      <w:r>
        <w:t>[</w:t>
      </w:r>
      <w:hyperlink w:anchor="319">
        <w:r>
          <w:rPr>
            <w:rStyle w:val="Text1"/>
          </w:rPr>
          <w:t>←319</w:t>
        </w:r>
      </w:hyperlink>
      <w:r>
        <w:t xml:space="preserve"> ] </w:t>
      </w:r>
      <w:bookmarkEnd w:id="1072"/>
    </w:p>
    <w:p>
      <w:pPr>
        <w:pStyle w:val="Para 01"/>
      </w:pPr>
      <w:r>
        <w:t>Heinz B., HW 2441.</w:t>
      </w:r>
    </w:p>
    <w:p>
      <w:bookmarkStart w:id="1073" w:name="__320"/>
      <w:pPr>
        <w:pStyle w:val="Normal"/>
      </w:pPr>
      <w:r>
        <w:t>[</w:t>
      </w:r>
      <w:hyperlink w:anchor="320">
        <w:r>
          <w:rPr>
            <w:rStyle w:val="Text1"/>
          </w:rPr>
          <w:t>←320</w:t>
        </w:r>
      </w:hyperlink>
      <w:r>
        <w:t xml:space="preserve"> ] </w:t>
      </w:r>
      <w:bookmarkEnd w:id="1073"/>
    </w:p>
    <w:p>
      <w:pPr>
        <w:pStyle w:val="Para 01"/>
      </w:pPr>
      <w:r>
        <w:t>Heinrich E., HW 2174.</w:t>
      </w:r>
    </w:p>
    <w:p>
      <w:bookmarkStart w:id="1074" w:name="__321"/>
      <w:pPr>
        <w:pStyle w:val="Normal"/>
      </w:pPr>
      <w:r>
        <w:t>[</w:t>
      </w:r>
      <w:hyperlink w:anchor="321">
        <w:r>
          <w:rPr>
            <w:rStyle w:val="Text1"/>
          </w:rPr>
          <w:t>←321</w:t>
        </w:r>
      </w:hyperlink>
      <w:r>
        <w:t xml:space="preserve"> ] </w:t>
      </w:r>
      <w:bookmarkEnd w:id="1074"/>
    </w:p>
    <w:p>
      <w:pPr>
        <w:pStyle w:val="Para 01"/>
      </w:pPr>
      <w:r>
        <w:t>Брустин-Беренштейн</w:t>
        <w:t xml:space="preserve"> 21-92.</w:t>
      </w:r>
    </w:p>
    <w:p>
      <w:bookmarkStart w:id="1075" w:name="__322"/>
      <w:pPr>
        <w:pStyle w:val="Normal"/>
      </w:pPr>
      <w:r>
        <w:t>[</w:t>
      </w:r>
      <w:hyperlink w:anchor="322">
        <w:r>
          <w:rPr>
            <w:rStyle w:val="Text1"/>
          </w:rPr>
          <w:t>←322</w:t>
        </w:r>
      </w:hyperlink>
      <w:r>
        <w:t xml:space="preserve"> ] </w:t>
      </w:r>
      <w:bookmarkEnd w:id="1075"/>
    </w:p>
    <w:p>
      <w:pPr>
        <w:pStyle w:val="Para 01"/>
      </w:pPr>
      <w:r>
        <w:t xml:space="preserve">YVA, 0-53/121 W I/124-25 (приказ Кинтрупа от 27 августа 1942 </w:t>
        <w:t>г.</w:t>
        <w:t xml:space="preserve">, вступил в силу 2 сентября 1942 </w:t>
        <w:t>г.</w:t>
        <w:t>).</w:t>
      </w:r>
    </w:p>
    <w:p>
      <w:bookmarkStart w:id="1076" w:name="__323"/>
      <w:pPr>
        <w:pStyle w:val="Normal"/>
      </w:pPr>
      <w:r>
        <w:t>[</w:t>
      </w:r>
      <w:hyperlink w:anchor="323">
        <w:r>
          <w:rPr>
            <w:rStyle w:val="Text1"/>
          </w:rPr>
          <w:t>←323</w:t>
        </w:r>
      </w:hyperlink>
      <w:r>
        <w:t xml:space="preserve"> ] </w:t>
      </w:r>
      <w:bookmarkEnd w:id="1076"/>
    </w:p>
    <w:p>
      <w:pPr>
        <w:pStyle w:val="Para 01"/>
      </w:pPr>
      <w:r>
        <w:t xml:space="preserve">Показания выживших Joseph B., HW 1122; Sara K., HW 3250. Согласно </w:t>
        <w:t xml:space="preserve">таблице 2 </w:t>
        <w:t xml:space="preserve">Брустин-Беренштейн, 23-24 сентября в Мендзыжец депортировали 6 000 евреев из малых деревень </w:t>
        <w:t xml:space="preserve">района </w:t>
        <w:t xml:space="preserve">Бяла-Подляски. </w:t>
        <w:t>Она пишет, что депортированные 26 сентября и 6 октября 4 800 евреев отправились напрямую в Треблинку, но показания выживших указывают, что как минимум сентябрьские депортации из Бялы сначала шли в Мендзыжец.</w:t>
        <w:t xml:space="preserve"> </w:t>
      </w:r>
    </w:p>
    <w:p>
      <w:bookmarkStart w:id="1077" w:name="__324"/>
      <w:pPr>
        <w:pStyle w:val="Normal"/>
      </w:pPr>
      <w:r>
        <w:t>[</w:t>
      </w:r>
      <w:hyperlink w:anchor="324">
        <w:r>
          <w:rPr>
            <w:rStyle w:val="Text1"/>
          </w:rPr>
          <w:t>←324</w:t>
        </w:r>
      </w:hyperlink>
      <w:r>
        <w:t xml:space="preserve"> ] </w:t>
      </w:r>
      <w:bookmarkEnd w:id="1077"/>
    </w:p>
    <w:p>
      <w:pPr>
        <w:pStyle w:val="Para 01"/>
      </w:pPr>
      <w:r>
        <w:t xml:space="preserve">В Брустин-Беренштейн таблице 1 указывается цифры: 610 евреев из Комаровки, 800 из Вохина [Wohyń] и 1 019 из Чемерников. </w:t>
      </w:r>
    </w:p>
    <w:p>
      <w:bookmarkStart w:id="1078" w:name="__325"/>
      <w:pPr>
        <w:pStyle w:val="Normal"/>
      </w:pPr>
      <w:r>
        <w:t>[</w:t>
      </w:r>
      <w:hyperlink w:anchor="325">
        <w:r>
          <w:rPr>
            <w:rStyle w:val="Text1"/>
          </w:rPr>
          <w:t>←325</w:t>
        </w:r>
      </w:hyperlink>
      <w:r>
        <w:t xml:space="preserve"> ] </w:t>
      </w:r>
      <w:bookmarkEnd w:id="1078"/>
    </w:p>
    <w:p>
      <w:pPr>
        <w:pStyle w:val="Para 01"/>
      </w:pPr>
      <w:r>
        <w:t>Johannes R., HW 1810-11; Kurt D., HW 1621; Anton B., HW 2705-6.</w:t>
      </w:r>
    </w:p>
    <w:p>
      <w:bookmarkStart w:id="1079" w:name="__326"/>
      <w:pPr>
        <w:pStyle w:val="Normal"/>
      </w:pPr>
      <w:r>
        <w:t>[</w:t>
      </w:r>
      <w:hyperlink w:anchor="326">
        <w:r>
          <w:rPr>
            <w:rStyle w:val="Text1"/>
          </w:rPr>
          <w:t>←326</w:t>
        </w:r>
      </w:hyperlink>
      <w:r>
        <w:t xml:space="preserve"> ] </w:t>
      </w:r>
      <w:bookmarkEnd w:id="1079"/>
    </w:p>
    <w:p>
      <w:pPr>
        <w:pStyle w:val="Para 01"/>
      </w:pPr>
      <w:r>
        <w:t>Paul M., HW 2659.</w:t>
      </w:r>
    </w:p>
    <w:p>
      <w:bookmarkStart w:id="1080" w:name="__327"/>
      <w:pPr>
        <w:pStyle w:val="Normal"/>
      </w:pPr>
      <w:r>
        <w:t>[</w:t>
      </w:r>
      <w:hyperlink w:anchor="327">
        <w:r>
          <w:rPr>
            <w:rStyle w:val="Text1"/>
          </w:rPr>
          <w:t>←327</w:t>
        </w:r>
      </w:hyperlink>
      <w:r>
        <w:t xml:space="preserve"> ] </w:t>
      </w:r>
      <w:bookmarkEnd w:id="1080"/>
    </w:p>
    <w:p>
      <w:pPr>
        <w:pStyle w:val="Para 01"/>
      </w:pPr>
      <w:r>
        <w:t xml:space="preserve">Согласно таблице 10 Брустин-Беренштейн: 1 724 из Адамува [Adamów], 460 из Станин гмины [Stanin gmina], 446 из Улян гмины [Ulan gmina] и 213 из </w:t>
        <w:t>Войцешкува [Wojcieszków].</w:t>
        <w:t xml:space="preserve"> </w:t>
      </w:r>
    </w:p>
    <w:p>
      <w:bookmarkStart w:id="1081" w:name="__328"/>
      <w:pPr>
        <w:pStyle w:val="Normal"/>
      </w:pPr>
      <w:r>
        <w:t>[</w:t>
      </w:r>
      <w:hyperlink w:anchor="328">
        <w:r>
          <w:rPr>
            <w:rStyle w:val="Text1"/>
          </w:rPr>
          <w:t>←328</w:t>
        </w:r>
      </w:hyperlink>
      <w:r>
        <w:t xml:space="preserve"> ] </w:t>
      </w:r>
      <w:bookmarkEnd w:id="1081"/>
    </w:p>
    <w:p>
      <w:pPr>
        <w:pStyle w:val="Para 01"/>
      </w:pPr>
      <w:r>
        <w:t>YVA, TR-10/710 (Landgericht Dortmun</w:t>
        <w:t>d</w:t>
        <w:t>, 8 Ks 1/70, judgement against Josef Bürger):10, 16 (отсюда и далее «приговор Бургеру»).</w:t>
      </w:r>
    </w:p>
    <w:p>
      <w:bookmarkStart w:id="1082" w:name="__329"/>
      <w:pPr>
        <w:pStyle w:val="Normal"/>
      </w:pPr>
      <w:r>
        <w:t>[</w:t>
      </w:r>
      <w:hyperlink w:anchor="329">
        <w:r>
          <w:rPr>
            <w:rStyle w:val="Text1"/>
          </w:rPr>
          <w:t>←329</w:t>
        </w:r>
      </w:hyperlink>
      <w:r>
        <w:t xml:space="preserve"> ] </w:t>
      </w:r>
      <w:bookmarkEnd w:id="1082"/>
    </w:p>
    <w:p>
      <w:pPr>
        <w:pStyle w:val="Para 01"/>
      </w:pPr>
      <w:r>
        <w:t>Об оценке сил Полиции Безопасности и Жандармерии в округе Радзинь смотри ZStL, 8 AR-Z 236/60 (расследование отдела KdS в Радзине), 1:28 (Braumüller), 113 (Bürger), 120 (Käser); 2:176-179 (Reimer), 209-210 (Brämer), 408 (Behrens), 420 (Kambach); 4:550 (Schmeer), 715 (Avriham); и Sonderband (показания Rumminger, Schoeja и Waldner) без нумерации.</w:t>
      </w:r>
    </w:p>
    <w:p>
      <w:bookmarkStart w:id="1083" w:name="__330"/>
      <w:pPr>
        <w:pStyle w:val="Normal"/>
      </w:pPr>
      <w:r>
        <w:t>[</w:t>
      </w:r>
      <w:hyperlink w:anchor="330">
        <w:r>
          <w:rPr>
            <w:rStyle w:val="Text1"/>
          </w:rPr>
          <w:t>←330</w:t>
        </w:r>
      </w:hyperlink>
      <w:r>
        <w:t xml:space="preserve"> ] </w:t>
      </w:r>
      <w:bookmarkEnd w:id="1083"/>
    </w:p>
    <w:p>
      <w:pPr>
        <w:pStyle w:val="Para 01"/>
      </w:pPr>
      <w:r>
        <w:t>Брустин-Беренштейн, таблица 10.</w:t>
      </w:r>
    </w:p>
    <w:p>
      <w:bookmarkStart w:id="1084" w:name="__331"/>
      <w:pPr>
        <w:pStyle w:val="Normal"/>
      </w:pPr>
      <w:r>
        <w:t>[</w:t>
      </w:r>
      <w:hyperlink w:anchor="331">
        <w:r>
          <w:rPr>
            <w:rStyle w:val="Text1"/>
          </w:rPr>
          <w:t>←331</w:t>
        </w:r>
      </w:hyperlink>
      <w:r>
        <w:t xml:space="preserve"> ] </w:t>
      </w:r>
      <w:bookmarkEnd w:id="1084"/>
    </w:p>
    <w:p>
      <w:pPr>
        <w:pStyle w:val="Para 01"/>
      </w:pPr>
      <w:r>
        <w:t>Helmuth H., HW 317-320, 991; Heinz B., HW 823; Heinrich E., HW 2176; Richard G., G 389.</w:t>
      </w:r>
    </w:p>
    <w:p>
      <w:bookmarkStart w:id="1085" w:name="__332"/>
      <w:pPr>
        <w:pStyle w:val="Normal"/>
      </w:pPr>
      <w:r>
        <w:t>[</w:t>
      </w:r>
      <w:hyperlink w:anchor="332">
        <w:r>
          <w:rPr>
            <w:rStyle w:val="Text1"/>
          </w:rPr>
          <w:t>←332</w:t>
        </w:r>
      </w:hyperlink>
      <w:r>
        <w:t xml:space="preserve"> ] </w:t>
      </w:r>
      <w:bookmarkEnd w:id="1085"/>
    </w:p>
    <w:p>
      <w:pPr>
        <w:pStyle w:val="Para 01"/>
      </w:pPr>
      <w:r>
        <w:t>Heinrich S., HW 1573-74; Max D., HW 2536.</w:t>
      </w:r>
    </w:p>
    <w:p>
      <w:bookmarkStart w:id="1086" w:name="__333"/>
      <w:pPr>
        <w:pStyle w:val="Normal"/>
      </w:pPr>
      <w:r>
        <w:t>[</w:t>
      </w:r>
      <w:hyperlink w:anchor="333">
        <w:r>
          <w:rPr>
            <w:rStyle w:val="Text1"/>
          </w:rPr>
          <w:t>←333</w:t>
        </w:r>
      </w:hyperlink>
      <w:r>
        <w:t xml:space="preserve"> ] </w:t>
      </w:r>
      <w:bookmarkEnd w:id="1086"/>
    </w:p>
    <w:p>
      <w:pPr>
        <w:pStyle w:val="Para 01"/>
      </w:pPr>
      <w:r>
        <w:t>Буквально с немецкого — человеконенавистник, или пугающий человека.</w:t>
      </w:r>
    </w:p>
    <w:p>
      <w:bookmarkStart w:id="1087" w:name="__334"/>
      <w:pPr>
        <w:pStyle w:val="Normal"/>
      </w:pPr>
      <w:r>
        <w:t>[</w:t>
      </w:r>
      <w:hyperlink w:anchor="334">
        <w:r>
          <w:rPr>
            <w:rStyle w:val="Text1"/>
          </w:rPr>
          <w:t>←334</w:t>
        </w:r>
      </w:hyperlink>
      <w:r>
        <w:t xml:space="preserve"> ] </w:t>
      </w:r>
      <w:bookmarkEnd w:id="1087"/>
    </w:p>
    <w:p>
      <w:pPr>
        <w:pStyle w:val="Para 01"/>
      </w:pPr>
      <w:r>
        <w:t>Alfred H., HW 45, 279-80.</w:t>
      </w:r>
    </w:p>
    <w:p>
      <w:bookmarkStart w:id="1088" w:name="__335"/>
      <w:pPr>
        <w:pStyle w:val="Normal"/>
      </w:pPr>
      <w:r>
        <w:t>[</w:t>
      </w:r>
      <w:hyperlink w:anchor="335">
        <w:r>
          <w:rPr>
            <w:rStyle w:val="Text1"/>
          </w:rPr>
          <w:t>←335</w:t>
        </w:r>
      </w:hyperlink>
      <w:r>
        <w:t xml:space="preserve"> ] </w:t>
      </w:r>
      <w:bookmarkEnd w:id="1088"/>
    </w:p>
    <w:p>
      <w:pPr>
        <w:pStyle w:val="Para 01"/>
      </w:pPr>
      <w:r>
        <w:t>Kurt D., HW 1266, 2966-67, 4391; Paul M., HW 2663.</w:t>
      </w:r>
    </w:p>
    <w:p>
      <w:bookmarkStart w:id="1089" w:name="__336"/>
      <w:pPr>
        <w:pStyle w:val="Normal"/>
      </w:pPr>
      <w:r>
        <w:t>[</w:t>
      </w:r>
      <w:hyperlink w:anchor="336">
        <w:r>
          <w:rPr>
            <w:rStyle w:val="Text1"/>
          </w:rPr>
          <w:t>←336</w:t>
        </w:r>
      </w:hyperlink>
      <w:r>
        <w:t xml:space="preserve"> ] </w:t>
      </w:r>
      <w:bookmarkEnd w:id="1089"/>
    </w:p>
    <w:p>
      <w:pPr>
        <w:pStyle w:val="Para 01"/>
      </w:pPr>
      <w:r>
        <w:t>Alfred H., HW 45, 280-82.</w:t>
      </w:r>
    </w:p>
    <w:p>
      <w:bookmarkStart w:id="1090" w:name="__337"/>
      <w:pPr>
        <w:pStyle w:val="Normal"/>
      </w:pPr>
      <w:r>
        <w:t>[</w:t>
      </w:r>
      <w:hyperlink w:anchor="337">
        <w:r>
          <w:rPr>
            <w:rStyle w:val="Text1"/>
          </w:rPr>
          <w:t>←337</w:t>
        </w:r>
      </w:hyperlink>
      <w:r>
        <w:t xml:space="preserve"> ] </w:t>
      </w:r>
      <w:bookmarkEnd w:id="1090"/>
    </w:p>
    <w:p>
      <w:pPr>
        <w:pStyle w:val="Para 01"/>
      </w:pPr>
      <w:r>
        <w:t>Peter O., HW 1790; Walter L., G 189-90; Friedrich P., G 244.</w:t>
      </w:r>
    </w:p>
    <w:p>
      <w:bookmarkStart w:id="1091" w:name="__338"/>
      <w:pPr>
        <w:pStyle w:val="Normal"/>
      </w:pPr>
      <w:r>
        <w:t>[</w:t>
      </w:r>
      <w:hyperlink w:anchor="338">
        <w:r>
          <w:rPr>
            <w:rStyle w:val="Text1"/>
          </w:rPr>
          <w:t>←338</w:t>
        </w:r>
      </w:hyperlink>
      <w:r>
        <w:t xml:space="preserve"> ] </w:t>
      </w:r>
      <w:bookmarkEnd w:id="1091"/>
    </w:p>
    <w:p>
      <w:pPr>
        <w:pStyle w:val="Para 01"/>
      </w:pPr>
      <w:r>
        <w:t>Kurt D., HW 1268, 2968, 4390.</w:t>
      </w:r>
    </w:p>
    <w:p>
      <w:bookmarkStart w:id="1092" w:name="__339"/>
      <w:pPr>
        <w:pStyle w:val="Normal"/>
      </w:pPr>
      <w:r>
        <w:t>[</w:t>
      </w:r>
      <w:hyperlink w:anchor="339">
        <w:r>
          <w:rPr>
            <w:rStyle w:val="Text1"/>
          </w:rPr>
          <w:t>←339</w:t>
        </w:r>
      </w:hyperlink>
      <w:r>
        <w:t xml:space="preserve"> ] </w:t>
      </w:r>
      <w:bookmarkEnd w:id="1092"/>
    </w:p>
    <w:p>
      <w:pPr>
        <w:pStyle w:val="Para 01"/>
      </w:pPr>
      <w:r>
        <w:t>Friedrich P., G 244.</w:t>
      </w:r>
    </w:p>
    <w:p>
      <w:bookmarkStart w:id="1093" w:name="__340"/>
      <w:pPr>
        <w:pStyle w:val="Normal"/>
      </w:pPr>
      <w:r>
        <w:t>[</w:t>
      </w:r>
      <w:hyperlink w:anchor="340">
        <w:r>
          <w:rPr>
            <w:rStyle w:val="Text1"/>
          </w:rPr>
          <w:t>←340</w:t>
        </w:r>
      </w:hyperlink>
      <w:r>
        <w:t xml:space="preserve"> ] </w:t>
      </w:r>
      <w:bookmarkEnd w:id="1093"/>
    </w:p>
    <w:p>
      <w:pPr>
        <w:pStyle w:val="Para 01"/>
      </w:pPr>
      <w:r>
        <w:t>August Z., HW 3367-68, G 288.</w:t>
      </w:r>
    </w:p>
    <w:p>
      <w:bookmarkStart w:id="1094" w:name="__341"/>
      <w:pPr>
        <w:pStyle w:val="Normal"/>
      </w:pPr>
      <w:r>
        <w:t>[</w:t>
      </w:r>
      <w:hyperlink w:anchor="341">
        <w:r>
          <w:rPr>
            <w:rStyle w:val="Text1"/>
          </w:rPr>
          <w:t>←341</w:t>
        </w:r>
      </w:hyperlink>
      <w:r>
        <w:t xml:space="preserve"> ] </w:t>
      </w:r>
      <w:bookmarkEnd w:id="1094"/>
    </w:p>
    <w:p>
      <w:pPr>
        <w:pStyle w:val="Para 01"/>
      </w:pPr>
      <w:r>
        <w:t xml:space="preserve">Alfred H. </w:t>
        <w:t>(</w:t>
        <w:t>HW 45, 282</w:t>
        <w:t>)</w:t>
        <w:t xml:space="preserve"> сначала в показаниях называл количество депортированных от 6 000 до 10 000, но после снизил свою оценку до 1 000. Kurt D. </w:t>
        <w:t>(</w:t>
        <w:t>HW 1621</w:t>
        <w:t>)</w:t>
        <w:t xml:space="preserve"> так же дал цифру 1 000. Однако все свидетели согласны в том, что отряд Хиви был послан в помощь Полиции Порядка для выполнения операций в начале октября. Очень маловероятно, что такой значительный контингент Хиви отправили бы на такую маленькую операцию, учитывая доступность целой роты Полиции Порядка. Такое малое число депортированных маловероятно ещё и с учётом многих тысяч евреев, собранных в Мендзыжеце в последние недели до операции.</w:t>
      </w:r>
    </w:p>
    <w:p>
      <w:bookmarkStart w:id="1095" w:name="__342"/>
      <w:pPr>
        <w:pStyle w:val="Normal"/>
      </w:pPr>
      <w:r>
        <w:t>[</w:t>
      </w:r>
      <w:hyperlink w:anchor="342">
        <w:r>
          <w:rPr>
            <w:rStyle w:val="Text1"/>
          </w:rPr>
          <w:t>←342</w:t>
        </w:r>
      </w:hyperlink>
      <w:r>
        <w:t xml:space="preserve"> ] </w:t>
      </w:r>
      <w:bookmarkEnd w:id="1095"/>
    </w:p>
    <w:p>
      <w:pPr>
        <w:pStyle w:val="Para 01"/>
      </w:pPr>
      <w:r>
        <w:t>Helmuth H., HW 991; Stephan J., HW 1041-43; Tauba T., HW 1069; Friedrich B., HW 1585.</w:t>
      </w:r>
    </w:p>
    <w:p>
      <w:bookmarkStart w:id="1096" w:name="__343"/>
      <w:pPr>
        <w:pStyle w:val="Normal"/>
      </w:pPr>
      <w:r>
        <w:t>[</w:t>
      </w:r>
      <w:hyperlink w:anchor="343">
        <w:r>
          <w:rPr>
            <w:rStyle w:val="Text1"/>
          </w:rPr>
          <w:t>←343</w:t>
        </w:r>
      </w:hyperlink>
      <w:r>
        <w:t xml:space="preserve"> ] </w:t>
      </w:r>
      <w:bookmarkEnd w:id="1096"/>
    </w:p>
    <w:p>
      <w:pPr>
        <w:pStyle w:val="Para 01"/>
      </w:pPr>
      <w:r>
        <w:t>Kurt D., HW 1270-71, 2790, 4391; Max F., HW 1389-90; Johannes R., HW 1012; Franz K., HW 2479.</w:t>
      </w:r>
    </w:p>
    <w:p>
      <w:bookmarkStart w:id="1097" w:name="__344"/>
      <w:pPr>
        <w:pStyle w:val="Normal"/>
      </w:pPr>
      <w:r>
        <w:t>[</w:t>
      </w:r>
      <w:hyperlink w:anchor="344">
        <w:r>
          <w:rPr>
            <w:rStyle w:val="Text1"/>
          </w:rPr>
          <w:t>←344</w:t>
        </w:r>
      </w:hyperlink>
      <w:r>
        <w:t xml:space="preserve"> ] </w:t>
      </w:r>
      <w:bookmarkEnd w:id="1097"/>
    </w:p>
    <w:p>
      <w:pPr>
        <w:pStyle w:val="Para 01"/>
      </w:pPr>
      <w:r>
        <w:t xml:space="preserve">Lucia B., G 595-96; письмо Хоффмана от 5 мая 1943 </w:t>
        <w:t>г.</w:t>
        <w:t>, HW 512.</w:t>
      </w:r>
    </w:p>
    <w:p>
      <w:bookmarkStart w:id="1098" w:name="__345"/>
      <w:pPr>
        <w:pStyle w:val="Normal"/>
      </w:pPr>
      <w:r>
        <w:t>[</w:t>
      </w:r>
      <w:hyperlink w:anchor="345">
        <w:r>
          <w:rPr>
            <w:rStyle w:val="Text1"/>
          </w:rPr>
          <w:t>←345</w:t>
        </w:r>
      </w:hyperlink>
      <w:r>
        <w:t xml:space="preserve"> ] </w:t>
      </w:r>
      <w:bookmarkEnd w:id="1098"/>
    </w:p>
    <w:p>
      <w:pPr>
        <w:pStyle w:val="Para 01"/>
      </w:pPr>
      <w:r>
        <w:t>Юлиус Волауф, HW 752, 762-64.</w:t>
      </w:r>
    </w:p>
    <w:p>
      <w:bookmarkStart w:id="1099" w:name="__346"/>
      <w:pPr>
        <w:pStyle w:val="Normal"/>
      </w:pPr>
      <w:r>
        <w:t>[</w:t>
      </w:r>
      <w:hyperlink w:anchor="346">
        <w:r>
          <w:rPr>
            <w:rStyle w:val="Text1"/>
          </w:rPr>
          <w:t>←346</w:t>
        </w:r>
      </w:hyperlink>
      <w:r>
        <w:t xml:space="preserve"> ] </w:t>
      </w:r>
      <w:bookmarkEnd w:id="1099"/>
    </w:p>
    <w:p>
      <w:pPr>
        <w:pStyle w:val="Para 01"/>
      </w:pPr>
      <w:r>
        <w:t>Heinrich H., HW 972; Rudolf B., HW 406-7; Max D., HW 1347.</w:t>
      </w:r>
    </w:p>
    <w:p>
      <w:bookmarkStart w:id="1100" w:name="__347"/>
      <w:pPr>
        <w:pStyle w:val="Normal"/>
      </w:pPr>
      <w:r>
        <w:t>[</w:t>
      </w:r>
      <w:hyperlink w:anchor="347">
        <w:r>
          <w:rPr>
            <w:rStyle w:val="Text1"/>
          </w:rPr>
          <w:t>←347</w:t>
        </w:r>
      </w:hyperlink>
      <w:r>
        <w:t xml:space="preserve"> ] </w:t>
      </w:r>
      <w:bookmarkEnd w:id="1100"/>
    </w:p>
    <w:p>
      <w:pPr>
        <w:pStyle w:val="Para 01"/>
      </w:pPr>
      <w:r>
        <w:t>August Z., G 286; Konrad H., G 404-5; Wilhelm K., G 568.</w:t>
      </w:r>
    </w:p>
    <w:p>
      <w:bookmarkStart w:id="1101" w:name="__348"/>
      <w:pPr>
        <w:pStyle w:val="Normal"/>
      </w:pPr>
      <w:r>
        <w:t>[</w:t>
      </w:r>
      <w:hyperlink w:anchor="348">
        <w:r>
          <w:rPr>
            <w:rStyle w:val="Text1"/>
          </w:rPr>
          <w:t>←348</w:t>
        </w:r>
      </w:hyperlink>
      <w:r>
        <w:t xml:space="preserve"> ] </w:t>
      </w:r>
      <w:bookmarkEnd w:id="1101"/>
    </w:p>
    <w:p>
      <w:pPr>
        <w:pStyle w:val="Para 01"/>
      </w:pPr>
      <w:r>
        <w:t>Wilhelm Gs., HW 2466.</w:t>
      </w:r>
    </w:p>
    <w:p>
      <w:bookmarkStart w:id="1102" w:name="__349"/>
      <w:pPr>
        <w:pStyle w:val="Normal"/>
      </w:pPr>
      <w:r>
        <w:t>[</w:t>
      </w:r>
      <w:hyperlink w:anchor="349">
        <w:r>
          <w:rPr>
            <w:rStyle w:val="Text1"/>
          </w:rPr>
          <w:t>←349</w:t>
        </w:r>
      </w:hyperlink>
      <w:r>
        <w:t xml:space="preserve"> ] </w:t>
      </w:r>
      <w:bookmarkEnd w:id="1102"/>
    </w:p>
    <w:p>
      <w:pPr>
        <w:pStyle w:val="Para 01"/>
      </w:pPr>
      <w:r>
        <w:t>Приговор Бургеру, 18.</w:t>
      </w:r>
    </w:p>
    <w:p>
      <w:bookmarkStart w:id="1103" w:name="__350"/>
      <w:pPr>
        <w:pStyle w:val="Normal"/>
      </w:pPr>
      <w:r>
        <w:t>[</w:t>
      </w:r>
      <w:hyperlink w:anchor="350">
        <w:r>
          <w:rPr>
            <w:rStyle w:val="Text1"/>
          </w:rPr>
          <w:t>←350</w:t>
        </w:r>
      </w:hyperlink>
      <w:r>
        <w:t xml:space="preserve"> ] </w:t>
      </w:r>
      <w:bookmarkEnd w:id="1103"/>
    </w:p>
    <w:p>
      <w:pPr>
        <w:pStyle w:val="Para 01"/>
      </w:pPr>
      <w:r>
        <w:t>Alfred K., G 579.</w:t>
      </w:r>
    </w:p>
    <w:p>
      <w:bookmarkStart w:id="1104" w:name="__351"/>
      <w:pPr>
        <w:pStyle w:val="Normal"/>
      </w:pPr>
      <w:r>
        <w:t>[</w:t>
      </w:r>
      <w:hyperlink w:anchor="351">
        <w:r>
          <w:rPr>
            <w:rStyle w:val="Text1"/>
          </w:rPr>
          <w:t>←351</w:t>
        </w:r>
      </w:hyperlink>
      <w:r>
        <w:t xml:space="preserve"> ] </w:t>
      </w:r>
      <w:bookmarkEnd w:id="1104"/>
    </w:p>
    <w:p>
      <w:pPr>
        <w:pStyle w:val="Para 01"/>
      </w:pPr>
      <w:r>
        <w:t>Приговор Бургеру, 20. Aviram J., HW 1059-60; Gedali G., HW 1080; Friedrich Bm., HW 2100; Hans K., HW 2262-63. Согласно Hans K., Юрих застрелил главу еврейского совета из-за спора о швейной машине.</w:t>
      </w:r>
    </w:p>
    <w:p>
      <w:bookmarkStart w:id="1105" w:name="__352"/>
      <w:pPr>
        <w:pStyle w:val="Normal"/>
      </w:pPr>
      <w:r>
        <w:t>[</w:t>
      </w:r>
      <w:hyperlink w:anchor="352">
        <w:r>
          <w:rPr>
            <w:rStyle w:val="Text1"/>
          </w:rPr>
          <w:t>←352</w:t>
        </w:r>
      </w:hyperlink>
      <w:r>
        <w:t xml:space="preserve"> ] </w:t>
      </w:r>
      <w:bookmarkEnd w:id="1105"/>
    </w:p>
    <w:p>
      <w:pPr>
        <w:pStyle w:val="Para 01"/>
      </w:pPr>
      <w:r>
        <w:t>Приговор Бургеру, 20.</w:t>
      </w:r>
    </w:p>
    <w:p>
      <w:bookmarkStart w:id="1106" w:name="__353"/>
      <w:pPr>
        <w:pStyle w:val="Normal"/>
      </w:pPr>
      <w:r>
        <w:t>[</w:t>
      </w:r>
      <w:hyperlink w:anchor="353">
        <w:r>
          <w:rPr>
            <w:rStyle w:val="Text1"/>
          </w:rPr>
          <w:t>←353</w:t>
        </w:r>
      </w:hyperlink>
      <w:r>
        <w:t xml:space="preserve"> ] </w:t>
      </w:r>
      <w:bookmarkEnd w:id="1106"/>
    </w:p>
    <w:p>
      <w:pPr>
        <w:pStyle w:val="Para 01"/>
      </w:pPr>
      <w:r>
        <w:t>Georg W., HW 1731-32.</w:t>
      </w:r>
    </w:p>
    <w:p>
      <w:bookmarkStart w:id="1107" w:name="__354"/>
      <w:pPr>
        <w:pStyle w:val="Normal"/>
      </w:pPr>
      <w:r>
        <w:t>[</w:t>
      </w:r>
      <w:hyperlink w:anchor="354">
        <w:r>
          <w:rPr>
            <w:rStyle w:val="Text1"/>
          </w:rPr>
          <w:t>←354</w:t>
        </w:r>
      </w:hyperlink>
      <w:r>
        <w:t xml:space="preserve"> ] </w:t>
      </w:r>
      <w:bookmarkEnd w:id="1107"/>
    </w:p>
    <w:p>
      <w:pPr>
        <w:pStyle w:val="Para 01"/>
      </w:pPr>
      <w:r>
        <w:t xml:space="preserve">В таблице 10 Брустин-Беренштейн в ноябре в Лукуве </w:t>
        <w:t>отмечен</w:t>
        <w:t xml:space="preserve"> лишь один расстрел — 200 евреев. Показания полицейских </w:t>
        <w:t xml:space="preserve">указывают на наличие второго. Приговор Бургеру 20-21 подтверждает два расстрела в Лукуве </w:t>
        <w:t>—</w:t>
        <w:t xml:space="preserve"> 11 и 14 ноября, каждый по 500 жертв — редкий случай, когда немецкий суд оценивает количество жертв выше, чем другие источники.</w:t>
        <w:t xml:space="preserve"> </w:t>
      </w:r>
    </w:p>
    <w:p>
      <w:bookmarkStart w:id="1108" w:name="__355"/>
      <w:pPr>
        <w:pStyle w:val="Normal"/>
      </w:pPr>
      <w:r>
        <w:t>[</w:t>
      </w:r>
      <w:hyperlink w:anchor="355">
        <w:r>
          <w:rPr>
            <w:rStyle w:val="Text1"/>
          </w:rPr>
          <w:t>←355</w:t>
        </w:r>
      </w:hyperlink>
      <w:r>
        <w:t xml:space="preserve"> ] </w:t>
      </w:r>
      <w:bookmarkEnd w:id="1108"/>
    </w:p>
    <w:p>
      <w:pPr>
        <w:pStyle w:val="Para 01"/>
      </w:pPr>
      <w:r>
        <w:t xml:space="preserve">Одним ключевым исключением </w:t>
        <w:t>стал</w:t>
        <w:t xml:space="preserve"> Бухман, кто в 1960-х заявлял (Heinz B., HW 822, 824, 3942, 4417), что ни один отряд под его командованием не занимался расстрелом евреев, что после Юзефува он не становился свидетелем ни одной еврейской операции за исключением чистки гетто в Радзине, где он располагался, но обязанности никакие не имел, и что он в действительности вернулся 4 ноября в Гамбург - за неделю до первого расстрела в Лукуве. С учётом чётких воспоминаний и показаний различных служащих штаба, некоторые из которых были с ним в Радзине и Лукуве некоторое время и хорошо его знали, то судя по всему, Бухман либо подсознательно подавил воспоминание об инциденте, либо намеренно скрыл его от следователей.</w:t>
      </w:r>
    </w:p>
    <w:p>
      <w:bookmarkStart w:id="1109" w:name="__356"/>
      <w:pPr>
        <w:pStyle w:val="Normal"/>
      </w:pPr>
      <w:r>
        <w:t>[</w:t>
      </w:r>
      <w:hyperlink w:anchor="356">
        <w:r>
          <w:rPr>
            <w:rStyle w:val="Text1"/>
          </w:rPr>
          <w:t>←356</w:t>
        </w:r>
      </w:hyperlink>
      <w:r>
        <w:t xml:space="preserve"> ] </w:t>
      </w:r>
      <w:bookmarkEnd w:id="1109"/>
    </w:p>
    <w:p>
      <w:pPr>
        <w:pStyle w:val="Para 01"/>
      </w:pPr>
      <w:r>
        <w:t>Heinrich H., G 456.</w:t>
      </w:r>
    </w:p>
    <w:p>
      <w:bookmarkStart w:id="1110" w:name="__357"/>
      <w:pPr>
        <w:pStyle w:val="Normal"/>
      </w:pPr>
      <w:r>
        <w:t>[</w:t>
      </w:r>
      <w:hyperlink w:anchor="357">
        <w:r>
          <w:rPr>
            <w:rStyle w:val="Text1"/>
          </w:rPr>
          <w:t>←357</w:t>
        </w:r>
      </w:hyperlink>
      <w:r>
        <w:t xml:space="preserve"> ] </w:t>
      </w:r>
      <w:bookmarkEnd w:id="1110"/>
    </w:p>
    <w:p>
      <w:pPr>
        <w:pStyle w:val="Para 01"/>
      </w:pPr>
      <w:r>
        <w:t>Heinrich H., G 455-56; Hans Pz., HW 3525.</w:t>
      </w:r>
    </w:p>
    <w:p>
      <w:bookmarkStart w:id="1111" w:name="__358"/>
      <w:pPr>
        <w:pStyle w:val="Normal"/>
      </w:pPr>
      <w:r>
        <w:t>[</w:t>
      </w:r>
      <w:hyperlink w:anchor="358">
        <w:r>
          <w:rPr>
            <w:rStyle w:val="Text1"/>
          </w:rPr>
          <w:t>←358</w:t>
        </w:r>
      </w:hyperlink>
      <w:r>
        <w:t xml:space="preserve"> ] </w:t>
      </w:r>
      <w:bookmarkEnd w:id="1111"/>
    </w:p>
    <w:p>
      <w:pPr>
        <w:pStyle w:val="Para 01"/>
      </w:pPr>
      <w:r>
        <w:t>Hans S., G 328; Ernst S., G 330; Paul F., HW 2242.</w:t>
      </w:r>
    </w:p>
    <w:p>
      <w:bookmarkStart w:id="1112" w:name="__359"/>
      <w:pPr>
        <w:pStyle w:val="Normal"/>
      </w:pPr>
      <w:r>
        <w:t>[</w:t>
      </w:r>
      <w:hyperlink w:anchor="359">
        <w:r>
          <w:rPr>
            <w:rStyle w:val="Text1"/>
          </w:rPr>
          <w:t>←359</w:t>
        </w:r>
      </w:hyperlink>
      <w:r>
        <w:t xml:space="preserve"> ] </w:t>
      </w:r>
      <w:bookmarkEnd w:id="1112"/>
    </w:p>
    <w:p>
      <w:pPr>
        <w:pStyle w:val="Para 01"/>
      </w:pPr>
      <w:r>
        <w:t>Heinrich H., G 456-57; Hans Pz., HW 3525; Henry J., G 411-12.</w:t>
      </w:r>
    </w:p>
    <w:p>
      <w:bookmarkStart w:id="1113" w:name="__360"/>
      <w:pPr>
        <w:pStyle w:val="Normal"/>
      </w:pPr>
      <w:r>
        <w:t>[</w:t>
      </w:r>
      <w:hyperlink w:anchor="360">
        <w:r>
          <w:rPr>
            <w:rStyle w:val="Text1"/>
          </w:rPr>
          <w:t>←360</w:t>
        </w:r>
      </w:hyperlink>
      <w:r>
        <w:t xml:space="preserve"> ] </w:t>
      </w:r>
      <w:bookmarkEnd w:id="1113"/>
    </w:p>
    <w:p>
      <w:pPr>
        <w:pStyle w:val="Para 01"/>
      </w:pPr>
      <w:r>
        <w:t>Hans S., G 330; Ernst S., G 334-335; Paul F., HW 2243.</w:t>
      </w:r>
    </w:p>
    <w:p>
      <w:bookmarkStart w:id="1114" w:name="__361"/>
      <w:pPr>
        <w:pStyle w:val="Normal"/>
      </w:pPr>
      <w:r>
        <w:t>[</w:t>
      </w:r>
      <w:hyperlink w:anchor="361">
        <w:r>
          <w:rPr>
            <w:rStyle w:val="Text1"/>
          </w:rPr>
          <w:t>←361</w:t>
        </w:r>
      </w:hyperlink>
      <w:r>
        <w:t xml:space="preserve"> ] </w:t>
      </w:r>
      <w:bookmarkEnd w:id="1114"/>
    </w:p>
    <w:p>
      <w:pPr>
        <w:pStyle w:val="Para 01"/>
      </w:pPr>
      <w:r>
        <w:t>Henry J., G 413-14.</w:t>
      </w:r>
    </w:p>
    <w:p>
      <w:bookmarkStart w:id="1115" w:name="__362"/>
      <w:pPr>
        <w:pStyle w:val="Normal"/>
      </w:pPr>
      <w:r>
        <w:t>[</w:t>
      </w:r>
      <w:hyperlink w:anchor="362">
        <w:r>
          <w:rPr>
            <w:rStyle w:val="Text1"/>
          </w:rPr>
          <w:t>←362</w:t>
        </w:r>
      </w:hyperlink>
      <w:r>
        <w:t xml:space="preserve"> ] </w:t>
      </w:r>
      <w:bookmarkEnd w:id="1115"/>
    </w:p>
    <w:p>
      <w:pPr>
        <w:pStyle w:val="Para 01"/>
      </w:pPr>
      <w:r>
        <w:t>Heinz B., HW 648, 824-25, 2438, 2441, 4417.</w:t>
      </w:r>
    </w:p>
    <w:p>
      <w:bookmarkStart w:id="1116" w:name="__363"/>
      <w:pPr>
        <w:pStyle w:val="Normal"/>
      </w:pPr>
      <w:r>
        <w:t>[</w:t>
      </w:r>
      <w:hyperlink w:anchor="363">
        <w:r>
          <w:rPr>
            <w:rStyle w:val="Text1"/>
          </w:rPr>
          <w:t>←363</w:t>
        </w:r>
      </w:hyperlink>
      <w:r>
        <w:t xml:space="preserve"> ] </w:t>
      </w:r>
      <w:bookmarkEnd w:id="1116"/>
    </w:p>
    <w:p>
      <w:pPr>
        <w:pStyle w:val="Para 01"/>
      </w:pPr>
      <w:r>
        <w:t>«Жалоба» Хоффмана от 3 мая 1943, HW 509.</w:t>
      </w:r>
    </w:p>
    <w:p>
      <w:bookmarkStart w:id="1117" w:name="__364"/>
      <w:pPr>
        <w:pStyle w:val="Normal"/>
      </w:pPr>
      <w:r>
        <w:t>[</w:t>
      </w:r>
      <w:hyperlink w:anchor="364">
        <w:r>
          <w:rPr>
            <w:rStyle w:val="Text1"/>
          </w:rPr>
          <w:t>←364</w:t>
        </w:r>
      </w:hyperlink>
      <w:r>
        <w:t xml:space="preserve"> ] </w:t>
      </w:r>
      <w:bookmarkEnd w:id="1117"/>
    </w:p>
    <w:p>
      <w:pPr>
        <w:pStyle w:val="Para 01"/>
      </w:pPr>
      <w:r>
        <w:t>Bruno G., HW 2026</w:t>
      </w:r>
    </w:p>
    <w:p>
      <w:bookmarkStart w:id="1118" w:name="__365"/>
      <w:pPr>
        <w:pStyle w:val="Normal"/>
      </w:pPr>
      <w:r>
        <w:t>[</w:t>
      </w:r>
      <w:hyperlink w:anchor="365">
        <w:r>
          <w:rPr>
            <w:rStyle w:val="Text1"/>
          </w:rPr>
          <w:t>←365</w:t>
        </w:r>
      </w:hyperlink>
      <w:r>
        <w:t xml:space="preserve"> ] </w:t>
      </w:r>
      <w:bookmarkEnd w:id="1118"/>
    </w:p>
    <w:p>
      <w:pPr>
        <w:pStyle w:val="Para 01"/>
      </w:pPr>
      <w:r>
        <w:t>R</w:t>
        <w:t>oving motorized company</w:t>
      </w:r>
    </w:p>
    <w:p>
      <w:bookmarkStart w:id="1119" w:name="__366"/>
      <w:pPr>
        <w:pStyle w:val="Normal"/>
      </w:pPr>
      <w:r>
        <w:t>[</w:t>
      </w:r>
      <w:hyperlink w:anchor="366">
        <w:r>
          <w:rPr>
            <w:rStyle w:val="Text1"/>
          </w:rPr>
          <w:t>←366</w:t>
        </w:r>
      </w:hyperlink>
      <w:r>
        <w:t xml:space="preserve"> ] </w:t>
      </w:r>
      <w:bookmarkEnd w:id="1119"/>
    </w:p>
    <w:p>
      <w:pPr>
        <w:pStyle w:val="Para 01"/>
      </w:pPr>
      <w:r>
        <w:t>Erwin H., HW 1168; Martin D., HW 1602; August W., HW 2043.</w:t>
      </w:r>
    </w:p>
    <w:p>
      <w:bookmarkStart w:id="1120" w:name="__367"/>
      <w:pPr>
        <w:pStyle w:val="Normal"/>
      </w:pPr>
      <w:r>
        <w:t>[</w:t>
      </w:r>
      <w:hyperlink w:anchor="367">
        <w:r>
          <w:rPr>
            <w:rStyle w:val="Text1"/>
          </w:rPr>
          <w:t>←367</w:t>
        </w:r>
      </w:hyperlink>
      <w:r>
        <w:t xml:space="preserve"> ] </w:t>
      </w:r>
      <w:bookmarkEnd w:id="1120"/>
    </w:p>
    <w:p>
      <w:pPr>
        <w:pStyle w:val="Para 01"/>
      </w:pPr>
      <w:r>
        <w:t>Alfred S., HW 298; Erwin H., HW 1169; Martin D., HW 1062; Peter O., HW 1865; August W., HW 2043-44.</w:t>
      </w:r>
    </w:p>
    <w:p>
      <w:bookmarkStart w:id="1121" w:name="__368"/>
      <w:pPr>
        <w:pStyle w:val="Normal"/>
      </w:pPr>
      <w:r>
        <w:t>[</w:t>
      </w:r>
      <w:hyperlink w:anchor="368">
        <w:r>
          <w:rPr>
            <w:rStyle w:val="Text1"/>
          </w:rPr>
          <w:t>←368</w:t>
        </w:r>
      </w:hyperlink>
      <w:r>
        <w:t xml:space="preserve"> ] </w:t>
      </w:r>
      <w:bookmarkEnd w:id="1121"/>
    </w:p>
    <w:p>
      <w:pPr>
        <w:pStyle w:val="Para 01"/>
      </w:pPr>
      <w:r>
        <w:t>Martin D., HW 1602; August W., HW 2043-44.</w:t>
      </w:r>
    </w:p>
    <w:p>
      <w:bookmarkStart w:id="1122" w:name="__369"/>
      <w:pPr>
        <w:pStyle w:val="Normal"/>
      </w:pPr>
      <w:r>
        <w:t>[</w:t>
      </w:r>
      <w:hyperlink w:anchor="369">
        <w:r>
          <w:rPr>
            <w:rStyle w:val="Text1"/>
          </w:rPr>
          <w:t>←369</w:t>
        </w:r>
      </w:hyperlink>
      <w:r>
        <w:t xml:space="preserve"> ] </w:t>
      </w:r>
      <w:bookmarkEnd w:id="1122"/>
    </w:p>
    <w:p>
      <w:pPr>
        <w:pStyle w:val="Para 01"/>
      </w:pPr>
      <w:r>
        <w:t>August W., HW 2045.</w:t>
      </w:r>
    </w:p>
    <w:p>
      <w:bookmarkStart w:id="1123" w:name="__370"/>
      <w:pPr>
        <w:pStyle w:val="Normal"/>
      </w:pPr>
      <w:r>
        <w:t>[</w:t>
      </w:r>
      <w:hyperlink w:anchor="370">
        <w:r>
          <w:rPr>
            <w:rStyle w:val="Text1"/>
          </w:rPr>
          <w:t>←370</w:t>
        </w:r>
      </w:hyperlink>
      <w:r>
        <w:t xml:space="preserve"> ] </w:t>
      </w:r>
      <w:bookmarkEnd w:id="1123"/>
    </w:p>
    <w:p>
      <w:pPr>
        <w:pStyle w:val="Para 01"/>
      </w:pPr>
      <w:r>
        <w:t>Erwin H., HW 1169; Wilhelm J., HW 1323; Georg L., HW 1427; Fried</w:t>
        <w:t>e</w:t>
        <w:t>rick V., HW 1542; Martin D., HW 1603; Peter C., HW 1865; Bruno G., HW 2025; August W., HW 2044-45.</w:t>
      </w:r>
    </w:p>
    <w:p>
      <w:bookmarkStart w:id="1124" w:name="__371"/>
      <w:pPr>
        <w:pStyle w:val="Normal"/>
      </w:pPr>
      <w:r>
        <w:t>[</w:t>
      </w:r>
      <w:hyperlink w:anchor="371">
        <w:r>
          <w:rPr>
            <w:rStyle w:val="Text1"/>
          </w:rPr>
          <w:t>←371</w:t>
        </w:r>
      </w:hyperlink>
      <w:r>
        <w:t xml:space="preserve"> ] </w:t>
      </w:r>
      <w:bookmarkEnd w:id="1124"/>
    </w:p>
    <w:p>
      <w:pPr>
        <w:pStyle w:val="Para 01"/>
      </w:pPr>
      <w:r>
        <w:t>Martin D., HW 1605.</w:t>
      </w:r>
    </w:p>
    <w:p>
      <w:bookmarkStart w:id="1125" w:name="__372"/>
      <w:pPr>
        <w:pStyle w:val="Normal"/>
      </w:pPr>
      <w:r>
        <w:t>[</w:t>
      </w:r>
      <w:hyperlink w:anchor="372">
        <w:r>
          <w:rPr>
            <w:rStyle w:val="Text1"/>
          </w:rPr>
          <w:t>←372</w:t>
        </w:r>
      </w:hyperlink>
      <w:r>
        <w:t xml:space="preserve"> ] </w:t>
      </w:r>
      <w:bookmarkEnd w:id="1125"/>
    </w:p>
    <w:p>
      <w:pPr>
        <w:pStyle w:val="Para 01"/>
      </w:pPr>
      <w:r>
        <w:t>Fried</w:t>
        <w:t>e</w:t>
        <w:t>rick V., HW 1542.</w:t>
      </w:r>
    </w:p>
    <w:p>
      <w:bookmarkStart w:id="1126" w:name="__373"/>
      <w:pPr>
        <w:pStyle w:val="Normal"/>
      </w:pPr>
      <w:r>
        <w:t>[</w:t>
      </w:r>
      <w:hyperlink w:anchor="373">
        <w:r>
          <w:rPr>
            <w:rStyle w:val="Text1"/>
          </w:rPr>
          <w:t>←373</w:t>
        </w:r>
      </w:hyperlink>
      <w:r>
        <w:t xml:space="preserve"> ] </w:t>
      </w:r>
      <w:bookmarkEnd w:id="1126"/>
    </w:p>
    <w:p>
      <w:pPr>
        <w:pStyle w:val="Para 01"/>
      </w:pPr>
      <w:r>
        <w:t xml:space="preserve">Прим. переводчика — фраза на английском точна в своей двусмысленности. Мне неизвестно, является ли это результатом перевода с немецкого, или это часть «самооправдательного» показания, однако дело в следующем: «At the sight of the sick, it was not possible for me to shoot at one of the Jews, and I intentionally aimed all my shots wide». </w:t>
        <w:t>Фраза сформулирована так, что</w:t>
        <w:t xml:space="preserve"> сложно понять </w:t>
        <w:t>(или легко неправильно понять)</w:t>
        <w:t xml:space="preserve">, стало ли для человека невозможным стрелять в кого-то конкретного, и поэтому он просто стрелял </w:t>
        <w:t>куда-то</w:t>
        <w:t xml:space="preserve"> не глядя куда, или он действительно не смог стрелять в людей в целом и намеренно </w:t>
        <w:t>стрелял мимо</w:t>
        <w:t xml:space="preserve">. </w:t>
        <w:t>В переводе осталась вторая версия, как менее инкриминирующая.</w:t>
        <w:t xml:space="preserve"> </w:t>
      </w:r>
    </w:p>
    <w:p>
      <w:bookmarkStart w:id="1127" w:name="__374"/>
      <w:pPr>
        <w:pStyle w:val="Normal"/>
      </w:pPr>
      <w:r>
        <w:t>[</w:t>
      </w:r>
      <w:hyperlink w:anchor="374">
        <w:r>
          <w:rPr>
            <w:rStyle w:val="Text1"/>
          </w:rPr>
          <w:t>←374</w:t>
        </w:r>
      </w:hyperlink>
      <w:r>
        <w:t xml:space="preserve"> ] </w:t>
      </w:r>
      <w:bookmarkEnd w:id="1127"/>
    </w:p>
    <w:p>
      <w:pPr>
        <w:pStyle w:val="Para 01"/>
      </w:pPr>
      <w:r>
        <w:t>Martin D., HW 1605-6.</w:t>
      </w:r>
    </w:p>
    <w:p>
      <w:bookmarkStart w:id="1128" w:name="__375"/>
      <w:pPr>
        <w:pStyle w:val="Normal"/>
      </w:pPr>
      <w:r>
        <w:t>[</w:t>
      </w:r>
      <w:hyperlink w:anchor="375">
        <w:r>
          <w:rPr>
            <w:rStyle w:val="Text1"/>
          </w:rPr>
          <w:t>←375</w:t>
        </w:r>
      </w:hyperlink>
      <w:r>
        <w:t xml:space="preserve"> ] </w:t>
      </w:r>
      <w:bookmarkEnd w:id="1128"/>
    </w:p>
    <w:p>
      <w:pPr>
        <w:pStyle w:val="Para 01"/>
      </w:pPr>
      <w:r>
        <w:t>Alfred S., HW 299; Georg L., HW 1428; Martin D., HW 1603; Bruno G., HW 2025-26; Augus</w:t>
        <w:t>t</w:t>
        <w:t xml:space="preserve"> W., HW 2045, 3305-6.</w:t>
      </w:r>
    </w:p>
    <w:p>
      <w:bookmarkStart w:id="1129" w:name="__376"/>
      <w:pPr>
        <w:pStyle w:val="Normal"/>
      </w:pPr>
      <w:r>
        <w:t>[</w:t>
      </w:r>
      <w:hyperlink w:anchor="376">
        <w:r>
          <w:rPr>
            <w:rStyle w:val="Text1"/>
          </w:rPr>
          <w:t>←376</w:t>
        </w:r>
      </w:hyperlink>
      <w:r>
        <w:t xml:space="preserve"> ] </w:t>
      </w:r>
      <w:bookmarkEnd w:id="1129"/>
    </w:p>
    <w:p>
      <w:pPr>
        <w:pStyle w:val="Para 01"/>
      </w:pPr>
      <w:r>
        <w:t>Amandus M., HW 1631-32.</w:t>
      </w:r>
    </w:p>
    <w:p>
      <w:bookmarkStart w:id="1130" w:name="__377"/>
      <w:pPr>
        <w:pStyle w:val="Normal"/>
      </w:pPr>
      <w:r>
        <w:t>[</w:t>
      </w:r>
      <w:hyperlink w:anchor="377">
        <w:r>
          <w:rPr>
            <w:rStyle w:val="Text1"/>
          </w:rPr>
          <w:t>←377</w:t>
        </w:r>
      </w:hyperlink>
      <w:r>
        <w:t xml:space="preserve"> ] </w:t>
      </w:r>
      <w:bookmarkEnd w:id="1130"/>
    </w:p>
    <w:p>
      <w:pPr>
        <w:pStyle w:val="Para 01"/>
      </w:pPr>
      <w:r>
        <w:t>Fried</w:t>
        <w:t>e</w:t>
        <w:t>rick V., HW 1592.</w:t>
      </w:r>
    </w:p>
    <w:p>
      <w:bookmarkStart w:id="1131" w:name="__378"/>
      <w:pPr>
        <w:pStyle w:val="Normal"/>
      </w:pPr>
      <w:r>
        <w:t>[</w:t>
      </w:r>
      <w:hyperlink w:anchor="378">
        <w:r>
          <w:rPr>
            <w:rStyle w:val="Text1"/>
          </w:rPr>
          <w:t>←378</w:t>
        </w:r>
      </w:hyperlink>
      <w:r>
        <w:t xml:space="preserve"> ] </w:t>
      </w:r>
      <w:bookmarkEnd w:id="1131"/>
    </w:p>
    <w:p>
      <w:pPr>
        <w:pStyle w:val="Para 01"/>
      </w:pPr>
      <w:r>
        <w:t>August W., HW 2045.</w:t>
      </w:r>
    </w:p>
    <w:p>
      <w:bookmarkStart w:id="1132" w:name="__379"/>
      <w:pPr>
        <w:pStyle w:val="Normal"/>
      </w:pPr>
      <w:r>
        <w:t>[</w:t>
      </w:r>
      <w:hyperlink w:anchor="379">
        <w:r>
          <w:rPr>
            <w:rStyle w:val="Text1"/>
          </w:rPr>
          <w:t>←379</w:t>
        </w:r>
      </w:hyperlink>
      <w:r>
        <w:t xml:space="preserve"> ] </w:t>
      </w:r>
      <w:bookmarkEnd w:id="1132"/>
    </w:p>
    <w:p>
      <w:pPr>
        <w:pStyle w:val="Para 01"/>
      </w:pPr>
      <w:r>
        <w:t>«</w:t>
        <w:t xml:space="preserve">Жалоба» Хоффмана от 3 мая 1943 </w:t>
        <w:t>г.</w:t>
        <w:t>, HW 513; Вольфганг Хоффман HW 2304, 2925.</w:t>
        <w:t xml:space="preserve"> </w:t>
      </w:r>
    </w:p>
    <w:p>
      <w:bookmarkStart w:id="1133" w:name="__380"/>
      <w:pPr>
        <w:pStyle w:val="Normal"/>
      </w:pPr>
      <w:r>
        <w:t>[</w:t>
      </w:r>
      <w:hyperlink w:anchor="380">
        <w:r>
          <w:rPr>
            <w:rStyle w:val="Text1"/>
          </w:rPr>
          <w:t>←380</w:t>
        </w:r>
      </w:hyperlink>
      <w:r>
        <w:t xml:space="preserve"> ] </w:t>
      </w:r>
      <w:bookmarkEnd w:id="1133"/>
    </w:p>
    <w:p>
      <w:pPr>
        <w:pStyle w:val="Para 01"/>
      </w:pPr>
      <w:r>
        <w:t>Fried</w:t>
        <w:t>e</w:t>
        <w:t>rick V., HW 1541; Martin D., HW 1605-6, 3212-13, 3319; Erwin N., HW 1693-94, 3319-20; Wilhelm K., HW 1776, 3345-49; Bruno G., HW 2030-31, 3301, 3347; Bruno R., HW 2086; Erwin H., HW 116</w:t>
        <w:t>7</w:t>
        <w:t>.</w:t>
      </w:r>
    </w:p>
    <w:p>
      <w:bookmarkStart w:id="1134" w:name="__381"/>
      <w:pPr>
        <w:pStyle w:val="Normal"/>
      </w:pPr>
      <w:r>
        <w:t>[</w:t>
      </w:r>
      <w:hyperlink w:anchor="381">
        <w:r>
          <w:rPr>
            <w:rStyle w:val="Text1"/>
          </w:rPr>
          <w:t>←381</w:t>
        </w:r>
      </w:hyperlink>
      <w:r>
        <w:t xml:space="preserve"> ] </w:t>
      </w:r>
      <w:bookmarkEnd w:id="1134"/>
    </w:p>
    <w:p>
      <w:pPr>
        <w:pStyle w:val="Para 01"/>
      </w:pPr>
      <w:r>
        <w:t>convalescent leave</w:t>
      </w:r>
    </w:p>
    <w:p>
      <w:bookmarkStart w:id="1135" w:name="__382"/>
      <w:pPr>
        <w:pStyle w:val="Normal"/>
      </w:pPr>
      <w:r>
        <w:t>[</w:t>
      </w:r>
      <w:hyperlink w:anchor="382">
        <w:r>
          <w:rPr>
            <w:rStyle w:val="Text1"/>
          </w:rPr>
          <w:t>←382</w:t>
        </w:r>
      </w:hyperlink>
      <w:r>
        <w:t xml:space="preserve"> ] </w:t>
      </w:r>
      <w:bookmarkEnd w:id="1135"/>
    </w:p>
    <w:p>
      <w:pPr>
        <w:pStyle w:val="Para 01"/>
      </w:pPr>
      <w:r>
        <w:t xml:space="preserve">Письмо Хоффмана от 30 января 1943 </w:t>
        <w:t>г.</w:t>
        <w:t>, HW 523-24.</w:t>
      </w:r>
    </w:p>
    <w:p>
      <w:bookmarkStart w:id="1136" w:name="__383"/>
      <w:pPr>
        <w:pStyle w:val="Normal"/>
      </w:pPr>
      <w:r>
        <w:t>[</w:t>
      </w:r>
      <w:hyperlink w:anchor="383">
        <w:r>
          <w:rPr>
            <w:rStyle w:val="Text1"/>
          </w:rPr>
          <w:t>←383</w:t>
        </w:r>
      </w:hyperlink>
      <w:r>
        <w:t xml:space="preserve"> ] </w:t>
      </w:r>
      <w:bookmarkEnd w:id="1136"/>
    </w:p>
    <w:p>
      <w:pPr>
        <w:pStyle w:val="Para 01"/>
      </w:pPr>
      <w:r>
        <w:t xml:space="preserve">Письмо Траппа от 23 февраля 1943 </w:t>
        <w:t>г.</w:t>
        <w:t>, HW 509-10.</w:t>
      </w:r>
    </w:p>
    <w:p>
      <w:bookmarkStart w:id="1137" w:name="__384"/>
      <w:pPr>
        <w:pStyle w:val="Normal"/>
      </w:pPr>
      <w:r>
        <w:t>[</w:t>
      </w:r>
      <w:hyperlink w:anchor="384">
        <w:r>
          <w:rPr>
            <w:rStyle w:val="Text1"/>
          </w:rPr>
          <w:t>←384</w:t>
        </w:r>
      </w:hyperlink>
      <w:r>
        <w:t xml:space="preserve"> ] </w:t>
      </w:r>
      <w:bookmarkEnd w:id="1137"/>
    </w:p>
    <w:p>
      <w:pPr>
        <w:pStyle w:val="Para 01"/>
      </w:pPr>
      <w:r>
        <w:t>«</w:t>
        <w:t xml:space="preserve">Жалоба» Хоффмана от 3 мая 1943 </w:t>
        <w:t>г.</w:t>
        <w:t>, HW 509-15.</w:t>
        <w:t xml:space="preserve"> </w:t>
      </w:r>
    </w:p>
    <w:p>
      <w:bookmarkStart w:id="1138" w:name="__385"/>
      <w:pPr>
        <w:pStyle w:val="Normal"/>
      </w:pPr>
      <w:r>
        <w:t>[</w:t>
      </w:r>
      <w:hyperlink w:anchor="385">
        <w:r>
          <w:rPr>
            <w:rStyle w:val="Text1"/>
          </w:rPr>
          <w:t>←385</w:t>
        </w:r>
      </w:hyperlink>
      <w:r>
        <w:t xml:space="preserve"> ] </w:t>
      </w:r>
      <w:bookmarkEnd w:id="1138"/>
    </w:p>
    <w:p>
      <w:pPr>
        <w:pStyle w:val="Para 01"/>
      </w:pPr>
      <w:r>
        <w:t xml:space="preserve">Райндорф [Rheindorf] президенту полиции Гамбурга от 2 июля 1943 </w:t>
        <w:t>г.</w:t>
        <w:t>, HW 538-39.</w:t>
      </w:r>
    </w:p>
    <w:p>
      <w:bookmarkStart w:id="1139" w:name="__386"/>
      <w:pPr>
        <w:pStyle w:val="Normal"/>
      </w:pPr>
      <w:r>
        <w:t>[</w:t>
      </w:r>
      <w:hyperlink w:anchor="386">
        <w:r>
          <w:rPr>
            <w:rStyle w:val="Text1"/>
          </w:rPr>
          <w:t>←386</w:t>
        </w:r>
      </w:hyperlink>
      <w:r>
        <w:t xml:space="preserve"> ] </w:t>
      </w:r>
      <w:bookmarkEnd w:id="1139"/>
    </w:p>
    <w:p>
      <w:pPr>
        <w:pStyle w:val="Para 01"/>
      </w:pPr>
      <w:r>
        <w:t>Вольфганг Хоффман, HW 788-89.</w:t>
      </w:r>
    </w:p>
    <w:p>
      <w:bookmarkStart w:id="1140" w:name="__387"/>
      <w:pPr>
        <w:pStyle w:val="Normal"/>
      </w:pPr>
      <w:r>
        <w:t>[</w:t>
      </w:r>
      <w:hyperlink w:anchor="387">
        <w:r>
          <w:rPr>
            <w:rStyle w:val="Text1"/>
          </w:rPr>
          <w:t>←387</w:t>
        </w:r>
      </w:hyperlink>
      <w:r>
        <w:t xml:space="preserve"> ] </w:t>
      </w:r>
      <w:bookmarkEnd w:id="1140"/>
    </w:p>
    <w:p>
      <w:pPr>
        <w:pStyle w:val="Para 01"/>
      </w:pPr>
      <w:r>
        <w:t>YVA, TR-10/970 (Staatsanwaltschaft Hamburg, 147 Js 8/75, indictment of Arpad Wigand):81-92. Так же смотри Кристофер Р. Браунинг «</w:t>
        <w:t>Геноцид и Общественное Здоровье: Немецкие Врачи и Польские Евреи, 1939-1941» [</w:t>
        <w:t>Genocide and Public Health: German Doctors and Polish Jews, 1939-41</w:t>
        <w:t>]</w:t>
        <w:t xml:space="preserve">, </w:t>
      </w:r>
      <w:r>
        <w:rPr>
          <w:rStyle w:val="Text0"/>
        </w:rPr>
        <w:t>Holocaust and Genocide Studies</w:t>
      </w:r>
      <w:r>
        <w:t xml:space="preserve"> 3, no. 1 (1988): 21-36. </w:t>
      </w:r>
    </w:p>
    <w:p>
      <w:bookmarkStart w:id="1141" w:name="__388"/>
      <w:pPr>
        <w:pStyle w:val="Normal"/>
      </w:pPr>
      <w:r>
        <w:t>[</w:t>
      </w:r>
      <w:hyperlink w:anchor="388">
        <w:r>
          <w:rPr>
            <w:rStyle w:val="Text1"/>
          </w:rPr>
          <w:t>←388</w:t>
        </w:r>
      </w:hyperlink>
      <w:r>
        <w:t xml:space="preserve"> ] </w:t>
      </w:r>
      <w:bookmarkEnd w:id="1141"/>
    </w:p>
    <w:p>
      <w:pPr>
        <w:pStyle w:val="Para 01"/>
      </w:pPr>
      <w:r>
        <w:t>YVA, TR-10/970 (Staatsanwaltschaft Hamburg, 147 Js 8/75, indictment of Arpad Wigand):92-99; Ferdinand H., HW 3257-58; Diensttagebuch, 450.</w:t>
      </w:r>
    </w:p>
    <w:p>
      <w:bookmarkStart w:id="1142" w:name="__389"/>
      <w:pPr>
        <w:pStyle w:val="Normal"/>
      </w:pPr>
      <w:r>
        <w:t>[</w:t>
      </w:r>
      <w:hyperlink w:anchor="389">
        <w:r>
          <w:rPr>
            <w:rStyle w:val="Text1"/>
          </w:rPr>
          <w:t>←389</w:t>
        </w:r>
      </w:hyperlink>
      <w:r>
        <w:t xml:space="preserve"> ] </w:t>
      </w:r>
      <w:bookmarkEnd w:id="1142"/>
    </w:p>
    <w:p>
      <w:pPr>
        <w:pStyle w:val="Para 01"/>
      </w:pPr>
      <w:r>
        <w:t>YVA, TR-10/542 (</w:t>
        <w:t>Staatsanwaltschaft</w:t>
        <w:t xml:space="preserve"> Augsburg, 7 Js 653/53, indictment of </w:t>
        <w:t>Günt</w:t>
        <w:t>h</w:t>
        <w:t>er Waltz</w:t>
        <w:t>).</w:t>
      </w:r>
    </w:p>
    <w:p>
      <w:bookmarkStart w:id="1143" w:name="__390"/>
      <w:pPr>
        <w:pStyle w:val="Normal"/>
      </w:pPr>
      <w:r>
        <w:t>[</w:t>
      </w:r>
      <w:hyperlink w:anchor="390">
        <w:r>
          <w:rPr>
            <w:rStyle w:val="Text1"/>
          </w:rPr>
          <w:t>←390</w:t>
        </w:r>
      </w:hyperlink>
      <w:r>
        <w:t xml:space="preserve"> ] </w:t>
      </w:r>
      <w:bookmarkEnd w:id="1143"/>
    </w:p>
    <w:p>
      <w:pPr>
        <w:pStyle w:val="Para 01"/>
      </w:pPr>
      <w:r>
        <w:t>Heinrich S., HW 1573.</w:t>
      </w:r>
    </w:p>
    <w:p>
      <w:bookmarkStart w:id="1144" w:name="__391"/>
      <w:pPr>
        <w:pStyle w:val="Normal"/>
      </w:pPr>
      <w:r>
        <w:t>[</w:t>
      </w:r>
      <w:hyperlink w:anchor="391">
        <w:r>
          <w:rPr>
            <w:rStyle w:val="Text1"/>
          </w:rPr>
          <w:t>←391</w:t>
        </w:r>
      </w:hyperlink>
      <w:r>
        <w:t xml:space="preserve"> ] </w:t>
      </w:r>
      <w:bookmarkEnd w:id="1144"/>
    </w:p>
    <w:p>
      <w:pPr>
        <w:pStyle w:val="Para 01"/>
      </w:pPr>
      <w:r>
        <w:t>Kurt D., HW 16</w:t>
        <w:t>2</w:t>
        <w:t>3.</w:t>
      </w:r>
    </w:p>
    <w:p>
      <w:bookmarkStart w:id="1145" w:name="__392"/>
      <w:pPr>
        <w:pStyle w:val="Normal"/>
      </w:pPr>
      <w:r>
        <w:t>[</w:t>
      </w:r>
      <w:hyperlink w:anchor="392">
        <w:r>
          <w:rPr>
            <w:rStyle w:val="Text1"/>
          </w:rPr>
          <w:t>←392</w:t>
        </w:r>
      </w:hyperlink>
      <w:r>
        <w:t xml:space="preserve"> ] </w:t>
      </w:r>
      <w:bookmarkEnd w:id="1145"/>
    </w:p>
    <w:p>
      <w:pPr>
        <w:pStyle w:val="Para 01"/>
      </w:pPr>
      <w:r>
        <w:t>Arthur S., HW 1164.</w:t>
      </w:r>
    </w:p>
    <w:p>
      <w:bookmarkStart w:id="1146" w:name="__393"/>
      <w:pPr>
        <w:pStyle w:val="Normal"/>
      </w:pPr>
      <w:r>
        <w:t>[</w:t>
      </w:r>
      <w:hyperlink w:anchor="393">
        <w:r>
          <w:rPr>
            <w:rStyle w:val="Text1"/>
          </w:rPr>
          <w:t>←393</w:t>
        </w:r>
      </w:hyperlink>
      <w:r>
        <w:t xml:space="preserve"> ] </w:t>
      </w:r>
      <w:bookmarkEnd w:id="1146"/>
    </w:p>
    <w:p>
      <w:pPr>
        <w:pStyle w:val="Para 01"/>
      </w:pPr>
      <w:r>
        <w:t>Georg L., HW 1429; Friedrich B., HW 1552; Paul H., HW 1653; Johannes R., HW 1812; Bruno G., HW 2030; August W., HW 2048; Heinrich E., HW 2177; Heinrich B., HW 2206; Hans K., HW 2261-62; Wilhelm K., HW 2379; Anton B., HW 2708; Ernst Hr., HW 2731; Martin D., HW 3213; Walter L., G 192; Friedrich P., G 247; Hugo S., G 474; Alfred K., G 580.</w:t>
      </w:r>
    </w:p>
    <w:p>
      <w:bookmarkStart w:id="1147" w:name="__394"/>
      <w:pPr>
        <w:pStyle w:val="Normal"/>
      </w:pPr>
      <w:r>
        <w:t>[</w:t>
      </w:r>
      <w:hyperlink w:anchor="394">
        <w:r>
          <w:rPr>
            <w:rStyle w:val="Text1"/>
          </w:rPr>
          <w:t>←394</w:t>
        </w:r>
      </w:hyperlink>
      <w:r>
        <w:t xml:space="preserve"> ] </w:t>
      </w:r>
      <w:bookmarkEnd w:id="1147"/>
    </w:p>
    <w:p>
      <w:pPr>
        <w:pStyle w:val="Para 01"/>
      </w:pPr>
      <w:r>
        <w:t>Erwin G., HW 4400.</w:t>
      </w:r>
    </w:p>
    <w:p>
      <w:bookmarkStart w:id="1148" w:name="__395"/>
      <w:pPr>
        <w:pStyle w:val="Normal"/>
      </w:pPr>
      <w:r>
        <w:t>[</w:t>
      </w:r>
      <w:hyperlink w:anchor="395">
        <w:r>
          <w:rPr>
            <w:rStyle w:val="Text1"/>
          </w:rPr>
          <w:t>←395</w:t>
        </w:r>
      </w:hyperlink>
      <w:r>
        <w:t xml:space="preserve"> ] </w:t>
      </w:r>
      <w:bookmarkEnd w:id="1148"/>
    </w:p>
    <w:p>
      <w:pPr>
        <w:pStyle w:val="Para 01"/>
      </w:pPr>
      <w:r>
        <w:t>Paul H., HW 1653.</w:t>
      </w:r>
    </w:p>
    <w:p>
      <w:bookmarkStart w:id="1149" w:name="__396"/>
      <w:pPr>
        <w:pStyle w:val="Normal"/>
      </w:pPr>
      <w:r>
        <w:t>[</w:t>
      </w:r>
      <w:hyperlink w:anchor="396">
        <w:r>
          <w:rPr>
            <w:rStyle w:val="Text1"/>
          </w:rPr>
          <w:t>←396</w:t>
        </w:r>
      </w:hyperlink>
      <w:r>
        <w:t xml:space="preserve"> ] </w:t>
      </w:r>
      <w:bookmarkEnd w:id="1149"/>
    </w:p>
    <w:p>
      <w:pPr>
        <w:pStyle w:val="Para 01"/>
      </w:pPr>
      <w:r>
        <w:t>Georg L., HW 1428-30.</w:t>
      </w:r>
    </w:p>
    <w:p>
      <w:bookmarkStart w:id="1150" w:name="__397"/>
      <w:pPr>
        <w:pStyle w:val="Normal"/>
      </w:pPr>
      <w:r>
        <w:t>[</w:t>
      </w:r>
      <w:hyperlink w:anchor="397">
        <w:r>
          <w:rPr>
            <w:rStyle w:val="Text1"/>
          </w:rPr>
          <w:t>←397</w:t>
        </w:r>
      </w:hyperlink>
      <w:r>
        <w:t xml:space="preserve"> ] </w:t>
      </w:r>
      <w:bookmarkEnd w:id="1150"/>
    </w:p>
    <w:p>
      <w:pPr>
        <w:pStyle w:val="Para 01"/>
      </w:pPr>
      <w:r>
        <w:t>Peter O., HW 1794; Otto H., HW 2227; Hans K., HW 2261.</w:t>
      </w:r>
    </w:p>
    <w:p>
      <w:bookmarkStart w:id="1151" w:name="__398"/>
      <w:pPr>
        <w:pStyle w:val="Normal"/>
      </w:pPr>
      <w:r>
        <w:t>[</w:t>
      </w:r>
      <w:hyperlink w:anchor="398">
        <w:r>
          <w:rPr>
            <w:rStyle w:val="Text1"/>
          </w:rPr>
          <w:t>←398</w:t>
        </w:r>
      </w:hyperlink>
      <w:r>
        <w:t xml:space="preserve"> ] </w:t>
      </w:r>
      <w:bookmarkEnd w:id="1151"/>
    </w:p>
    <w:p>
      <w:pPr>
        <w:pStyle w:val="Para 01"/>
      </w:pPr>
      <w:r>
        <w:t>Alfred S., HW 302.</w:t>
      </w:r>
    </w:p>
    <w:p>
      <w:bookmarkStart w:id="1152" w:name="__399"/>
      <w:pPr>
        <w:pStyle w:val="Normal"/>
      </w:pPr>
      <w:r>
        <w:t>[</w:t>
      </w:r>
      <w:hyperlink w:anchor="399">
        <w:r>
          <w:rPr>
            <w:rStyle w:val="Text1"/>
          </w:rPr>
          <w:t>←399</w:t>
        </w:r>
      </w:hyperlink>
      <w:r>
        <w:t xml:space="preserve"> ] </w:t>
      </w:r>
      <w:bookmarkEnd w:id="1152"/>
    </w:p>
    <w:p>
      <w:pPr>
        <w:pStyle w:val="Para 01"/>
      </w:pPr>
      <w:r>
        <w:t xml:space="preserve">Heinrich H., HW 975-76; Rudolf B., HW 408; Heinrich E., HW 2178; Hans K., HW 2261; </w:t>
        <w:t>Karl</w:t>
        <w:t xml:space="preserve"> S., G 664.</w:t>
      </w:r>
    </w:p>
    <w:p>
      <w:bookmarkStart w:id="1153" w:name="__400"/>
      <w:pPr>
        <w:pStyle w:val="Normal"/>
      </w:pPr>
      <w:r>
        <w:t>[</w:t>
      </w:r>
      <w:hyperlink w:anchor="400">
        <w:r>
          <w:rPr>
            <w:rStyle w:val="Text1"/>
          </w:rPr>
          <w:t>←400</w:t>
        </w:r>
      </w:hyperlink>
      <w:r>
        <w:t xml:space="preserve"> ] </w:t>
      </w:r>
      <w:bookmarkEnd w:id="1153"/>
    </w:p>
    <w:p>
      <w:pPr>
        <w:pStyle w:val="Para 01"/>
      </w:pPr>
      <w:r>
        <w:t>Rudolf B., HW 403; Franz G., HW 1192.</w:t>
      </w:r>
    </w:p>
    <w:p>
      <w:bookmarkStart w:id="1154" w:name="__401"/>
      <w:pPr>
        <w:pStyle w:val="Normal"/>
      </w:pPr>
      <w:r>
        <w:t>[</w:t>
      </w:r>
      <w:hyperlink w:anchor="401">
        <w:r>
          <w:rPr>
            <w:rStyle w:val="Text1"/>
          </w:rPr>
          <w:t>←401</w:t>
        </w:r>
      </w:hyperlink>
      <w:r>
        <w:t xml:space="preserve"> ] </w:t>
      </w:r>
      <w:bookmarkEnd w:id="1154"/>
    </w:p>
    <w:p>
      <w:pPr>
        <w:pStyle w:val="Para 01"/>
      </w:pPr>
      <w:r>
        <w:t>Wilhelm K., HW 1774, 2379; Bruno G., HW 2033-34.</w:t>
      </w:r>
    </w:p>
    <w:p>
      <w:bookmarkStart w:id="1155" w:name="__402"/>
      <w:pPr>
        <w:pStyle w:val="Normal"/>
      </w:pPr>
      <w:r>
        <w:t>[</w:t>
      </w:r>
      <w:hyperlink w:anchor="402">
        <w:r>
          <w:rPr>
            <w:rStyle w:val="Text1"/>
          </w:rPr>
          <w:t>←402</w:t>
        </w:r>
      </w:hyperlink>
      <w:r>
        <w:t xml:space="preserve"> ] </w:t>
      </w:r>
      <w:bookmarkEnd w:id="1155"/>
    </w:p>
    <w:p>
      <w:pPr>
        <w:pStyle w:val="Para 01"/>
      </w:pPr>
      <w:r>
        <w:t>flying squadron.</w:t>
      </w:r>
    </w:p>
    <w:p>
      <w:bookmarkStart w:id="1156" w:name="__403"/>
      <w:pPr>
        <w:pStyle w:val="Normal"/>
      </w:pPr>
      <w:r>
        <w:t>[</w:t>
      </w:r>
      <w:hyperlink w:anchor="403">
        <w:r>
          <w:rPr>
            <w:rStyle w:val="Text1"/>
          </w:rPr>
          <w:t>←403</w:t>
        </w:r>
      </w:hyperlink>
      <w:r>
        <w:t xml:space="preserve"> ] </w:t>
      </w:r>
      <w:bookmarkEnd w:id="1156"/>
    </w:p>
    <w:p>
      <w:pPr>
        <w:pStyle w:val="Para 01"/>
      </w:pPr>
      <w:r>
        <w:t>Alfred S., HW 300-301.</w:t>
      </w:r>
    </w:p>
    <w:p>
      <w:bookmarkStart w:id="1157" w:name="__404"/>
      <w:pPr>
        <w:pStyle w:val="Normal"/>
      </w:pPr>
      <w:r>
        <w:t>[</w:t>
      </w:r>
      <w:hyperlink w:anchor="404">
        <w:r>
          <w:rPr>
            <w:rStyle w:val="Text1"/>
          </w:rPr>
          <w:t>←404</w:t>
        </w:r>
      </w:hyperlink>
      <w:r>
        <w:t xml:space="preserve"> ] </w:t>
      </w:r>
      <w:bookmarkEnd w:id="1157"/>
    </w:p>
    <w:p>
      <w:pPr>
        <w:pStyle w:val="Para 01"/>
      </w:pPr>
      <w:r>
        <w:t>Martin D., HW 1600l; Erwin N., HW 3321-22.</w:t>
      </w:r>
    </w:p>
    <w:p>
      <w:bookmarkStart w:id="1158" w:name="__405"/>
      <w:pPr>
        <w:pStyle w:val="Normal"/>
      </w:pPr>
      <w:r>
        <w:t>[</w:t>
      </w:r>
      <w:hyperlink w:anchor="405">
        <w:r>
          <w:rPr>
            <w:rStyle w:val="Text1"/>
          </w:rPr>
          <w:t>←405</w:t>
        </w:r>
      </w:hyperlink>
      <w:r>
        <w:t xml:space="preserve"> ] </w:t>
      </w:r>
      <w:bookmarkEnd w:id="1158"/>
    </w:p>
    <w:p>
      <w:pPr>
        <w:pStyle w:val="Para 01"/>
      </w:pPr>
      <w:r>
        <w:t>Friedrich Bm., HW 2101; Hans K., HW 2263-64.</w:t>
      </w:r>
    </w:p>
    <w:p>
      <w:bookmarkStart w:id="1159" w:name="__406"/>
      <w:pPr>
        <w:pStyle w:val="Normal"/>
      </w:pPr>
      <w:r>
        <w:t>[</w:t>
      </w:r>
      <w:hyperlink w:anchor="406">
        <w:r>
          <w:rPr>
            <w:rStyle w:val="Text1"/>
          </w:rPr>
          <w:t>←406</w:t>
        </w:r>
      </w:hyperlink>
      <w:r>
        <w:t xml:space="preserve"> ] </w:t>
      </w:r>
      <w:bookmarkEnd w:id="1159"/>
    </w:p>
    <w:p>
      <w:pPr>
        <w:pStyle w:val="Para 01"/>
      </w:pPr>
      <w:r>
        <w:t>Friedrich Bm., HW 2102.</w:t>
      </w:r>
    </w:p>
    <w:p>
      <w:bookmarkStart w:id="1160" w:name="__407"/>
      <w:pPr>
        <w:pStyle w:val="Normal"/>
      </w:pPr>
      <w:r>
        <w:t>[</w:t>
      </w:r>
      <w:hyperlink w:anchor="407">
        <w:r>
          <w:rPr>
            <w:rStyle w:val="Text1"/>
          </w:rPr>
          <w:t>←407</w:t>
        </w:r>
      </w:hyperlink>
      <w:r>
        <w:t xml:space="preserve"> ] </w:t>
      </w:r>
      <w:bookmarkEnd w:id="1160"/>
    </w:p>
    <w:p>
      <w:pPr>
        <w:pStyle w:val="Para 01"/>
      </w:pPr>
      <w:r>
        <w:t>О первой роте смотри Arthur S., HW 1164; Max F., HW 1531; Friedrich Bm., HW 2101; Heinrich E., HW 2175; Hans K., HW 2262-66; Hans Pz., HW 3256; Friedrich B., HW 3531; Alfred K., G 580; Ernst R., G 612; Karl S., G 663. О второй роте смотри Rudolf B., HW 403, 407-8; Adolf B., HW 442-43; Max D., HW 1346; Heinrich S., HW 1573; Erwin G., 1641-42; Peter O., HW 1743-44; Wilhelm G., HW 2153-56; Helmuth H., HW 2207; Otto H., HW 2206-7; Walter Z., HW 2267-68; Georg K., HW 2639-40, 3344-45; Anton B., HW 2708-11; Ernst Hr., HW 2731; August Z., HW 3066-67, G 286; Richard Gm., HW 3545; Walter N., HW 3553; Wolfgang H., HW 3563-64; Paul M., HW 3935; Hermann Bg., G 100-111; Gustav M., G 169; Walter L., G 192; Friedrich P., G 248. О третьей роте смотри Karl E., HW 897; Walter F., HW 903; Martin D., HW 1600-1601, 1609, 3321; Erwin N., HW 1689, 1693-95; Richard M., HW 1890; Bruno P., HW 1916, 1924-25; Arthur R., HW 1938-39; Bruno G., HW 2030-34; August W., HW 2046-48, 3304; Alfred S., HW 2067; Friedrich S., HW 2072-73; Herbert R., HW 2111-2.</w:t>
      </w:r>
    </w:p>
    <w:p>
      <w:bookmarkStart w:id="1161" w:name="__408"/>
      <w:pPr>
        <w:pStyle w:val="Normal"/>
      </w:pPr>
      <w:r>
        <w:t>[</w:t>
      </w:r>
      <w:hyperlink w:anchor="408">
        <w:r>
          <w:rPr>
            <w:rStyle w:val="Text1"/>
          </w:rPr>
          <w:t>←408</w:t>
        </w:r>
      </w:hyperlink>
      <w:r>
        <w:t xml:space="preserve"> ] </w:t>
      </w:r>
      <w:bookmarkEnd w:id="1161"/>
    </w:p>
    <w:p>
      <w:pPr>
        <w:pStyle w:val="Para 01"/>
      </w:pPr>
      <w:r>
        <w:t>Erwin N., HW 1693.</w:t>
      </w:r>
    </w:p>
    <w:p>
      <w:bookmarkStart w:id="1162" w:name="__409"/>
      <w:pPr>
        <w:pStyle w:val="Normal"/>
      </w:pPr>
      <w:r>
        <w:t>[</w:t>
      </w:r>
      <w:hyperlink w:anchor="409">
        <w:r>
          <w:rPr>
            <w:rStyle w:val="Text1"/>
          </w:rPr>
          <w:t>←409</w:t>
        </w:r>
      </w:hyperlink>
      <w:r>
        <w:t xml:space="preserve"> ] </w:t>
      </w:r>
      <w:bookmarkEnd w:id="1162"/>
    </w:p>
    <w:p>
      <w:pPr>
        <w:pStyle w:val="Para 01"/>
      </w:pPr>
      <w:r>
        <w:t>Bruno P., HW 1917.</w:t>
      </w:r>
    </w:p>
    <w:p>
      <w:bookmarkStart w:id="1163" w:name="__410"/>
      <w:pPr>
        <w:pStyle w:val="Normal"/>
      </w:pPr>
      <w:r>
        <w:t>[</w:t>
      </w:r>
      <w:hyperlink w:anchor="410">
        <w:r>
          <w:rPr>
            <w:rStyle w:val="Text1"/>
          </w:rPr>
          <w:t>←410</w:t>
        </w:r>
      </w:hyperlink>
      <w:r>
        <w:t xml:space="preserve"> ] </w:t>
      </w:r>
      <w:bookmarkEnd w:id="1163"/>
    </w:p>
    <w:p>
      <w:pPr>
        <w:pStyle w:val="Para 01"/>
      </w:pPr>
      <w:r>
        <w:t>Hans Kl., HW 3565.</w:t>
      </w:r>
    </w:p>
    <w:p>
      <w:bookmarkStart w:id="1164" w:name="__411"/>
      <w:pPr>
        <w:pStyle w:val="Normal"/>
      </w:pPr>
      <w:r>
        <w:t>[</w:t>
      </w:r>
      <w:hyperlink w:anchor="411">
        <w:r>
          <w:rPr>
            <w:rStyle w:val="Text1"/>
          </w:rPr>
          <w:t>←411</w:t>
        </w:r>
      </w:hyperlink>
      <w:r>
        <w:t xml:space="preserve"> ] </w:t>
      </w:r>
      <w:bookmarkEnd w:id="1164"/>
    </w:p>
    <w:p>
      <w:pPr>
        <w:pStyle w:val="Para 01"/>
      </w:pPr>
      <w:r>
        <w:t>Wolfgang H., HW 3564.</w:t>
      </w:r>
    </w:p>
    <w:p>
      <w:bookmarkStart w:id="1165" w:name="__412"/>
      <w:pPr>
        <w:pStyle w:val="Normal"/>
      </w:pPr>
      <w:r>
        <w:t>[</w:t>
      </w:r>
      <w:hyperlink w:anchor="412">
        <w:r>
          <w:rPr>
            <w:rStyle w:val="Text1"/>
          </w:rPr>
          <w:t>←412</w:t>
        </w:r>
      </w:hyperlink>
      <w:r>
        <w:t xml:space="preserve"> ] </w:t>
      </w:r>
      <w:bookmarkEnd w:id="1165"/>
    </w:p>
    <w:p>
      <w:pPr>
        <w:pStyle w:val="Para 01"/>
      </w:pPr>
      <w:r>
        <w:t>Lucia B., G 598.</w:t>
      </w:r>
    </w:p>
    <w:p>
      <w:bookmarkStart w:id="1166" w:name="__413"/>
      <w:pPr>
        <w:pStyle w:val="Normal"/>
      </w:pPr>
      <w:r>
        <w:t>[</w:t>
      </w:r>
      <w:hyperlink w:anchor="413">
        <w:r>
          <w:rPr>
            <w:rStyle w:val="Text1"/>
          </w:rPr>
          <w:t>←413</w:t>
        </w:r>
      </w:hyperlink>
      <w:r>
        <w:t xml:space="preserve"> ] </w:t>
      </w:r>
      <w:bookmarkEnd w:id="1166"/>
    </w:p>
    <w:p>
      <w:pPr>
        <w:pStyle w:val="Para 01"/>
      </w:pPr>
      <w:r>
        <w:t>Ernst Hn., G 511.</w:t>
      </w:r>
    </w:p>
    <w:p>
      <w:bookmarkStart w:id="1167" w:name="__414"/>
      <w:pPr>
        <w:pStyle w:val="Normal"/>
      </w:pPr>
      <w:r>
        <w:t>[</w:t>
      </w:r>
      <w:hyperlink w:anchor="414">
        <w:r>
          <w:rPr>
            <w:rStyle w:val="Text1"/>
          </w:rPr>
          <w:t>←414</w:t>
        </w:r>
      </w:hyperlink>
      <w:r>
        <w:t xml:space="preserve"> ] </w:t>
      </w:r>
      <w:bookmarkEnd w:id="1167"/>
    </w:p>
    <w:p>
      <w:pPr>
        <w:pStyle w:val="Para 01"/>
      </w:pPr>
      <w:r>
        <w:t>Adolf B., HW 2532.</w:t>
      </w:r>
    </w:p>
    <w:p>
      <w:bookmarkStart w:id="1168" w:name="__415"/>
      <w:pPr>
        <w:pStyle w:val="Normal"/>
      </w:pPr>
      <w:r>
        <w:t>[</w:t>
      </w:r>
      <w:hyperlink w:anchor="415">
        <w:r>
          <w:rPr>
            <w:rStyle w:val="Text1"/>
          </w:rPr>
          <w:t>←415</w:t>
        </w:r>
      </w:hyperlink>
      <w:r>
        <w:t xml:space="preserve"> ] </w:t>
      </w:r>
      <w:bookmarkEnd w:id="1168"/>
    </w:p>
    <w:p>
      <w:pPr>
        <w:pStyle w:val="Para 01"/>
      </w:pPr>
      <w:r>
        <w:t>Heinrich B., HW 3615.</w:t>
      </w:r>
    </w:p>
    <w:p>
      <w:bookmarkStart w:id="1169" w:name="__416"/>
      <w:pPr>
        <w:pStyle w:val="Normal"/>
      </w:pPr>
      <w:r>
        <w:t>[</w:t>
      </w:r>
      <w:hyperlink w:anchor="416">
        <w:r>
          <w:rPr>
            <w:rStyle w:val="Text1"/>
          </w:rPr>
          <w:t>←416</w:t>
        </w:r>
      </w:hyperlink>
      <w:r>
        <w:t xml:space="preserve"> ] </w:t>
      </w:r>
      <w:bookmarkEnd w:id="1169"/>
    </w:p>
    <w:p>
      <w:pPr>
        <w:pStyle w:val="Para 01"/>
      </w:pPr>
      <w:r>
        <w:t>Walter Z., HW 2629.</w:t>
      </w:r>
    </w:p>
    <w:p>
      <w:bookmarkStart w:id="1170" w:name="__417"/>
      <w:pPr>
        <w:pStyle w:val="Normal"/>
      </w:pPr>
      <w:r>
        <w:t>[</w:t>
      </w:r>
      <w:hyperlink w:anchor="417">
        <w:r>
          <w:rPr>
            <w:rStyle w:val="Text1"/>
          </w:rPr>
          <w:t>←417</w:t>
        </w:r>
      </w:hyperlink>
      <w:r>
        <w:t xml:space="preserve"> ] </w:t>
      </w:r>
      <w:bookmarkEnd w:id="1170"/>
    </w:p>
    <w:p>
      <w:pPr>
        <w:pStyle w:val="Para 01"/>
      </w:pPr>
      <w:r>
        <w:t>Otto-Julius S., HW 4577-78.</w:t>
      </w:r>
    </w:p>
    <w:p>
      <w:bookmarkStart w:id="1171" w:name="__418"/>
      <w:pPr>
        <w:pStyle w:val="Normal"/>
      </w:pPr>
      <w:r>
        <w:t>[</w:t>
      </w:r>
      <w:hyperlink w:anchor="418">
        <w:r>
          <w:rPr>
            <w:rStyle w:val="Text1"/>
          </w:rPr>
          <w:t>←418</w:t>
        </w:r>
      </w:hyperlink>
      <w:r>
        <w:t xml:space="preserve"> ] </w:t>
      </w:r>
      <w:bookmarkEnd w:id="1171"/>
    </w:p>
    <w:p>
      <w:pPr>
        <w:pStyle w:val="Para 01"/>
      </w:pPr>
      <w:r>
        <w:t>Adolf B., HW 442-43.</w:t>
      </w:r>
    </w:p>
    <w:p>
      <w:bookmarkStart w:id="1172" w:name="__419"/>
      <w:pPr>
        <w:pStyle w:val="Normal"/>
      </w:pPr>
      <w:r>
        <w:t>[</w:t>
      </w:r>
      <w:hyperlink w:anchor="419">
        <w:r>
          <w:rPr>
            <w:rStyle w:val="Text1"/>
          </w:rPr>
          <w:t>←419</w:t>
        </w:r>
      </w:hyperlink>
      <w:r>
        <w:t xml:space="preserve"> ] </w:t>
      </w:r>
      <w:bookmarkEnd w:id="1172"/>
    </w:p>
    <w:p>
      <w:pPr>
        <w:pStyle w:val="Para 01"/>
      </w:pPr>
      <w:r>
        <w:t xml:space="preserve">Gustav M., G 169. Другой полицейский (Hero B., HW 890) так же объяснял то, что он всего лишь один раз </w:t>
        <w:t>был</w:t>
        <w:t xml:space="preserve"> выбран для еврейского действия своей репутацией как политически ненадёжного и сварливого.</w:t>
      </w:r>
    </w:p>
    <w:p>
      <w:bookmarkStart w:id="1173" w:name="__420"/>
      <w:pPr>
        <w:pStyle w:val="Normal"/>
      </w:pPr>
      <w:r>
        <w:t>[</w:t>
      </w:r>
      <w:hyperlink w:anchor="420">
        <w:r>
          <w:rPr>
            <w:rStyle w:val="Text1"/>
          </w:rPr>
          <w:t>←420</w:t>
        </w:r>
      </w:hyperlink>
      <w:r>
        <w:t xml:space="preserve"> ] </w:t>
      </w:r>
      <w:bookmarkEnd w:id="1173"/>
    </w:p>
    <w:p>
      <w:pPr>
        <w:pStyle w:val="Para 01"/>
      </w:pPr>
      <w:r>
        <w:t>Heinrich F., G 445-45.</w:t>
      </w:r>
    </w:p>
    <w:p>
      <w:bookmarkStart w:id="1174" w:name="__421"/>
      <w:pPr>
        <w:pStyle w:val="Normal"/>
      </w:pPr>
      <w:r>
        <w:t>[</w:t>
      </w:r>
      <w:hyperlink w:anchor="421">
        <w:r>
          <w:rPr>
            <w:rStyle w:val="Text1"/>
          </w:rPr>
          <w:t>←421</w:t>
        </w:r>
      </w:hyperlink>
      <w:r>
        <w:t xml:space="preserve"> ] </w:t>
      </w:r>
      <w:bookmarkEnd w:id="1174"/>
    </w:p>
    <w:p>
      <w:pPr>
        <w:pStyle w:val="Para 01"/>
      </w:pPr>
      <w:r>
        <w:t>Hugo S., G 474.</w:t>
      </w:r>
    </w:p>
    <w:p>
      <w:bookmarkStart w:id="1175" w:name="__422"/>
      <w:pPr>
        <w:pStyle w:val="Normal"/>
      </w:pPr>
      <w:r>
        <w:t>[</w:t>
      </w:r>
      <w:hyperlink w:anchor="422">
        <w:r>
          <w:rPr>
            <w:rStyle w:val="Text1"/>
          </w:rPr>
          <w:t>←422</w:t>
        </w:r>
      </w:hyperlink>
      <w:r>
        <w:t xml:space="preserve"> ] </w:t>
      </w:r>
      <w:bookmarkEnd w:id="1175"/>
    </w:p>
    <w:p>
      <w:pPr>
        <w:pStyle w:val="Para 01"/>
      </w:pPr>
      <w:r>
        <w:t>Bruno P., HW 1925.</w:t>
      </w:r>
    </w:p>
    <w:p>
      <w:bookmarkStart w:id="1176" w:name="__423"/>
      <w:pPr>
        <w:pStyle w:val="Normal"/>
      </w:pPr>
      <w:r>
        <w:t>[</w:t>
      </w:r>
      <w:hyperlink w:anchor="423">
        <w:r>
          <w:rPr>
            <w:rStyle w:val="Text1"/>
          </w:rPr>
          <w:t>←423</w:t>
        </w:r>
      </w:hyperlink>
      <w:r>
        <w:t xml:space="preserve"> ] </w:t>
      </w:r>
      <w:bookmarkEnd w:id="1176"/>
    </w:p>
    <w:p>
      <w:pPr>
        <w:pStyle w:val="Para 01"/>
      </w:pPr>
      <w:r>
        <w:t>Arthur R., HW 19</w:t>
        <w:t>38-39</w:t>
        <w:t>.</w:t>
      </w:r>
    </w:p>
    <w:p>
      <w:bookmarkStart w:id="1177" w:name="__424"/>
      <w:pPr>
        <w:pStyle w:val="Normal"/>
      </w:pPr>
      <w:r>
        <w:t>[</w:t>
      </w:r>
      <w:hyperlink w:anchor="424">
        <w:r>
          <w:rPr>
            <w:rStyle w:val="Text1"/>
          </w:rPr>
          <w:t>←424</w:t>
        </w:r>
      </w:hyperlink>
      <w:r>
        <w:t xml:space="preserve"> ] </w:t>
      </w:r>
      <w:bookmarkEnd w:id="1177"/>
    </w:p>
    <w:p>
      <w:pPr>
        <w:pStyle w:val="Para 01"/>
      </w:pPr>
      <w:r>
        <w:t>Martin D., HW 3213.</w:t>
      </w:r>
    </w:p>
    <w:p>
      <w:bookmarkStart w:id="1178" w:name="__425"/>
      <w:pPr>
        <w:pStyle w:val="Normal"/>
      </w:pPr>
      <w:r>
        <w:t>[</w:t>
      </w:r>
      <w:hyperlink w:anchor="425">
        <w:r>
          <w:rPr>
            <w:rStyle w:val="Text1"/>
          </w:rPr>
          <w:t>←425</w:t>
        </w:r>
      </w:hyperlink>
      <w:r>
        <w:t xml:space="preserve"> ] </w:t>
      </w:r>
      <w:bookmarkEnd w:id="1178"/>
    </w:p>
    <w:p>
      <w:pPr>
        <w:pStyle w:val="Para 01"/>
      </w:pPr>
      <w:r>
        <w:t>Henry J., G 415.</w:t>
      </w:r>
    </w:p>
    <w:p>
      <w:bookmarkStart w:id="1179" w:name="__426"/>
      <w:pPr>
        <w:pStyle w:val="Normal"/>
      </w:pPr>
      <w:r>
        <w:t>[</w:t>
      </w:r>
      <w:hyperlink w:anchor="426">
        <w:r>
          <w:rPr>
            <w:rStyle w:val="Text1"/>
          </w:rPr>
          <w:t>←426</w:t>
        </w:r>
      </w:hyperlink>
      <w:r>
        <w:t xml:space="preserve"> ] </w:t>
      </w:r>
      <w:bookmarkEnd w:id="1179"/>
    </w:p>
    <w:p>
      <w:pPr>
        <w:pStyle w:val="Para 01"/>
      </w:pPr>
      <w:r>
        <w:t>Friedrich P., G 248.</w:t>
      </w:r>
    </w:p>
    <w:p>
      <w:bookmarkStart w:id="1180" w:name="__427"/>
      <w:pPr>
        <w:pStyle w:val="Normal"/>
      </w:pPr>
      <w:r>
        <w:t>[</w:t>
      </w:r>
      <w:hyperlink w:anchor="427">
        <w:r>
          <w:rPr>
            <w:rStyle w:val="Text1"/>
          </w:rPr>
          <w:t>←427</w:t>
        </w:r>
      </w:hyperlink>
      <w:r>
        <w:t xml:space="preserve"> ] </w:t>
      </w:r>
      <w:bookmarkEnd w:id="1180"/>
    </w:p>
    <w:p>
      <w:pPr>
        <w:pStyle w:val="Para 01"/>
      </w:pPr>
      <w:r>
        <w:t>YVA, 0-53/121 II w (May 1943); 0-53/122 X I (June 1943); 0-53/122 X II (July and August 1943); 0-53/123 Y I (September and October 1943).</w:t>
      </w:r>
    </w:p>
    <w:p>
      <w:bookmarkStart w:id="1181" w:name="__428"/>
      <w:pPr>
        <w:pStyle w:val="Normal"/>
      </w:pPr>
      <w:r>
        <w:t>[</w:t>
      </w:r>
      <w:hyperlink w:anchor="428">
        <w:r>
          <w:rPr>
            <w:rStyle w:val="Text1"/>
          </w:rPr>
          <w:t>←428</w:t>
        </w:r>
      </w:hyperlink>
      <w:r>
        <w:t xml:space="preserve"> ] </w:t>
      </w:r>
      <w:bookmarkEnd w:id="1181"/>
    </w:p>
    <w:p>
      <w:pPr>
        <w:pStyle w:val="Para 01"/>
      </w:pPr>
      <w:r>
        <w:t>YVA, 053/115/2-170, 673-725. Так же смотри YVA, TR-10/970 (Staatsanwaltschaft Hamburg, 147 Js 8/75, indictment of Arpad Wigand):103-7.</w:t>
      </w:r>
    </w:p>
    <w:p>
      <w:bookmarkStart w:id="1182" w:name="__429"/>
      <w:pPr>
        <w:pStyle w:val="Normal"/>
      </w:pPr>
      <w:r>
        <w:t>[</w:t>
      </w:r>
      <w:hyperlink w:anchor="429">
        <w:r>
          <w:rPr>
            <w:rStyle w:val="Text1"/>
          </w:rPr>
          <w:t>←429</w:t>
        </w:r>
      </w:hyperlink>
      <w:r>
        <w:t xml:space="preserve"> ] </w:t>
      </w:r>
      <w:bookmarkEnd w:id="1182"/>
    </w:p>
    <w:p>
      <w:pPr>
        <w:pStyle w:val="Para 01"/>
      </w:pPr>
      <w:r>
        <w:t>ZStL, Ord. 410, 994-96, 498, 500-501 (Еженедельные рапорты пятой роты Полицейского Резервного Батальона 133, Полицейского Подразделения 24. от 7 ноября до 12 декабря 1942).</w:t>
      </w:r>
    </w:p>
    <w:p>
      <w:bookmarkStart w:id="1183" w:name="__430"/>
      <w:pPr>
        <w:pStyle w:val="Normal"/>
      </w:pPr>
      <w:r>
        <w:t>[</w:t>
      </w:r>
      <w:hyperlink w:anchor="430">
        <w:r>
          <w:rPr>
            <w:rStyle w:val="Text1"/>
          </w:rPr>
          <w:t>←430</w:t>
        </w:r>
      </w:hyperlink>
      <w:r>
        <w:t xml:space="preserve"> ] </w:t>
      </w:r>
      <w:bookmarkEnd w:id="1183"/>
    </w:p>
    <w:p>
      <w:pPr>
        <w:pStyle w:val="Para 01"/>
      </w:pPr>
      <w:r>
        <w:t xml:space="preserve">Постановление Крюгера от 28 октября 1942 </w:t>
        <w:t>г.</w:t>
        <w:t xml:space="preserve">, </w:t>
      </w:r>
      <w:r>
        <w:rPr>
          <w:rStyle w:val="Text0"/>
        </w:rPr>
        <w:t>Faschismus-Ghetto-Massenmord</w:t>
      </w:r>
      <w:r>
        <w:t xml:space="preserve"> (Берлин, 1960), 324-44.</w:t>
      </w:r>
    </w:p>
    <w:p>
      <w:bookmarkStart w:id="1184" w:name="__431"/>
      <w:pPr>
        <w:pStyle w:val="Normal"/>
      </w:pPr>
      <w:r>
        <w:t>[</w:t>
      </w:r>
      <w:hyperlink w:anchor="431">
        <w:r>
          <w:rPr>
            <w:rStyle w:val="Text1"/>
          </w:rPr>
          <w:t>←431</w:t>
        </w:r>
      </w:hyperlink>
      <w:r>
        <w:t xml:space="preserve"> ] </w:t>
      </w:r>
      <w:bookmarkEnd w:id="1184"/>
    </w:p>
    <w:p>
      <w:pPr>
        <w:pStyle w:val="Para 01"/>
      </w:pPr>
      <w:r>
        <w:t>Karl E., HW 896.</w:t>
      </w:r>
    </w:p>
    <w:p>
      <w:bookmarkStart w:id="1185" w:name="__432"/>
      <w:pPr>
        <w:pStyle w:val="Normal"/>
      </w:pPr>
      <w:r>
        <w:t>[</w:t>
      </w:r>
      <w:hyperlink w:anchor="432">
        <w:r>
          <w:rPr>
            <w:rStyle w:val="Text1"/>
          </w:rPr>
          <w:t>←432</w:t>
        </w:r>
      </w:hyperlink>
      <w:r>
        <w:t xml:space="preserve"> ] </w:t>
      </w:r>
      <w:bookmarkEnd w:id="1185"/>
    </w:p>
    <w:p>
      <w:pPr>
        <w:pStyle w:val="Para 01"/>
      </w:pPr>
      <w:r>
        <w:t>Jakob A., HW 1064.</w:t>
      </w:r>
    </w:p>
    <w:p>
      <w:bookmarkStart w:id="1186" w:name="__433"/>
      <w:pPr>
        <w:pStyle w:val="Normal"/>
      </w:pPr>
      <w:r>
        <w:t>[</w:t>
      </w:r>
      <w:hyperlink w:anchor="433">
        <w:r>
          <w:rPr>
            <w:rStyle w:val="Text1"/>
          </w:rPr>
          <w:t>←433</w:t>
        </w:r>
      </w:hyperlink>
      <w:r>
        <w:t xml:space="preserve"> ] </w:t>
      </w:r>
      <w:bookmarkEnd w:id="1186"/>
    </w:p>
    <w:p>
      <w:pPr>
        <w:pStyle w:val="Para 01"/>
      </w:pPr>
      <w:r>
        <w:t xml:space="preserve">Выдержки из воспоминаний Feiga Cytryn и J. Stein в ZStL., 8 AR-Z 236/60 (отсюда и далее Дело </w:t>
        <w:t>отделения</w:t>
        <w:t xml:space="preserve"> Радзиня [KdS Radzyń case]</w:t>
        <w:t>), 1:6-7.</w:t>
      </w:r>
    </w:p>
    <w:p>
      <w:bookmarkStart w:id="1187" w:name="__434"/>
      <w:pPr>
        <w:pStyle w:val="Normal"/>
      </w:pPr>
      <w:r>
        <w:t>[</w:t>
      </w:r>
      <w:hyperlink w:anchor="434">
        <w:r>
          <w:rPr>
            <w:rStyle w:val="Text1"/>
          </w:rPr>
          <w:t>←434</w:t>
        </w:r>
      </w:hyperlink>
      <w:r>
        <w:t xml:space="preserve"> ] </w:t>
      </w:r>
      <w:bookmarkEnd w:id="1187"/>
    </w:p>
    <w:p>
      <w:pPr>
        <w:pStyle w:val="Para 01"/>
      </w:pPr>
      <w:r>
        <w:t>Показания Lea Charuzi, Дело отделения Радзиня, том разнообразных</w:t>
        <w:t>(смешанных, miscellaneous)</w:t>
        <w:t xml:space="preserve"> показаний, 30.</w:t>
      </w:r>
    </w:p>
    <w:p>
      <w:bookmarkStart w:id="1188" w:name="__435"/>
      <w:pPr>
        <w:pStyle w:val="Normal"/>
      </w:pPr>
      <w:r>
        <w:t>[</w:t>
      </w:r>
      <w:hyperlink w:anchor="435">
        <w:r>
          <w:rPr>
            <w:rStyle w:val="Text1"/>
          </w:rPr>
          <w:t>←435</w:t>
        </w:r>
      </w:hyperlink>
      <w:r>
        <w:t xml:space="preserve"> ] </w:t>
      </w:r>
      <w:bookmarkEnd w:id="1188"/>
    </w:p>
    <w:p>
      <w:pPr>
        <w:pStyle w:val="Para 01"/>
      </w:pPr>
      <w:r>
        <w:t>Johannes R., HW 1811; Karl M., HW 2660; Wilhelm K., G 106-8.</w:t>
      </w:r>
    </w:p>
    <w:p>
      <w:bookmarkStart w:id="1189" w:name="__436"/>
      <w:pPr>
        <w:pStyle w:val="Normal"/>
      </w:pPr>
      <w:r>
        <w:t>[</w:t>
      </w:r>
      <w:hyperlink w:anchor="436">
        <w:r>
          <w:rPr>
            <w:rStyle w:val="Text1"/>
          </w:rPr>
          <w:t>←436</w:t>
        </w:r>
      </w:hyperlink>
      <w:r>
        <w:t xml:space="preserve"> ] </w:t>
      </w:r>
      <w:bookmarkEnd w:id="1189"/>
    </w:p>
    <w:p>
      <w:pPr>
        <w:pStyle w:val="Para 01"/>
      </w:pPr>
      <w:r>
        <w:t>Показания Rywka Katz, Дело отделения Радзиня, том разнообразных показаний, 18.</w:t>
      </w:r>
    </w:p>
    <w:p>
      <w:bookmarkStart w:id="1190" w:name="__437"/>
      <w:pPr>
        <w:pStyle w:val="Normal"/>
      </w:pPr>
      <w:r>
        <w:t>[</w:t>
      </w:r>
      <w:hyperlink w:anchor="437">
        <w:r>
          <w:rPr>
            <w:rStyle w:val="Text1"/>
          </w:rPr>
          <w:t>←437</w:t>
        </w:r>
      </w:hyperlink>
      <w:r>
        <w:t xml:space="preserve"> ] </w:t>
      </w:r>
      <w:bookmarkEnd w:id="1190"/>
    </w:p>
    <w:p>
      <w:pPr>
        <w:pStyle w:val="Para 01"/>
      </w:pPr>
      <w:r>
        <w:t xml:space="preserve">За дальнейшими немецкими </w:t>
        <w:t xml:space="preserve">показаниями смотри Herbert F., HW 1389; August Z., G 287-89. За еврейскими Berl C., HW 1094; Rywka G., HW 1113-14; и Дело отделения Радзиня Moshe Feigenbaum, 1:4-5; Liowa Friedmann 1:10; volume of miscellaneous testimony, Feigenbaum, 6: Rywka G., 24; Moshe Brezniak, 18; Mortka Lazar, 28. Об участии членов Травников смотри ZStL, II 208 AR 643/71 (Staatsanwaltschaft Hamburg, 147 Js 43/69, обвинение Карла Штрейбеля </w:t>
        <w:t>[Karl Streibel]</w:t>
        <w:t>. Отсюда и далее обвинение Травников):104.</w:t>
        <w:t xml:space="preserve"> </w:t>
      </w:r>
    </w:p>
    <w:p>
      <w:bookmarkStart w:id="1191" w:name="__438"/>
      <w:pPr>
        <w:pStyle w:val="Normal"/>
      </w:pPr>
      <w:r>
        <w:t>[</w:t>
      </w:r>
      <w:hyperlink w:anchor="438">
        <w:r>
          <w:rPr>
            <w:rStyle w:val="Text1"/>
          </w:rPr>
          <w:t>←438</w:t>
        </w:r>
      </w:hyperlink>
      <w:r>
        <w:t xml:space="preserve"> ] </w:t>
      </w:r>
      <w:bookmarkEnd w:id="1191"/>
    </w:p>
    <w:p>
      <w:pPr>
        <w:pStyle w:val="Para 01"/>
      </w:pPr>
      <w:r>
        <w:t>Есть путаница в показаниях между тем, куда депортировали в начале и конце мая, я использовал версию Брустин-Беренштейн, таблица 10.</w:t>
      </w:r>
    </w:p>
    <w:p>
      <w:bookmarkStart w:id="1192" w:name="__439"/>
      <w:pPr>
        <w:pStyle w:val="Normal"/>
      </w:pPr>
      <w:r>
        <w:t>[</w:t>
      </w:r>
      <w:hyperlink w:anchor="439">
        <w:r>
          <w:rPr>
            <w:rStyle w:val="Text1"/>
          </w:rPr>
          <w:t>←439</w:t>
        </w:r>
      </w:hyperlink>
      <w:r>
        <w:t xml:space="preserve"> ] </w:t>
      </w:r>
      <w:bookmarkEnd w:id="1192"/>
    </w:p>
    <w:p>
      <w:pPr>
        <w:pStyle w:val="Para 01"/>
      </w:pPr>
      <w:r>
        <w:t>Обвинение Травников, 104; Jakob A., HW 1063.</w:t>
      </w:r>
    </w:p>
    <w:p>
      <w:bookmarkStart w:id="1193" w:name="__440"/>
      <w:pPr>
        <w:pStyle w:val="Normal"/>
      </w:pPr>
      <w:r>
        <w:t>[</w:t>
      </w:r>
      <w:hyperlink w:anchor="440">
        <w:r>
          <w:rPr>
            <w:rStyle w:val="Text1"/>
          </w:rPr>
          <w:t>←440</w:t>
        </w:r>
      </w:hyperlink>
      <w:r>
        <w:t xml:space="preserve"> ] </w:t>
      </w:r>
      <w:bookmarkEnd w:id="1193"/>
    </w:p>
    <w:p>
      <w:pPr>
        <w:pStyle w:val="Para 01"/>
      </w:pPr>
      <w:r>
        <w:t xml:space="preserve">Памятка от 21 мая 1963 </w:t>
        <w:t>г.</w:t>
        <w:t>, HW 1348; Arthur S., HW 1165; Otto-Julius S., HW 1955; Friedrich Bm., HW 2105; Heinrich E., HW 2161; Joseph P., HW 2756; Otto I., HW 3522; Ernst Hn., G 505.</w:t>
      </w:r>
    </w:p>
    <w:p>
      <w:bookmarkStart w:id="1194" w:name="__441"/>
      <w:pPr>
        <w:pStyle w:val="Normal"/>
      </w:pPr>
      <w:r>
        <w:t>[</w:t>
      </w:r>
      <w:hyperlink w:anchor="441">
        <w:r>
          <w:rPr>
            <w:rStyle w:val="Text1"/>
          </w:rPr>
          <w:t>←441</w:t>
        </w:r>
      </w:hyperlink>
      <w:r>
        <w:t xml:space="preserve"> ] </w:t>
      </w:r>
      <w:bookmarkEnd w:id="1194"/>
    </w:p>
    <w:p>
      <w:pPr>
        <w:pStyle w:val="Para 01"/>
      </w:pPr>
      <w:r>
        <w:t>Herbert R., HW 2112; Karl G., HW 2201; Ernst Hr., HW 2715.</w:t>
      </w:r>
    </w:p>
    <w:p>
      <w:bookmarkStart w:id="1195" w:name="__442"/>
      <w:pPr>
        <w:pStyle w:val="Normal"/>
      </w:pPr>
      <w:r>
        <w:t>[</w:t>
      </w:r>
      <w:hyperlink w:anchor="442">
        <w:r>
          <w:rPr>
            <w:rStyle w:val="Text1"/>
          </w:rPr>
          <w:t>←442</w:t>
        </w:r>
      </w:hyperlink>
      <w:r>
        <w:t xml:space="preserve"> ] </w:t>
      </w:r>
      <w:bookmarkEnd w:id="1195"/>
    </w:p>
    <w:p>
      <w:pPr>
        <w:pStyle w:val="Para 01"/>
      </w:pPr>
      <w:r>
        <w:t>Georg L., HW 1430; Erwin G., HW 1644; Friedrich B., HW 3143. BDC, файлы Friedrich B., Hermann F., Erwin G., Ernst Hr., Erwin N., Ernst R., Walter Z.</w:t>
      </w:r>
    </w:p>
    <w:p>
      <w:bookmarkStart w:id="1196" w:name="__443"/>
      <w:pPr>
        <w:pStyle w:val="Normal"/>
      </w:pPr>
      <w:r>
        <w:t>[</w:t>
      </w:r>
      <w:hyperlink w:anchor="443">
        <w:r>
          <w:rPr>
            <w:rStyle w:val="Text1"/>
          </w:rPr>
          <w:t>←443</w:t>
        </w:r>
      </w:hyperlink>
      <w:r>
        <w:t xml:space="preserve"> ] </w:t>
      </w:r>
      <w:bookmarkEnd w:id="1196"/>
    </w:p>
    <w:p>
      <w:pPr>
        <w:pStyle w:val="Para 01"/>
      </w:pPr>
      <w:r>
        <w:t>Heinrich H., HW 973; Bruno D., HW 1880.</w:t>
      </w:r>
    </w:p>
    <w:p>
      <w:bookmarkStart w:id="1197" w:name="__444"/>
      <w:pPr>
        <w:pStyle w:val="Normal"/>
      </w:pPr>
      <w:r>
        <w:t>[</w:t>
      </w:r>
      <w:hyperlink w:anchor="444">
        <w:r>
          <w:rPr>
            <w:rStyle w:val="Text1"/>
          </w:rPr>
          <w:t>←444</w:t>
        </w:r>
      </w:hyperlink>
      <w:r>
        <w:t xml:space="preserve"> ] </w:t>
      </w:r>
      <w:bookmarkEnd w:id="1197"/>
    </w:p>
    <w:p>
      <w:pPr>
        <w:pStyle w:val="Para 01"/>
      </w:pPr>
      <w:r>
        <w:t>Rudolf B., HW 409.</w:t>
      </w:r>
    </w:p>
    <w:p>
      <w:bookmarkStart w:id="1198" w:name="__445"/>
      <w:pPr>
        <w:pStyle w:val="Normal"/>
      </w:pPr>
      <w:r>
        <w:t>[</w:t>
      </w:r>
      <w:hyperlink w:anchor="445">
        <w:r>
          <w:rPr>
            <w:rStyle w:val="Text1"/>
          </w:rPr>
          <w:t>←445</w:t>
        </w:r>
      </w:hyperlink>
      <w:r>
        <w:t xml:space="preserve"> ] </w:t>
      </w:r>
      <w:bookmarkEnd w:id="1198"/>
    </w:p>
    <w:p>
      <w:pPr>
        <w:pStyle w:val="Para 01"/>
      </w:pPr>
      <w:r>
        <w:t xml:space="preserve">Уведомление [Aktenvermerk — памятка для внутренней бюрократии. По современному — методичка пропагандистов] Гиммлера от 2 октября 1942 </w:t>
        <w:t>г.</w:t>
        <w:t>, обвинение Хоффман/Волауф.</w:t>
      </w:r>
    </w:p>
    <w:p>
      <w:bookmarkStart w:id="1199" w:name="__446"/>
      <w:pPr>
        <w:pStyle w:val="Normal"/>
      </w:pPr>
      <w:r>
        <w:t>[</w:t>
      </w:r>
      <w:hyperlink w:anchor="446">
        <w:r>
          <w:rPr>
            <w:rStyle w:val="Text1"/>
          </w:rPr>
          <w:t>←446</w:t>
        </w:r>
      </w:hyperlink>
      <w:r>
        <w:t xml:space="preserve"> ] </w:t>
      </w:r>
      <w:bookmarkEnd w:id="1199"/>
    </w:p>
    <w:p>
      <w:pPr>
        <w:pStyle w:val="Para 01"/>
      </w:pPr>
      <w:r>
        <w:t>Обвинение Травников, 104-6.</w:t>
      </w:r>
    </w:p>
    <w:p>
      <w:bookmarkStart w:id="1200" w:name="__447"/>
      <w:pPr>
        <w:pStyle w:val="Normal"/>
      </w:pPr>
      <w:r>
        <w:t>[</w:t>
      </w:r>
      <w:hyperlink w:anchor="447">
        <w:r>
          <w:rPr>
            <w:rStyle w:val="Text1"/>
          </w:rPr>
          <w:t>←447</w:t>
        </w:r>
      </w:hyperlink>
      <w:r>
        <w:t xml:space="preserve"> ] </w:t>
      </w:r>
      <w:bookmarkEnd w:id="1200"/>
    </w:p>
    <w:p>
      <w:pPr>
        <w:pStyle w:val="Para 01"/>
      </w:pPr>
      <w:r>
        <w:t xml:space="preserve">Об </w:t>
      </w:r>
      <w:r>
        <w:rPr>
          <w:rStyle w:val="Text0"/>
        </w:rPr>
        <w:t>Erntefest</w:t>
      </w:r>
      <w:r>
        <w:t xml:space="preserve">’е смотри Helge Grabitz и Wolfgang Scheffler, </w:t>
      </w:r>
      <w:r>
        <w:rPr>
          <w:rStyle w:val="Text0"/>
        </w:rPr>
        <w:t>Letzte Spuren: Ghetto Warschau — SS-Arbeitslager Trawniki — Aktion Erntefest</w:t>
      </w:r>
      <w:r>
        <w:t xml:space="preserve"> (Берлин, 1988), 262-72, 328-34; Josef Marszalek, </w:t>
      </w:r>
      <w:r>
        <w:rPr>
          <w:rStyle w:val="Text0"/>
        </w:rPr>
        <w:t>Majdanek: The Concentration Camp in Lublin</w:t>
      </w:r>
      <w:r>
        <w:t xml:space="preserve"> (Варшава, 1986), 130-34; ZStL, 208 AR-Z 2</w:t>
        <w:t>6</w:t>
        <w:t xml:space="preserve">8/59 (Staatsanwaltschaft Wiesbaden, 8 Js 1145/60, обвинение Лотару Хоффману и Герману </w:t>
        <w:t>У</w:t>
        <w:t>ортоф</w:t>
        <w:t>ф</w:t>
        <w:t xml:space="preserve">у </w:t>
        <w:t>[Lothar Hoffman и Hermann Worthoff]</w:t>
        <w:t xml:space="preserve">, </w:t>
        <w:t xml:space="preserve">Дело отделения Люблина (KdS):316-31, 617-35, 645-51; Обвинение Травников, 159-97; YVA, TR-10/1172 (Landgericht Düsseldorf, приговор Хачману </w:t>
        <w:t>[</w:t>
        <w:t>Hachmann]</w:t>
        <w:t xml:space="preserve"> и другим; отсюда и далее приговор Майданека);456-87.</w:t>
        <w:t xml:space="preserve"> </w:t>
      </w:r>
    </w:p>
    <w:p>
      <w:bookmarkStart w:id="1201" w:name="__448"/>
      <w:pPr>
        <w:pStyle w:val="Normal"/>
      </w:pPr>
      <w:r>
        <w:t>[</w:t>
      </w:r>
      <w:hyperlink w:anchor="448">
        <w:r>
          <w:rPr>
            <w:rStyle w:val="Text1"/>
          </w:rPr>
          <w:t>←448</w:t>
        </w:r>
      </w:hyperlink>
      <w:r>
        <w:t xml:space="preserve"> ] </w:t>
      </w:r>
      <w:bookmarkEnd w:id="1201"/>
    </w:p>
    <w:p>
      <w:pPr>
        <w:pStyle w:val="Para 01"/>
      </w:pPr>
      <w:r>
        <w:t xml:space="preserve">Werner W., (контакт KdO </w:t>
        <w:t>для</w:t>
        <w:t xml:space="preserve"> SSPF Люблина), HW 600-601.</w:t>
      </w:r>
    </w:p>
    <w:p>
      <w:bookmarkStart w:id="1202" w:name="__449"/>
      <w:pPr>
        <w:pStyle w:val="Normal"/>
      </w:pPr>
      <w:r>
        <w:t>[</w:t>
      </w:r>
      <w:hyperlink w:anchor="449">
        <w:r>
          <w:rPr>
            <w:rStyle w:val="Text1"/>
          </w:rPr>
          <w:t>←449</w:t>
        </w:r>
      </w:hyperlink>
      <w:r>
        <w:t xml:space="preserve"> ] </w:t>
      </w:r>
      <w:bookmarkEnd w:id="1202"/>
    </w:p>
    <w:p>
      <w:pPr>
        <w:pStyle w:val="Para 01"/>
      </w:pPr>
      <w:r>
        <w:t>Приговор Майданека, 459; Marszalek, 130; Grabitz and Scheffler, 328-29.</w:t>
      </w:r>
    </w:p>
    <w:p>
      <w:bookmarkStart w:id="1203" w:name="__450"/>
      <w:pPr>
        <w:pStyle w:val="Normal"/>
      </w:pPr>
      <w:r>
        <w:t>[</w:t>
      </w:r>
      <w:hyperlink w:anchor="450">
        <w:r>
          <w:rPr>
            <w:rStyle w:val="Text1"/>
          </w:rPr>
          <w:t>←450</w:t>
        </w:r>
      </w:hyperlink>
      <w:r>
        <w:t xml:space="preserve"> ] </w:t>
      </w:r>
      <w:bookmarkEnd w:id="1203"/>
    </w:p>
    <w:p>
      <w:pPr>
        <w:pStyle w:val="Para 01"/>
      </w:pPr>
      <w:r>
        <w:t>Приговор Майданека, 459; Werner W., HW 601-2.</w:t>
      </w:r>
    </w:p>
    <w:p>
      <w:bookmarkStart w:id="1204" w:name="__451"/>
      <w:pPr>
        <w:pStyle w:val="Normal"/>
      </w:pPr>
      <w:r>
        <w:t>[</w:t>
      </w:r>
      <w:hyperlink w:anchor="451">
        <w:r>
          <w:rPr>
            <w:rStyle w:val="Text1"/>
          </w:rPr>
          <w:t>←451</w:t>
        </w:r>
      </w:hyperlink>
      <w:r>
        <w:t xml:space="preserve"> ] </w:t>
      </w:r>
      <w:bookmarkEnd w:id="1204"/>
    </w:p>
    <w:p>
      <w:pPr>
        <w:pStyle w:val="Para 01"/>
      </w:pPr>
      <w:r>
        <w:t>Helmuth H., HW 2206.</w:t>
      </w:r>
    </w:p>
    <w:p>
      <w:bookmarkStart w:id="1205" w:name="__452"/>
      <w:pPr>
        <w:pStyle w:val="Normal"/>
      </w:pPr>
      <w:r>
        <w:t>[</w:t>
      </w:r>
      <w:hyperlink w:anchor="452">
        <w:r>
          <w:rPr>
            <w:rStyle w:val="Text1"/>
          </w:rPr>
          <w:t>←452</w:t>
        </w:r>
      </w:hyperlink>
      <w:r>
        <w:t xml:space="preserve"> ] </w:t>
      </w:r>
      <w:bookmarkEnd w:id="1205"/>
    </w:p>
    <w:p>
      <w:pPr>
        <w:pStyle w:val="Para 01"/>
      </w:pPr>
      <w:r>
        <w:t>Rudolf B., HW 409-10; Herbert F., HW 1392; Martin D., HW 1610.</w:t>
      </w:r>
    </w:p>
    <w:p>
      <w:bookmarkStart w:id="1206" w:name="__453"/>
      <w:pPr>
        <w:pStyle w:val="Normal"/>
      </w:pPr>
      <w:r>
        <w:t>[</w:t>
      </w:r>
      <w:hyperlink w:anchor="453">
        <w:r>
          <w:rPr>
            <w:rStyle w:val="Text1"/>
          </w:rPr>
          <w:t>←453</w:t>
        </w:r>
      </w:hyperlink>
      <w:r>
        <w:t xml:space="preserve"> ] </w:t>
      </w:r>
      <w:bookmarkEnd w:id="1206"/>
    </w:p>
    <w:p>
      <w:pPr>
        <w:pStyle w:val="Para 01"/>
      </w:pPr>
      <w:r>
        <w:t>О числе расстрелянных евреев 3 ноября в Майданеке смотри ZStL, II 208 AR-Z 74/60 (Staatsanwaltschaft Hamburg, 141 Js 573, indictment of August Birmes):126-29; Обвинение Майданека, 456-57, 471.</w:t>
      </w:r>
    </w:p>
    <w:p>
      <w:bookmarkStart w:id="1207" w:name="__454"/>
      <w:pPr>
        <w:pStyle w:val="Normal"/>
      </w:pPr>
      <w:r>
        <w:t>[</w:t>
      </w:r>
      <w:hyperlink w:anchor="454">
        <w:r>
          <w:rPr>
            <w:rStyle w:val="Text1"/>
          </w:rPr>
          <w:t>←454</w:t>
        </w:r>
      </w:hyperlink>
      <w:r>
        <w:t xml:space="preserve"> ] </w:t>
      </w:r>
      <w:bookmarkEnd w:id="1207"/>
    </w:p>
    <w:p>
      <w:pPr>
        <w:pStyle w:val="Para 01"/>
      </w:pPr>
      <w:r>
        <w:t>Rudolf B., HW 410; Herbert F., HW 1392; Martin D., HW 1610; Paul H., HW 1655; Bruno R., HW 1856; Bruno P., HW 1928; Otto H., HW 2229; Wilhelm Kl., G 109.</w:t>
      </w:r>
    </w:p>
    <w:p>
      <w:bookmarkStart w:id="1208" w:name="__455"/>
      <w:pPr>
        <w:pStyle w:val="Normal"/>
      </w:pPr>
      <w:r>
        <w:t>[</w:t>
      </w:r>
      <w:hyperlink w:anchor="455">
        <w:r>
          <w:rPr>
            <w:rStyle w:val="Text1"/>
          </w:rPr>
          <w:t>←455</w:t>
        </w:r>
      </w:hyperlink>
      <w:r>
        <w:t xml:space="preserve"> ] </w:t>
      </w:r>
      <w:bookmarkEnd w:id="1208"/>
    </w:p>
    <w:p>
      <w:pPr>
        <w:pStyle w:val="Para 01"/>
      </w:pPr>
      <w:r>
        <w:t>Fritz B., HW 804-5; Otto H., HW 2228-29.</w:t>
      </w:r>
    </w:p>
    <w:p>
      <w:bookmarkStart w:id="1209" w:name="__456"/>
      <w:pPr>
        <w:pStyle w:val="Normal"/>
      </w:pPr>
      <w:r>
        <w:t>[</w:t>
      </w:r>
      <w:hyperlink w:anchor="456">
        <w:r>
          <w:rPr>
            <w:rStyle w:val="Text1"/>
          </w:rPr>
          <w:t>←456</w:t>
        </w:r>
      </w:hyperlink>
      <w:r>
        <w:t xml:space="preserve"> ] </w:t>
      </w:r>
      <w:bookmarkEnd w:id="1209"/>
    </w:p>
    <w:p>
      <w:pPr>
        <w:pStyle w:val="Para 01"/>
      </w:pPr>
      <w:r>
        <w:t>Heinrich Bl., HW 467-68.</w:t>
      </w:r>
    </w:p>
    <w:p>
      <w:bookmarkStart w:id="1210" w:name="__457"/>
      <w:pPr>
        <w:pStyle w:val="Normal"/>
      </w:pPr>
      <w:r>
        <w:t>[</w:t>
      </w:r>
      <w:hyperlink w:anchor="457">
        <w:r>
          <w:rPr>
            <w:rStyle w:val="Text1"/>
          </w:rPr>
          <w:t>←457</w:t>
        </w:r>
      </w:hyperlink>
      <w:r>
        <w:t xml:space="preserve"> ] </w:t>
      </w:r>
      <w:bookmarkEnd w:id="1210"/>
    </w:p>
    <w:p>
      <w:pPr>
        <w:pStyle w:val="Para 01"/>
      </w:pPr>
      <w:r>
        <w:t>ZStL, 208 AR-Z 268/59 (Staatsanwaltschaft Wiesbaden, 8 Js 1145/60, Обвинение Лотару Хоффману и Герману Уортоффу, Дело отделения Люблина (KdS):633-35.</w:t>
      </w:r>
    </w:p>
    <w:p>
      <w:bookmarkStart w:id="1211" w:name="__458"/>
      <w:pPr>
        <w:pStyle w:val="Normal"/>
      </w:pPr>
      <w:r>
        <w:t>[</w:t>
      </w:r>
      <w:hyperlink w:anchor="458">
        <w:r>
          <w:rPr>
            <w:rStyle w:val="Text1"/>
          </w:rPr>
          <w:t>←458</w:t>
        </w:r>
      </w:hyperlink>
      <w:r>
        <w:t xml:space="preserve"> ] </w:t>
      </w:r>
      <w:bookmarkEnd w:id="1211"/>
    </w:p>
    <w:p>
      <w:pPr>
        <w:pStyle w:val="Para 01"/>
      </w:pPr>
      <w:r>
        <w:t>Heinrich Bl., HW 468; Alfred L., HW 1354; Martin D., HW 1610; Bruno R., HW 1856; Wilhelm Kl., G 109.</w:t>
      </w:r>
    </w:p>
    <w:p>
      <w:bookmarkStart w:id="1212" w:name="__459"/>
      <w:pPr>
        <w:pStyle w:val="Normal"/>
      </w:pPr>
      <w:r>
        <w:t>[</w:t>
      </w:r>
      <w:hyperlink w:anchor="459">
        <w:r>
          <w:rPr>
            <w:rStyle w:val="Text1"/>
          </w:rPr>
          <w:t>←459</w:t>
        </w:r>
      </w:hyperlink>
      <w:r>
        <w:t xml:space="preserve"> ] </w:t>
      </w:r>
      <w:bookmarkEnd w:id="1212"/>
    </w:p>
    <w:p>
      <w:pPr>
        <w:pStyle w:val="Para 01"/>
      </w:pPr>
      <w:r>
        <w:t>Alfred L., HW 1354; Johannes L., HW 1444; Bruno R., HW 1856; Bruno P., HW 1928.</w:t>
      </w:r>
    </w:p>
    <w:p>
      <w:bookmarkStart w:id="1213" w:name="__460"/>
      <w:pPr>
        <w:pStyle w:val="Normal"/>
      </w:pPr>
      <w:r>
        <w:t>[</w:t>
      </w:r>
      <w:hyperlink w:anchor="460">
        <w:r>
          <w:rPr>
            <w:rStyle w:val="Text1"/>
          </w:rPr>
          <w:t>←460</w:t>
        </w:r>
      </w:hyperlink>
      <w:r>
        <w:t xml:space="preserve"> ] </w:t>
      </w:r>
      <w:bookmarkEnd w:id="1213"/>
    </w:p>
    <w:p>
      <w:pPr>
        <w:pStyle w:val="Para 01"/>
      </w:pPr>
      <w:r>
        <w:t>Martin D., HW 1611-13.</w:t>
      </w:r>
    </w:p>
    <w:p>
      <w:bookmarkStart w:id="1214" w:name="__461"/>
      <w:pPr>
        <w:pStyle w:val="Normal"/>
      </w:pPr>
      <w:r>
        <w:t>[</w:t>
      </w:r>
      <w:hyperlink w:anchor="461">
        <w:r>
          <w:rPr>
            <w:rStyle w:val="Text1"/>
          </w:rPr>
          <w:t>←461</w:t>
        </w:r>
      </w:hyperlink>
      <w:r>
        <w:t xml:space="preserve"> ] </w:t>
      </w:r>
      <w:bookmarkEnd w:id="1214"/>
    </w:p>
    <w:p>
      <w:pPr>
        <w:pStyle w:val="Para 01"/>
      </w:pPr>
      <w:r>
        <w:t>Wilhelm Gb., HW 2155.</w:t>
      </w:r>
    </w:p>
    <w:p>
      <w:bookmarkStart w:id="1215" w:name="__462"/>
      <w:pPr>
        <w:pStyle w:val="Normal"/>
      </w:pPr>
      <w:r>
        <w:t>[</w:t>
      </w:r>
      <w:hyperlink w:anchor="462">
        <w:r>
          <w:rPr>
            <w:rStyle w:val="Text1"/>
          </w:rPr>
          <w:t>←462</w:t>
        </w:r>
      </w:hyperlink>
      <w:r>
        <w:t xml:space="preserve"> ] </w:t>
      </w:r>
      <w:bookmarkEnd w:id="1215"/>
    </w:p>
    <w:p>
      <w:pPr>
        <w:pStyle w:val="Para 01"/>
      </w:pPr>
      <w:r>
        <w:t>Karl E., HW 900.</w:t>
      </w:r>
    </w:p>
    <w:p>
      <w:bookmarkStart w:id="1216" w:name="__463"/>
      <w:pPr>
        <w:pStyle w:val="Normal"/>
      </w:pPr>
      <w:r>
        <w:t>[</w:t>
      </w:r>
      <w:hyperlink w:anchor="463">
        <w:r>
          <w:rPr>
            <w:rStyle w:val="Text1"/>
          </w:rPr>
          <w:t>←463</w:t>
        </w:r>
      </w:hyperlink>
      <w:r>
        <w:t xml:space="preserve"> ] </w:t>
      </w:r>
      <w:bookmarkEnd w:id="1216"/>
    </w:p>
    <w:p>
      <w:pPr>
        <w:pStyle w:val="Para 01"/>
      </w:pPr>
      <w:r>
        <w:t>Johannes L., HW 1445; Eduard D., HW 433-34.</w:t>
      </w:r>
    </w:p>
    <w:p>
      <w:bookmarkStart w:id="1217" w:name="__464"/>
      <w:pPr>
        <w:pStyle w:val="Normal"/>
      </w:pPr>
      <w:r>
        <w:t>[</w:t>
      </w:r>
      <w:hyperlink w:anchor="464">
        <w:r>
          <w:rPr>
            <w:rStyle w:val="Text1"/>
          </w:rPr>
          <w:t>←464</w:t>
        </w:r>
      </w:hyperlink>
      <w:r>
        <w:t xml:space="preserve"> ] </w:t>
      </w:r>
      <w:bookmarkEnd w:id="1217"/>
    </w:p>
    <w:p>
      <w:pPr>
        <w:pStyle w:val="Para 01"/>
      </w:pPr>
      <w:r>
        <w:t>Wilhelm K., HW 1777-78.</w:t>
      </w:r>
    </w:p>
    <w:p>
      <w:bookmarkStart w:id="1218" w:name="__465"/>
      <w:pPr>
        <w:pStyle w:val="Normal"/>
      </w:pPr>
      <w:r>
        <w:t>[</w:t>
      </w:r>
      <w:hyperlink w:anchor="465">
        <w:r>
          <w:rPr>
            <w:rStyle w:val="Text1"/>
          </w:rPr>
          <w:t>←465</w:t>
        </w:r>
      </w:hyperlink>
      <w:r>
        <w:t xml:space="preserve"> ] </w:t>
      </w:r>
      <w:bookmarkEnd w:id="1218"/>
    </w:p>
    <w:p>
      <w:pPr>
        <w:pStyle w:val="Para 01"/>
      </w:pPr>
      <w:r>
        <w:t>Вольфганг Хоффман, HW 768; Kurt D., HW 1224.</w:t>
      </w:r>
    </w:p>
    <w:p>
      <w:bookmarkStart w:id="1219" w:name="__466"/>
      <w:pPr>
        <w:pStyle w:val="Normal"/>
      </w:pPr>
      <w:r>
        <w:t>[</w:t>
      </w:r>
      <w:hyperlink w:anchor="466">
        <w:r>
          <w:rPr>
            <w:rStyle w:val="Text1"/>
          </w:rPr>
          <w:t>←466</w:t>
        </w:r>
      </w:hyperlink>
      <w:r>
        <w:t xml:space="preserve"> ] </w:t>
      </w:r>
      <w:bookmarkEnd w:id="1219"/>
    </w:p>
    <w:p>
      <w:pPr>
        <w:pStyle w:val="Para 01"/>
      </w:pPr>
      <w:r>
        <w:t>Heinrich Bl., HW 469.</w:t>
      </w:r>
    </w:p>
    <w:p>
      <w:bookmarkStart w:id="1220" w:name="__467"/>
      <w:pPr>
        <w:pStyle w:val="Normal"/>
      </w:pPr>
      <w:r>
        <w:t>[</w:t>
      </w:r>
      <w:hyperlink w:anchor="467">
        <w:r>
          <w:rPr>
            <w:rStyle w:val="Text1"/>
          </w:rPr>
          <w:t>←467</w:t>
        </w:r>
      </w:hyperlink>
      <w:r>
        <w:t xml:space="preserve"> ] </w:t>
      </w:r>
      <w:bookmarkEnd w:id="1220"/>
    </w:p>
    <w:p>
      <w:pPr>
        <w:pStyle w:val="Para 01"/>
      </w:pPr>
      <w:r>
        <w:t>Вольфганг Хоффман, HW 790, 2922-24.</w:t>
      </w:r>
    </w:p>
    <w:p>
      <w:bookmarkStart w:id="1221" w:name="__468"/>
      <w:pPr>
        <w:pStyle w:val="Normal"/>
      </w:pPr>
      <w:r>
        <w:t>[</w:t>
      </w:r>
      <w:hyperlink w:anchor="468">
        <w:r>
          <w:rPr>
            <w:rStyle w:val="Text1"/>
          </w:rPr>
          <w:t>←468</w:t>
        </w:r>
      </w:hyperlink>
      <w:r>
        <w:t xml:space="preserve"> ] </w:t>
      </w:r>
      <w:bookmarkEnd w:id="1221"/>
    </w:p>
    <w:p>
      <w:pPr>
        <w:pStyle w:val="Para 01"/>
      </w:pPr>
      <w:r>
        <w:t>Heinz B., HW 649, 825; Arthur K., HW 61.</w:t>
      </w:r>
    </w:p>
    <w:p>
      <w:bookmarkStart w:id="1222" w:name="__469"/>
      <w:pPr>
        <w:pStyle w:val="Normal"/>
      </w:pPr>
      <w:r>
        <w:t>[</w:t>
      </w:r>
      <w:hyperlink w:anchor="469">
        <w:r>
          <w:rPr>
            <w:rStyle w:val="Text1"/>
          </w:rPr>
          <w:t>←469</w:t>
        </w:r>
      </w:hyperlink>
      <w:r>
        <w:t xml:space="preserve"> ] </w:t>
      </w:r>
      <w:bookmarkEnd w:id="1222"/>
    </w:p>
    <w:p>
      <w:pPr>
        <w:pStyle w:val="Para 01"/>
      </w:pPr>
      <w:r>
        <w:t>Прим. Переводчика - о</w:t>
        <w:t xml:space="preserve"> </w:t>
        <w:t>том как судили людей, участвовавших в убийствах не напрямую, смотри «формула Радбруха». Подробно и доступ</w:t>
        <w:t>н</w:t>
        <w:t xml:space="preserve">о о ней рассказывается в программе Екатерины Шульман </w:t>
      </w:r>
      <w:r>
        <w:rPr>
          <w:rStyle w:val="Text0"/>
        </w:rPr>
        <w:t xml:space="preserve">Статус </w:t>
      </w:r>
      <w:r>
        <w:t xml:space="preserve">S06E14 </w:t>
        <w:t>(22 ноября 2022)</w:t>
        <w:t xml:space="preserve">, в рубрике «Отцы </w:t>
        <w:t>великие теоретики и практики</w:t>
        <w:t>», посвящённой Густаву Радбруху.</w:t>
        <w:t xml:space="preserve"> </w:t>
      </w:r>
    </w:p>
    <w:p>
      <w:bookmarkStart w:id="1223" w:name="__470"/>
      <w:pPr>
        <w:pStyle w:val="Normal"/>
      </w:pPr>
      <w:r>
        <w:t>[</w:t>
      </w:r>
      <w:hyperlink w:anchor="470">
        <w:r>
          <w:rPr>
            <w:rStyle w:val="Text1"/>
          </w:rPr>
          <w:t>←470</w:t>
        </w:r>
      </w:hyperlink>
      <w:r>
        <w:t xml:space="preserve"> ] </w:t>
      </w:r>
      <w:bookmarkEnd w:id="1223"/>
    </w:p>
    <w:p>
      <w:pPr>
        <w:pStyle w:val="Para 01"/>
      </w:pPr>
      <w:r>
        <w:t>Вольфганг Хоффман, HW 780.</w:t>
      </w:r>
    </w:p>
    <w:p>
      <w:bookmarkStart w:id="1224" w:name="__471"/>
      <w:pPr>
        <w:pStyle w:val="Normal"/>
      </w:pPr>
      <w:r>
        <w:t>[</w:t>
      </w:r>
      <w:hyperlink w:anchor="471">
        <w:r>
          <w:rPr>
            <w:rStyle w:val="Text1"/>
          </w:rPr>
          <w:t>←471</w:t>
        </w:r>
      </w:hyperlink>
      <w:r>
        <w:t xml:space="preserve"> ] </w:t>
      </w:r>
      <w:bookmarkEnd w:id="1224"/>
    </w:p>
    <w:p>
      <w:pPr>
        <w:pStyle w:val="Para 01"/>
      </w:pPr>
      <w:r>
        <w:t>Heinz B., HW 826.</w:t>
      </w:r>
    </w:p>
    <w:p>
      <w:bookmarkStart w:id="1225" w:name="__472"/>
      <w:pPr>
        <w:pStyle w:val="Normal"/>
      </w:pPr>
      <w:r>
        <w:t>[</w:t>
      </w:r>
      <w:hyperlink w:anchor="472">
        <w:r>
          <w:rPr>
            <w:rStyle w:val="Text1"/>
          </w:rPr>
          <w:t>←472</w:t>
        </w:r>
      </w:hyperlink>
      <w:r>
        <w:t xml:space="preserve"> ] </w:t>
      </w:r>
      <w:bookmarkEnd w:id="1225"/>
    </w:p>
    <w:p>
      <w:pPr>
        <w:pStyle w:val="Para 01"/>
      </w:pPr>
      <w:r>
        <w:t>Bruno P., HW 1919.</w:t>
      </w:r>
    </w:p>
    <w:p>
      <w:bookmarkStart w:id="1226" w:name="__473"/>
      <w:pPr>
        <w:pStyle w:val="Normal"/>
      </w:pPr>
      <w:r>
        <w:t>[</w:t>
      </w:r>
      <w:hyperlink w:anchor="473">
        <w:r>
          <w:rPr>
            <w:rStyle w:val="Text1"/>
          </w:rPr>
          <w:t>←473</w:t>
        </w:r>
      </w:hyperlink>
      <w:r>
        <w:t xml:space="preserve"> ] </w:t>
      </w:r>
      <w:bookmarkEnd w:id="1226"/>
    </w:p>
    <w:p>
      <w:pPr>
        <w:pStyle w:val="Para 01"/>
      </w:pPr>
      <w:r>
        <w:t>Lucia B., G 591.</w:t>
      </w:r>
    </w:p>
    <w:p>
      <w:bookmarkStart w:id="1227" w:name="__474"/>
      <w:pPr>
        <w:pStyle w:val="Normal"/>
      </w:pPr>
      <w:r>
        <w:t>[</w:t>
      </w:r>
      <w:hyperlink w:anchor="474">
        <w:r>
          <w:rPr>
            <w:rStyle w:val="Text1"/>
          </w:rPr>
          <w:t>←474</w:t>
        </w:r>
      </w:hyperlink>
      <w:r>
        <w:t xml:space="preserve"> ] </w:t>
      </w:r>
      <w:bookmarkEnd w:id="1227"/>
    </w:p>
    <w:p>
      <w:pPr>
        <w:pStyle w:val="Para 01"/>
      </w:pPr>
      <w:r>
        <w:t>Вольфганг Хоффман, HW 2299.</w:t>
      </w:r>
    </w:p>
    <w:p>
      <w:bookmarkStart w:id="1228" w:name="__475"/>
      <w:pPr>
        <w:pStyle w:val="Normal"/>
      </w:pPr>
      <w:r>
        <w:t>[</w:t>
      </w:r>
      <w:hyperlink w:anchor="475">
        <w:r>
          <w:rPr>
            <w:rStyle w:val="Text1"/>
          </w:rPr>
          <w:t>←475</w:t>
        </w:r>
      </w:hyperlink>
      <w:r>
        <w:t xml:space="preserve"> ] </w:t>
      </w:r>
      <w:bookmarkEnd w:id="1228"/>
    </w:p>
    <w:p>
      <w:pPr>
        <w:pStyle w:val="Para 01"/>
      </w:pPr>
      <w:r>
        <w:t>Walter H., G 602.</w:t>
      </w:r>
    </w:p>
    <w:p>
      <w:bookmarkStart w:id="1229" w:name="__476"/>
      <w:pPr>
        <w:pStyle w:val="Normal"/>
      </w:pPr>
      <w:r>
        <w:t>[</w:t>
      </w:r>
      <w:hyperlink w:anchor="476">
        <w:r>
          <w:rPr>
            <w:rStyle w:val="Text1"/>
          </w:rPr>
          <w:t>←476</w:t>
        </w:r>
      </w:hyperlink>
      <w:r>
        <w:t xml:space="preserve"> ] </w:t>
      </w:r>
      <w:bookmarkEnd w:id="1229"/>
    </w:p>
    <w:p>
      <w:pPr>
        <w:pStyle w:val="Para 01"/>
      </w:pPr>
      <w:r>
        <w:t>Bruno P., HW 1925-26.</w:t>
      </w:r>
    </w:p>
    <w:p>
      <w:bookmarkStart w:id="1230" w:name="__477"/>
      <w:pPr>
        <w:pStyle w:val="Normal"/>
      </w:pPr>
      <w:r>
        <w:t>[</w:t>
      </w:r>
      <w:hyperlink w:anchor="477">
        <w:r>
          <w:rPr>
            <w:rStyle w:val="Text1"/>
          </w:rPr>
          <w:t>←477</w:t>
        </w:r>
      </w:hyperlink>
      <w:r>
        <w:t xml:space="preserve"> ] </w:t>
      </w:r>
      <w:bookmarkEnd w:id="1230"/>
    </w:p>
    <w:p>
      <w:pPr>
        <w:pStyle w:val="Para 01"/>
      </w:pPr>
      <w:r>
        <w:t>Вольфганг Хоффман, HW 2921.</w:t>
      </w:r>
    </w:p>
    <w:p>
      <w:bookmarkStart w:id="1231" w:name="__478"/>
      <w:pPr>
        <w:pStyle w:val="Normal"/>
      </w:pPr>
      <w:r>
        <w:t>[</w:t>
      </w:r>
      <w:hyperlink w:anchor="478">
        <w:r>
          <w:rPr>
            <w:rStyle w:val="Text1"/>
          </w:rPr>
          <w:t>←478</w:t>
        </w:r>
      </w:hyperlink>
      <w:r>
        <w:t xml:space="preserve"> ] </w:t>
      </w:r>
      <w:bookmarkEnd w:id="1231"/>
    </w:p>
    <w:p>
      <w:pPr>
        <w:pStyle w:val="Para 01"/>
      </w:pPr>
      <w:r>
        <w:t>Kurt D., HW 2886-87.</w:t>
      </w:r>
    </w:p>
    <w:p>
      <w:bookmarkStart w:id="1232" w:name="__479"/>
      <w:pPr>
        <w:pStyle w:val="Normal"/>
      </w:pPr>
      <w:r>
        <w:t>[</w:t>
      </w:r>
      <w:hyperlink w:anchor="479">
        <w:r>
          <w:rPr>
            <w:rStyle w:val="Text1"/>
          </w:rPr>
          <w:t>←479</w:t>
        </w:r>
      </w:hyperlink>
      <w:r>
        <w:t xml:space="preserve"> ] </w:t>
      </w:r>
      <w:bookmarkEnd w:id="1232"/>
    </w:p>
    <w:p>
      <w:pPr>
        <w:pStyle w:val="Para 01"/>
      </w:pPr>
      <w:r>
        <w:t>Alfred K., G 582; Ernst R., G 608, 612d; Georg S., G 635.</w:t>
      </w:r>
    </w:p>
    <w:p>
      <w:bookmarkStart w:id="1233" w:name="__480"/>
      <w:pPr>
        <w:pStyle w:val="Normal"/>
      </w:pPr>
      <w:r>
        <w:t>[</w:t>
      </w:r>
      <w:hyperlink w:anchor="480">
        <w:r>
          <w:rPr>
            <w:rStyle w:val="Text1"/>
          </w:rPr>
          <w:t>←480</w:t>
        </w:r>
      </w:hyperlink>
      <w:r>
        <w:t xml:space="preserve"> ] </w:t>
      </w:r>
      <w:bookmarkEnd w:id="1233"/>
    </w:p>
    <w:p>
      <w:pPr>
        <w:pStyle w:val="Para 01"/>
      </w:pPr>
      <w:r>
        <w:t>Hermann Bn., HW 3067, 3214-15, 3512, 3515; Rudolf B. And Alfred B., HW 3514.</w:t>
      </w:r>
    </w:p>
    <w:p>
      <w:bookmarkStart w:id="1234" w:name="__481"/>
      <w:pPr>
        <w:pStyle w:val="Normal"/>
      </w:pPr>
      <w:r>
        <w:t>[</w:t>
      </w:r>
      <w:hyperlink w:anchor="481">
        <w:r>
          <w:rPr>
            <w:rStyle w:val="Text1"/>
          </w:rPr>
          <w:t>←481</w:t>
        </w:r>
      </w:hyperlink>
      <w:r>
        <w:t xml:space="preserve"> ] </w:t>
      </w:r>
      <w:bookmarkEnd w:id="1234"/>
    </w:p>
    <w:p>
      <w:pPr>
        <w:pStyle w:val="Para 01"/>
      </w:pPr>
      <w:r>
        <w:t>Erwin G., HW 2503; Alfred B., HW 2520.</w:t>
      </w:r>
    </w:p>
    <w:p>
      <w:bookmarkStart w:id="1235" w:name="__482"/>
      <w:pPr>
        <w:pStyle w:val="Normal"/>
      </w:pPr>
      <w:r>
        <w:t>[</w:t>
      </w:r>
      <w:hyperlink w:anchor="482">
        <w:r>
          <w:rPr>
            <w:rStyle w:val="Text1"/>
          </w:rPr>
          <w:t>←482</w:t>
        </w:r>
      </w:hyperlink>
      <w:r>
        <w:t xml:space="preserve"> ] </w:t>
      </w:r>
      <w:bookmarkEnd w:id="1235"/>
    </w:p>
    <w:p>
      <w:pPr>
        <w:pStyle w:val="Para 01"/>
      </w:pPr>
      <w:r>
        <w:t>Augu</w:t>
        <w:t>s</w:t>
        <w:t>t Z., HW 3368.</w:t>
      </w:r>
    </w:p>
    <w:p>
      <w:bookmarkStart w:id="1236" w:name="__483"/>
      <w:pPr>
        <w:pStyle w:val="Normal"/>
      </w:pPr>
      <w:r>
        <w:t>[</w:t>
      </w:r>
      <w:hyperlink w:anchor="483">
        <w:r>
          <w:rPr>
            <w:rStyle w:val="Text1"/>
          </w:rPr>
          <w:t>←483</w:t>
        </w:r>
      </w:hyperlink>
      <w:r>
        <w:t xml:space="preserve"> ] </w:t>
      </w:r>
      <w:bookmarkEnd w:id="1236"/>
    </w:p>
    <w:p>
      <w:pPr>
        <w:pStyle w:val="Para 01"/>
      </w:pPr>
      <w:r>
        <w:t>Erwin G., HW 1640, 2504; Conrad M., HW 2682; Anton B., HW 2710; Kurt D., HW 4338; Hermann Bg., G 101.</w:t>
      </w:r>
    </w:p>
    <w:p>
      <w:bookmarkStart w:id="1237" w:name="__484"/>
      <w:pPr>
        <w:pStyle w:val="Normal"/>
      </w:pPr>
      <w:r>
        <w:t>[</w:t>
      </w:r>
      <w:hyperlink w:anchor="484">
        <w:r>
          <w:rPr>
            <w:rStyle w:val="Text1"/>
          </w:rPr>
          <w:t>←484</w:t>
        </w:r>
      </w:hyperlink>
      <w:r>
        <w:t xml:space="preserve"> ] </w:t>
      </w:r>
      <w:bookmarkEnd w:id="1237"/>
    </w:p>
    <w:p>
      <w:pPr>
        <w:pStyle w:val="Para 01"/>
      </w:pPr>
      <w:r>
        <w:t>Bruno D., HW 1876; Anton B., HW 4347; Kurt D., HW 4337; Wilhelm Gb., HW 2149.</w:t>
      </w:r>
    </w:p>
    <w:p>
      <w:bookmarkStart w:id="1238" w:name="__485"/>
      <w:pPr>
        <w:pStyle w:val="Normal"/>
      </w:pPr>
      <w:r>
        <w:t>[</w:t>
      </w:r>
      <w:hyperlink w:anchor="485">
        <w:r>
          <w:rPr>
            <w:rStyle w:val="Text1"/>
          </w:rPr>
          <w:t>←485</w:t>
        </w:r>
      </w:hyperlink>
      <w:r>
        <w:t xml:space="preserve"> ] </w:t>
      </w:r>
      <w:bookmarkEnd w:id="1238"/>
    </w:p>
    <w:p>
      <w:pPr>
        <w:pStyle w:val="Para 01"/>
      </w:pPr>
      <w:r>
        <w:t>Rudolf G., HW 2491.</w:t>
      </w:r>
    </w:p>
    <w:p>
      <w:bookmarkStart w:id="1239" w:name="__486"/>
      <w:pPr>
        <w:pStyle w:val="Normal"/>
      </w:pPr>
      <w:r>
        <w:t>[</w:t>
      </w:r>
      <w:hyperlink w:anchor="486">
        <w:r>
          <w:rPr>
            <w:rStyle w:val="Text1"/>
          </w:rPr>
          <w:t>←486</w:t>
        </w:r>
      </w:hyperlink>
      <w:r>
        <w:t xml:space="preserve"> ] </w:t>
      </w:r>
      <w:bookmarkEnd w:id="1239"/>
    </w:p>
    <w:p>
      <w:pPr>
        <w:pStyle w:val="Para 01"/>
      </w:pPr>
      <w:r>
        <w:t>Ernst Hd., HW 3088-89.</w:t>
      </w:r>
    </w:p>
    <w:p>
      <w:bookmarkStart w:id="1240" w:name="__487"/>
      <w:pPr>
        <w:pStyle w:val="Normal"/>
      </w:pPr>
      <w:r>
        <w:t>[</w:t>
      </w:r>
      <w:hyperlink w:anchor="487">
        <w:r>
          <w:rPr>
            <w:rStyle w:val="Text1"/>
          </w:rPr>
          <w:t>←487</w:t>
        </w:r>
      </w:hyperlink>
      <w:r>
        <w:t xml:space="preserve"> ] </w:t>
      </w:r>
      <w:bookmarkEnd w:id="1240"/>
    </w:p>
    <w:p>
      <w:pPr>
        <w:pStyle w:val="Para 01"/>
      </w:pPr>
      <w:r>
        <w:t>Georg W., HW 1733.</w:t>
      </w:r>
    </w:p>
    <w:p>
      <w:bookmarkStart w:id="1241" w:name="__488"/>
      <w:pPr>
        <w:pStyle w:val="Normal"/>
      </w:pPr>
      <w:r>
        <w:t>[</w:t>
      </w:r>
      <w:hyperlink w:anchor="488">
        <w:r>
          <w:rPr>
            <w:rStyle w:val="Text1"/>
          </w:rPr>
          <w:t>←488</w:t>
        </w:r>
      </w:hyperlink>
      <w:r>
        <w:t xml:space="preserve"> ] </w:t>
      </w:r>
      <w:bookmarkEnd w:id="1241"/>
    </w:p>
    <w:p>
      <w:pPr>
        <w:pStyle w:val="Para 01"/>
      </w:pPr>
      <w:r>
        <w:t>Gerhard K., HW 3083.</w:t>
      </w:r>
    </w:p>
    <w:p>
      <w:bookmarkStart w:id="1242" w:name="__489"/>
      <w:pPr>
        <w:pStyle w:val="Normal"/>
      </w:pPr>
      <w:r>
        <w:t>[</w:t>
      </w:r>
      <w:hyperlink w:anchor="489">
        <w:r>
          <w:rPr>
            <w:rStyle w:val="Text1"/>
          </w:rPr>
          <w:t>←489</w:t>
        </w:r>
      </w:hyperlink>
      <w:r>
        <w:t xml:space="preserve"> ] </w:t>
      </w:r>
      <w:bookmarkEnd w:id="1242"/>
    </w:p>
    <w:p>
      <w:pPr>
        <w:pStyle w:val="Para 01"/>
      </w:pPr>
      <w:r>
        <w:t>Friedrich Bm., HW 2097.</w:t>
      </w:r>
    </w:p>
    <w:p>
      <w:bookmarkStart w:id="1243" w:name="__490"/>
      <w:pPr>
        <w:pStyle w:val="Normal"/>
      </w:pPr>
      <w:r>
        <w:t>[</w:t>
      </w:r>
      <w:hyperlink w:anchor="490">
        <w:r>
          <w:rPr>
            <w:rStyle w:val="Text1"/>
          </w:rPr>
          <w:t>←490</w:t>
        </w:r>
      </w:hyperlink>
      <w:r>
        <w:t xml:space="preserve"> ] </w:t>
      </w:r>
      <w:bookmarkEnd w:id="1243"/>
    </w:p>
    <w:p>
      <w:pPr>
        <w:pStyle w:val="Para 01"/>
      </w:pPr>
      <w:r>
        <w:t>Karl G., HW 2200.</w:t>
      </w:r>
    </w:p>
    <w:p>
      <w:bookmarkStart w:id="1244" w:name="__491"/>
      <w:pPr>
        <w:pStyle w:val="Normal"/>
      </w:pPr>
      <w:r>
        <w:t>[</w:t>
      </w:r>
      <w:hyperlink w:anchor="491">
        <w:r>
          <w:rPr>
            <w:rStyle w:val="Text1"/>
          </w:rPr>
          <w:t>←491</w:t>
        </w:r>
      </w:hyperlink>
      <w:r>
        <w:t xml:space="preserve"> ] </w:t>
      </w:r>
      <w:bookmarkEnd w:id="1244"/>
    </w:p>
    <w:p>
      <w:pPr>
        <w:pStyle w:val="Para 01"/>
      </w:pPr>
      <w:r>
        <w:t>Erwin N., HW 1690.</w:t>
      </w:r>
    </w:p>
    <w:p>
      <w:bookmarkStart w:id="1245" w:name="__492"/>
      <w:pPr>
        <w:pStyle w:val="Normal"/>
      </w:pPr>
      <w:r>
        <w:t>[</w:t>
      </w:r>
      <w:hyperlink w:anchor="492">
        <w:r>
          <w:rPr>
            <w:rStyle w:val="Text1"/>
          </w:rPr>
          <w:t>←492</w:t>
        </w:r>
      </w:hyperlink>
      <w:r>
        <w:t xml:space="preserve"> ] </w:t>
      </w:r>
      <w:bookmarkEnd w:id="1245"/>
    </w:p>
    <w:p>
      <w:pPr>
        <w:pStyle w:val="Para 01"/>
      </w:pPr>
      <w:r>
        <w:t>Friedrich Bm., HW 2103; Hellmut S., G 652.</w:t>
      </w:r>
    </w:p>
    <w:p>
      <w:bookmarkStart w:id="1246" w:name="__493"/>
      <w:pPr>
        <w:pStyle w:val="Normal"/>
      </w:pPr>
      <w:r>
        <w:t>[</w:t>
      </w:r>
      <w:hyperlink w:anchor="493">
        <w:r>
          <w:rPr>
            <w:rStyle w:val="Text1"/>
          </w:rPr>
          <w:t>←493</w:t>
        </w:r>
      </w:hyperlink>
      <w:r>
        <w:t xml:space="preserve"> ] </w:t>
      </w:r>
      <w:bookmarkEnd w:id="1246"/>
    </w:p>
    <w:p>
      <w:pPr>
        <w:pStyle w:val="Para 01"/>
      </w:pPr>
      <w:r>
        <w:t>Hans K., HW 2265.</w:t>
      </w:r>
    </w:p>
    <w:p>
      <w:bookmarkStart w:id="1247" w:name="__494"/>
      <w:pPr>
        <w:pStyle w:val="Normal"/>
      </w:pPr>
      <w:r>
        <w:t>[</w:t>
      </w:r>
      <w:hyperlink w:anchor="494">
        <w:r>
          <w:rPr>
            <w:rStyle w:val="Text1"/>
          </w:rPr>
          <w:t>←494</w:t>
        </w:r>
      </w:hyperlink>
      <w:r>
        <w:t xml:space="preserve"> ] </w:t>
      </w:r>
      <w:bookmarkEnd w:id="1247"/>
    </w:p>
    <w:p>
      <w:pPr>
        <w:pStyle w:val="Para 01"/>
      </w:pPr>
      <w:r>
        <w:t>Friedrich P., G 247; Wilhelm K., G 517-18; Walter N., HW 3354.</w:t>
      </w:r>
    </w:p>
    <w:p>
      <w:bookmarkStart w:id="1248" w:name="__495"/>
      <w:pPr>
        <w:pStyle w:val="Normal"/>
      </w:pPr>
      <w:r>
        <w:t>[</w:t>
      </w:r>
      <w:hyperlink w:anchor="495">
        <w:r>
          <w:rPr>
            <w:rStyle w:val="Text1"/>
          </w:rPr>
          <w:t>←495</w:t>
        </w:r>
      </w:hyperlink>
      <w:r>
        <w:t xml:space="preserve"> ] </w:t>
      </w:r>
      <w:bookmarkEnd w:id="1248"/>
    </w:p>
    <w:p>
      <w:pPr>
        <w:pStyle w:val="Para 01"/>
      </w:pPr>
      <w:r>
        <w:t>Oskar P., HW 1742.</w:t>
      </w:r>
    </w:p>
    <w:p>
      <w:bookmarkStart w:id="1249" w:name="__496"/>
      <w:pPr>
        <w:pStyle w:val="Normal"/>
      </w:pPr>
      <w:r>
        <w:t>[</w:t>
      </w:r>
      <w:hyperlink w:anchor="496">
        <w:r>
          <w:rPr>
            <w:rStyle w:val="Text1"/>
          </w:rPr>
          <w:t>←496</w:t>
        </w:r>
      </w:hyperlink>
      <w:r>
        <w:t xml:space="preserve"> ] </w:t>
      </w:r>
      <w:bookmarkEnd w:id="1249"/>
    </w:p>
    <w:p>
      <w:pPr>
        <w:pStyle w:val="Para 01"/>
      </w:pPr>
      <w:r>
        <w:t>Wilhelm J., HW 1322; Friederick V., HW 1540; Emil S., HW 1737; Ernst Hr., HW 2717.</w:t>
      </w:r>
    </w:p>
    <w:p>
      <w:bookmarkStart w:id="1250" w:name="__497"/>
      <w:pPr>
        <w:pStyle w:val="Normal"/>
      </w:pPr>
      <w:r>
        <w:t>[</w:t>
      </w:r>
      <w:hyperlink w:anchor="497">
        <w:r>
          <w:rPr>
            <w:rStyle w:val="Text1"/>
          </w:rPr>
          <w:t>←497</w:t>
        </w:r>
      </w:hyperlink>
      <w:r>
        <w:t xml:space="preserve"> ] </w:t>
      </w:r>
      <w:bookmarkEnd w:id="1250"/>
    </w:p>
    <w:p>
      <w:pPr>
        <w:pStyle w:val="Para 01"/>
      </w:pPr>
      <w:r>
        <w:t>Вольфганг Хоффман, HW 2</w:t>
        <w:t>294.</w:t>
        <w:t xml:space="preserve"> </w:t>
      </w:r>
    </w:p>
    <w:p>
      <w:bookmarkStart w:id="1251" w:name="__498"/>
      <w:pPr>
        <w:pStyle w:val="Normal"/>
      </w:pPr>
      <w:r>
        <w:t>[</w:t>
      </w:r>
      <w:hyperlink w:anchor="498">
        <w:r>
          <w:rPr>
            <w:rStyle w:val="Text1"/>
          </w:rPr>
          <w:t>←498</w:t>
        </w:r>
      </w:hyperlink>
      <w:r>
        <w:t xml:space="preserve"> ] </w:t>
      </w:r>
      <w:bookmarkEnd w:id="1251"/>
    </w:p>
    <w:p>
      <w:pPr>
        <w:pStyle w:val="Para 01"/>
      </w:pPr>
      <w:r>
        <w:t>Rudolf B., HW 407; Friedrich B., HW 1592; Martin D., HW 1609; Heinrich E., HW 2171; Georg K., HW 2640; Augu</w:t>
        <w:t>s</w:t>
        <w:t>t Z., G 285; Karl S., G 663.</w:t>
      </w:r>
    </w:p>
    <w:p>
      <w:bookmarkStart w:id="1252" w:name="__499"/>
      <w:pPr>
        <w:pStyle w:val="Normal"/>
      </w:pPr>
      <w:r>
        <w:t>[</w:t>
      </w:r>
      <w:hyperlink w:anchor="499">
        <w:r>
          <w:rPr>
            <w:rStyle w:val="Text1"/>
          </w:rPr>
          <w:t>←499</w:t>
        </w:r>
      </w:hyperlink>
      <w:r>
        <w:t xml:space="preserve"> ] </w:t>
      </w:r>
      <w:bookmarkEnd w:id="1252"/>
    </w:p>
    <w:p>
      <w:pPr>
        <w:pStyle w:val="Para 01"/>
      </w:pPr>
      <w:r>
        <w:t>Gustav M., G 169.</w:t>
      </w:r>
    </w:p>
    <w:p>
      <w:bookmarkStart w:id="1253" w:name="__500"/>
      <w:pPr>
        <w:pStyle w:val="Normal"/>
      </w:pPr>
      <w:r>
        <w:t>[</w:t>
      </w:r>
      <w:hyperlink w:anchor="500">
        <w:r>
          <w:rPr>
            <w:rStyle w:val="Text1"/>
          </w:rPr>
          <w:t>←500</w:t>
        </w:r>
      </w:hyperlink>
      <w:r>
        <w:t xml:space="preserve"> ] </w:t>
      </w:r>
      <w:bookmarkEnd w:id="1253"/>
    </w:p>
    <w:p>
      <w:pPr>
        <w:pStyle w:val="Para 01"/>
      </w:pPr>
      <w:r>
        <w:t>Bruno P., HW 1924.</w:t>
      </w:r>
    </w:p>
    <w:p>
      <w:bookmarkStart w:id="1254" w:name="__501"/>
      <w:pPr>
        <w:pStyle w:val="Normal"/>
      </w:pPr>
      <w:r>
        <w:t>[</w:t>
      </w:r>
      <w:hyperlink w:anchor="501">
        <w:r>
          <w:rPr>
            <w:rStyle w:val="Text1"/>
          </w:rPr>
          <w:t>←501</w:t>
        </w:r>
      </w:hyperlink>
      <w:r>
        <w:t xml:space="preserve"> ] </w:t>
      </w:r>
      <w:bookmarkEnd w:id="1254"/>
    </w:p>
    <w:p>
      <w:pPr>
        <w:pStyle w:val="Para 01"/>
      </w:pPr>
      <w:r>
        <w:t>Bruno P., HW 1918-19.</w:t>
      </w:r>
    </w:p>
    <w:p>
      <w:bookmarkStart w:id="1255" w:name="__502"/>
      <w:pPr>
        <w:pStyle w:val="Normal"/>
      </w:pPr>
      <w:r>
        <w:t>[</w:t>
      </w:r>
      <w:hyperlink w:anchor="502">
        <w:r>
          <w:rPr>
            <w:rStyle w:val="Text1"/>
          </w:rPr>
          <w:t>←502</w:t>
        </w:r>
      </w:hyperlink>
      <w:r>
        <w:t xml:space="preserve"> ] </w:t>
      </w:r>
      <w:bookmarkEnd w:id="1255"/>
    </w:p>
    <w:p>
      <w:pPr>
        <w:pStyle w:val="Para 01"/>
      </w:pPr>
      <w:r>
        <w:t>Wilhelm J., HW 1324.</w:t>
      </w:r>
    </w:p>
    <w:p>
      <w:bookmarkStart w:id="1256" w:name="__503"/>
      <w:pPr>
        <w:pStyle w:val="Normal"/>
      </w:pPr>
      <w:r>
        <w:t>[</w:t>
      </w:r>
      <w:hyperlink w:anchor="503">
        <w:r>
          <w:rPr>
            <w:rStyle w:val="Text1"/>
          </w:rPr>
          <w:t>←503</w:t>
        </w:r>
      </w:hyperlink>
      <w:r>
        <w:t xml:space="preserve"> ] </w:t>
      </w:r>
      <w:bookmarkEnd w:id="1256"/>
    </w:p>
    <w:p>
      <w:pPr>
        <w:pStyle w:val="Para 01"/>
      </w:pPr>
      <w:r>
        <w:t>Friedrich Bm., HW 2104; Anton B., HW 2709-10; August Z., HW 3367, G 286.</w:t>
      </w:r>
    </w:p>
    <w:p>
      <w:bookmarkStart w:id="1257" w:name="__504"/>
      <w:pPr>
        <w:pStyle w:val="Normal"/>
      </w:pPr>
      <w:r>
        <w:t>[</w:t>
      </w:r>
      <w:hyperlink w:anchor="504">
        <w:r>
          <w:rPr>
            <w:rStyle w:val="Text1"/>
          </w:rPr>
          <w:t>←504</w:t>
        </w:r>
      </w:hyperlink>
      <w:r>
        <w:t xml:space="preserve"> ] </w:t>
      </w:r>
      <w:bookmarkEnd w:id="1257"/>
    </w:p>
    <w:p>
      <w:pPr>
        <w:pStyle w:val="Para 01"/>
      </w:pPr>
      <w:r>
        <w:t>Bruno G., HW 3301; Hans K., HW 2265.</w:t>
      </w:r>
    </w:p>
    <w:p>
      <w:bookmarkStart w:id="1258" w:name="__505"/>
      <w:pPr>
        <w:pStyle w:val="Normal"/>
      </w:pPr>
      <w:r>
        <w:t>[</w:t>
      </w:r>
      <w:hyperlink w:anchor="505">
        <w:r>
          <w:rPr>
            <w:rStyle w:val="Text1"/>
          </w:rPr>
          <w:t>←505</w:t>
        </w:r>
      </w:hyperlink>
      <w:r>
        <w:t xml:space="preserve"> ] </w:t>
      </w:r>
      <w:bookmarkEnd w:id="1258"/>
    </w:p>
    <w:p>
      <w:pPr>
        <w:pStyle w:val="Para 01"/>
      </w:pPr>
      <w:r>
        <w:t>August Z., HW 3365, 3367.</w:t>
      </w:r>
    </w:p>
    <w:p>
      <w:bookmarkStart w:id="1259" w:name="__506"/>
      <w:pPr>
        <w:pStyle w:val="Normal"/>
      </w:pPr>
      <w:r>
        <w:t>[</w:t>
      </w:r>
      <w:hyperlink w:anchor="506">
        <w:r>
          <w:rPr>
            <w:rStyle w:val="Text1"/>
          </w:rPr>
          <w:t>←506</w:t>
        </w:r>
      </w:hyperlink>
      <w:r>
        <w:t xml:space="preserve"> ] </w:t>
      </w:r>
      <w:bookmarkEnd w:id="1259"/>
    </w:p>
    <w:p>
      <w:pPr>
        <w:pStyle w:val="Para 01"/>
      </w:pPr>
      <w:r>
        <w:t>Anton B., HW 2710-11.</w:t>
      </w:r>
    </w:p>
    <w:p>
      <w:bookmarkStart w:id="1260" w:name="__507"/>
      <w:pPr>
        <w:pStyle w:val="Normal"/>
      </w:pPr>
      <w:r>
        <w:t>[</w:t>
      </w:r>
      <w:hyperlink w:anchor="507">
        <w:r>
          <w:rPr>
            <w:rStyle w:val="Text1"/>
          </w:rPr>
          <w:t>←507</w:t>
        </w:r>
      </w:hyperlink>
      <w:r>
        <w:t xml:space="preserve"> ] </w:t>
      </w:r>
      <w:bookmarkEnd w:id="1260"/>
    </w:p>
    <w:p>
      <w:pPr>
        <w:pStyle w:val="Para 01"/>
      </w:pPr>
      <w:r>
        <w:t xml:space="preserve">Прим. переводчика — стоит отметить, что </w:t>
        <w:t>п</w:t>
        <w:t>рактика использования силовых структур, набранных не на местности, а вдали от неё, широко используется вне зависимости от антисемитизма. К тому же, говоря о специальном отборе, автор кратко описывает процесс набора Хиви в Главе 6.</w:t>
      </w:r>
    </w:p>
    <w:p>
      <w:bookmarkStart w:id="1261" w:name="__508"/>
      <w:pPr>
        <w:pStyle w:val="Normal"/>
      </w:pPr>
      <w:r>
        <w:t>[</w:t>
      </w:r>
      <w:hyperlink w:anchor="508">
        <w:r>
          <w:rPr>
            <w:rStyle w:val="Text1"/>
          </w:rPr>
          <w:t>←508</w:t>
        </w:r>
      </w:hyperlink>
      <w:r>
        <w:t xml:space="preserve"> ] </w:t>
      </w:r>
      <w:bookmarkEnd w:id="1261"/>
    </w:p>
    <w:p>
      <w:pPr>
        <w:pStyle w:val="Para 01"/>
      </w:pPr>
      <w:r>
        <w:t>John Dower</w:t>
        <w:t>, War Without Mercy: Race and Power in the Pacific War (Нью-Йорк, 1986), особенно 3-15 («Паттерны Расовой Войны» [Patterns of a Race war]) и 33-73 («Ненависть на войне и военные преступления» [War Hates and War Crimes]).</w:t>
      </w:r>
    </w:p>
    <w:p>
      <w:bookmarkStart w:id="1262" w:name="__509"/>
      <w:pPr>
        <w:pStyle w:val="Normal"/>
      </w:pPr>
      <w:r>
        <w:t>[</w:t>
      </w:r>
      <w:hyperlink w:anchor="509">
        <w:r>
          <w:rPr>
            <w:rStyle w:val="Text1"/>
          </w:rPr>
          <w:t>←509</w:t>
        </w:r>
      </w:hyperlink>
      <w:r>
        <w:t xml:space="preserve"> ] </w:t>
      </w:r>
      <w:bookmarkEnd w:id="1262"/>
    </w:p>
    <w:p>
      <w:pPr>
        <w:pStyle w:val="Para 01"/>
      </w:pPr>
      <w:r>
        <w:t>„war hates“ induce „war crimes“</w:t>
      </w:r>
    </w:p>
    <w:p>
      <w:bookmarkStart w:id="1263" w:name="__510"/>
      <w:pPr>
        <w:pStyle w:val="Normal"/>
      </w:pPr>
      <w:r>
        <w:t>[</w:t>
      </w:r>
      <w:hyperlink w:anchor="510">
        <w:r>
          <w:rPr>
            <w:rStyle w:val="Text1"/>
          </w:rPr>
          <w:t>←510</w:t>
        </w:r>
      </w:hyperlink>
      <w:r>
        <w:t xml:space="preserve"> ] </w:t>
      </w:r>
      <w:bookmarkEnd w:id="1263"/>
    </w:p>
    <w:p>
      <w:pPr>
        <w:pStyle w:val="Para 01"/>
      </w:pPr>
      <w:r>
        <w:t xml:space="preserve">Польское название для города — Быдгощ [Bydgoszćz]. В первые дни войны жившие там этнические немцы были убиты, и в следующем месяце немецкие оккупанты проводили особенно интенсивные казни и </w:t>
        <w:t xml:space="preserve">изгнания. Смотри </w:t>
        <w:t>Краусник и Вильгельм</w:t>
        <w:t>, 55-65; Tadeuz Esman and Wlodjimierz Jast</w:t>
        <w:t>r</w:t>
        <w:t xml:space="preserve">zebski, </w:t>
      </w:r>
      <w:r>
        <w:rPr>
          <w:rStyle w:val="Text0"/>
        </w:rPr>
        <w:t xml:space="preserve">Pierwsje </w:t>
        <w:t xml:space="preserve">Miesiac </w:t>
        <w:t>Okupacji Hitlerowkiej w Bydgoszćz</w:t>
      </w:r>
      <w:r>
        <w:t xml:space="preserve"> (Bydgoszćz, 1967).</w:t>
        <w:t xml:space="preserve"> </w:t>
      </w:r>
    </w:p>
    <w:p>
      <w:bookmarkStart w:id="1264" w:name="__511"/>
      <w:pPr>
        <w:pStyle w:val="Normal"/>
      </w:pPr>
      <w:r>
        <w:t>[</w:t>
      </w:r>
      <w:hyperlink w:anchor="511">
        <w:r>
          <w:rPr>
            <w:rStyle w:val="Text1"/>
          </w:rPr>
          <w:t>←511</w:t>
        </w:r>
      </w:hyperlink>
      <w:r>
        <w:t xml:space="preserve"> ] </w:t>
      </w:r>
      <w:bookmarkEnd w:id="1264"/>
    </w:p>
    <w:p>
      <w:pPr>
        <w:pStyle w:val="Para 01"/>
      </w:pPr>
      <w:r>
        <w:t xml:space="preserve">Насчёт </w:t>
        <w:t>открытого</w:t>
        <w:t xml:space="preserve"> поощрения — после того как командир подводной лодки Wahoo более часа расстреливал пулемётами японских солдат в воде, его наградили и Крестом Военно-морских сил и армейским Крестом «За выдающиеся заслуги». Доуэр, 330, н. 94.</w:t>
      </w:r>
    </w:p>
    <w:p>
      <w:bookmarkStart w:id="1265" w:name="__512"/>
      <w:pPr>
        <w:pStyle w:val="Normal"/>
      </w:pPr>
      <w:r>
        <w:t>[</w:t>
      </w:r>
      <w:hyperlink w:anchor="512">
        <w:r>
          <w:rPr>
            <w:rStyle w:val="Text1"/>
          </w:rPr>
          <w:t>←512</w:t>
        </w:r>
      </w:hyperlink>
      <w:r>
        <w:t xml:space="preserve"> ] </w:t>
      </w:r>
      <w:bookmarkEnd w:id="1265"/>
    </w:p>
    <w:p>
      <w:pPr>
        <w:pStyle w:val="Para 01"/>
      </w:pPr>
      <w:r>
        <w:t>Доуэр,11.</w:t>
      </w:r>
    </w:p>
    <w:p>
      <w:bookmarkStart w:id="1266" w:name="__513"/>
      <w:pPr>
        <w:pStyle w:val="Normal"/>
      </w:pPr>
      <w:r>
        <w:t>[</w:t>
      </w:r>
      <w:hyperlink w:anchor="513">
        <w:r>
          <w:rPr>
            <w:rStyle w:val="Text1"/>
          </w:rPr>
          <w:t>←513</w:t>
        </w:r>
      </w:hyperlink>
      <w:r>
        <w:t xml:space="preserve"> ] </w:t>
      </w:r>
      <w:bookmarkEnd w:id="1266"/>
    </w:p>
    <w:p>
      <w:pPr>
        <w:pStyle w:val="Para 01"/>
      </w:pPr>
      <w:r>
        <w:t>Оба и Ричард Руб</w:t>
        <w:t>и</w:t>
        <w:t>нштейн в</w:t>
      </w:r>
      <w:r>
        <w:rPr>
          <w:rStyle w:val="Text0"/>
        </w:rPr>
        <w:t xml:space="preserve"> </w:t>
        <w:t>Коварство Истории</w:t>
        <w:t xml:space="preserve"> </w:t>
      </w:r>
      <w:r>
        <w:t xml:space="preserve">[Richard Rubenstein, </w:t>
      </w:r>
      <w:r>
        <w:rPr>
          <w:rStyle w:val="Text0"/>
        </w:rPr>
        <w:t>The Cunning of History</w:t>
      </w:r>
      <w:r>
        <w:t xml:space="preserve">] </w:t>
        <w:t>(Нью-Йорк, 1978), и Зигмунт Бауман в</w:t>
      </w:r>
      <w:r>
        <w:rPr>
          <w:rStyle w:val="Text0"/>
        </w:rPr>
        <w:t xml:space="preserve"> Современность и Хол</w:t>
        <w:t>окост</w:t>
        <w:t xml:space="preserve"> </w:t>
      </w:r>
      <w:r>
        <w:t>[</w:t>
        <w:t xml:space="preserve">Zygmunt Bauman, </w:t>
      </w:r>
      <w:r>
        <w:rPr>
          <w:rStyle w:val="Text0"/>
        </w:rPr>
        <w:t>Modernity and the Holocaust</w:t>
      </w:r>
      <w:r>
        <w:t xml:space="preserve">] </w:t>
        <w:t xml:space="preserve"> (Итака, 1989) подробно </w:t>
        <w:t>раскрывают подтекст/последствия работы Хил</w:t>
        <w:t>ь</w:t>
        <w:t>берга в этом отношении. В</w:t>
      </w:r>
      <w:r>
        <w:rPr>
          <w:rStyle w:val="Text0"/>
        </w:rPr>
        <w:t xml:space="preserve"> </w:t>
        <w:t xml:space="preserve">Эйхман В Иерусалиме: Доклад о Банальности Зла </w:t>
      </w:r>
      <w:r>
        <w:t>[</w:t>
      </w:r>
      <w:r>
        <w:rPr>
          <w:rStyle w:val="Text0"/>
        </w:rPr>
        <w:t>Eichmann in Jerusalem: A Report on the Banality of Evil</w:t>
      </w:r>
      <w:r>
        <w:t xml:space="preserve">] </w:t>
        <w:t>(Нью-Йорк, 1965) Ханна Арендт презентовала Эйхмана как «банального бюрократа», винтика в бюрократической машине. Хотя Эйхман на самом деле не самый лучший пример «банального бюрократа», сам концепт всё же полезен для понимания многих соучастников Холокоста. Хил</w:t>
        <w:t>ь</w:t>
        <w:t>берг и другие совершенно точно задокументировали, как обыкновенн</w:t>
        <w:t xml:space="preserve">ые бюрократы выполняли жизненно необходимые для массового убийства процедуры точно так же, как и любую другую бюрократическую деятельность. И именно это позволило осуществить Холокост. Зло банальным не было, но соучастники точно были. Своей идеей «банальности зла» Арендт пыталась провести мосты именно </w:t>
        <w:t xml:space="preserve">на разрыве </w:t>
        <w:t xml:space="preserve">«между невыразимым ужасом поступков и бесспорной нелепостью преступников» </w:t>
        <w:t>(54).</w:t>
        <w:t xml:space="preserve"> </w:t>
      </w:r>
    </w:p>
    <w:p>
      <w:bookmarkStart w:id="1267" w:name="__514"/>
      <w:pPr>
        <w:pStyle w:val="Normal"/>
      </w:pPr>
      <w:r>
        <w:t>[</w:t>
      </w:r>
      <w:hyperlink w:anchor="514">
        <w:r>
          <w:rPr>
            <w:rStyle w:val="Text1"/>
          </w:rPr>
          <w:t>←514</w:t>
        </w:r>
      </w:hyperlink>
      <w:r>
        <w:t xml:space="preserve"> ] </w:t>
      </w:r>
      <w:bookmarkEnd w:id="1267"/>
    </w:p>
    <w:p>
      <w:pPr>
        <w:pStyle w:val="Para 01"/>
      </w:pPr>
      <w:r>
        <w:t xml:space="preserve">Hans-Heinrich Wilhelm, </w:t>
        <w:t>не опубликованная рукопись</w:t>
        <w:t xml:space="preserve">. </w:t>
      </w:r>
    </w:p>
    <w:p>
      <w:bookmarkStart w:id="1268" w:name="__515"/>
      <w:pPr>
        <w:pStyle w:val="Normal"/>
      </w:pPr>
      <w:r>
        <w:t>[</w:t>
      </w:r>
      <w:hyperlink w:anchor="515">
        <w:r>
          <w:rPr>
            <w:rStyle w:val="Text1"/>
          </w:rPr>
          <w:t>←515</w:t>
        </w:r>
      </w:hyperlink>
      <w:r>
        <w:t xml:space="preserve"> ] </w:t>
      </w:r>
      <w:bookmarkEnd w:id="1268"/>
    </w:p>
    <w:p>
      <w:pPr>
        <w:pStyle w:val="Para 01"/>
      </w:pPr>
      <w:r>
        <w:t>Беттина Бирн</w:t>
        <w:t xml:space="preserve">, </w:t>
      </w:r>
      <w:r>
        <w:rPr>
          <w:rStyle w:val="Text0"/>
        </w:rPr>
        <w:t>Die Höheren SS- und Polizeiführer</w:t>
      </w:r>
      <w:r>
        <w:t xml:space="preserve"> (Düsseldorf, 1986), 363-64; ZStL, II </w:t>
        <w:t xml:space="preserve">208 </w:t>
        <w:t>AR-Z 74/60 (Staatsanwaltschaft Hamburg, 141 Js 573/60, indictment of Birmes):62-65.</w:t>
      </w:r>
    </w:p>
    <w:p>
      <w:bookmarkStart w:id="1269" w:name="__516"/>
      <w:pPr>
        <w:pStyle w:val="Normal"/>
      </w:pPr>
      <w:r>
        <w:t>[</w:t>
      </w:r>
      <w:hyperlink w:anchor="516">
        <w:r>
          <w:rPr>
            <w:rStyle w:val="Text1"/>
          </w:rPr>
          <w:t>←516</w:t>
        </w:r>
      </w:hyperlink>
      <w:r>
        <w:t xml:space="preserve"> ] </w:t>
      </w:r>
      <w:bookmarkEnd w:id="1269"/>
    </w:p>
    <w:p>
      <w:pPr>
        <w:pStyle w:val="Para 01"/>
      </w:pPr>
      <w:r>
        <w:t xml:space="preserve">Гитта </w:t>
        <w:t>Серени, 83-88.</w:t>
      </w:r>
    </w:p>
    <w:p>
      <w:bookmarkStart w:id="1270" w:name="__517"/>
      <w:pPr>
        <w:pStyle w:val="Normal"/>
      </w:pPr>
      <w:r>
        <w:t>[</w:t>
      </w:r>
      <w:hyperlink w:anchor="517">
        <w:r>
          <w:rPr>
            <w:rStyle w:val="Text1"/>
          </w:rPr>
          <w:t>←517</w:t>
        </w:r>
      </w:hyperlink>
      <w:r>
        <w:t xml:space="preserve"> ] </w:t>
      </w:r>
      <w:bookmarkEnd w:id="1270"/>
    </w:p>
    <w:p>
      <w:pPr>
        <w:pStyle w:val="Para 06"/>
      </w:pPr>
      <w:r>
        <w:rPr>
          <w:rStyle w:val="Text0"/>
        </w:rPr>
        <w:t xml:space="preserve">Т. Адорно и др. </w:t>
      </w:r>
      <w:r>
        <w:t>Авторитарная личность</w:t>
      </w:r>
      <w:r>
        <w:rPr>
          <w:rStyle w:val="Text0"/>
        </w:rPr>
        <w:t xml:space="preserve"> [</w:t>
      </w:r>
      <w:r>
        <w:t>The Authoritarian Personality</w:t>
      </w:r>
      <w:r>
        <w:rPr>
          <w:rStyle w:val="Text0"/>
        </w:rPr>
        <w:t>]</w:t>
        <w:t xml:space="preserve"> </w:t>
        <w:t>(Нью-Йорк, 1950), 1-10.</w:t>
      </w:r>
    </w:p>
    <w:p>
      <w:bookmarkStart w:id="1271" w:name="__518"/>
      <w:pPr>
        <w:pStyle w:val="Normal"/>
      </w:pPr>
      <w:r>
        <w:t>[</w:t>
      </w:r>
      <w:hyperlink w:anchor="518">
        <w:r>
          <w:rPr>
            <w:rStyle w:val="Text1"/>
          </w:rPr>
          <w:t>←518</w:t>
        </w:r>
      </w:hyperlink>
      <w:r>
        <w:t xml:space="preserve"> ] </w:t>
      </w:r>
      <w:bookmarkEnd w:id="1271"/>
    </w:p>
    <w:p>
      <w:pPr>
        <w:pStyle w:val="Para 01"/>
      </w:pPr>
      <w:r>
        <w:t>Адорно и др, 222-279.</w:t>
      </w:r>
    </w:p>
    <w:p>
      <w:bookmarkStart w:id="1272" w:name="__519"/>
      <w:pPr>
        <w:pStyle w:val="Normal"/>
      </w:pPr>
      <w:r>
        <w:t>[</w:t>
      </w:r>
      <w:hyperlink w:anchor="519">
        <w:r>
          <w:rPr>
            <w:rStyle w:val="Text1"/>
          </w:rPr>
          <w:t>←519</w:t>
        </w:r>
      </w:hyperlink>
      <w:r>
        <w:t xml:space="preserve"> ] </w:t>
      </w:r>
      <w:bookmarkEnd w:id="1272"/>
    </w:p>
    <w:p>
      <w:pPr>
        <w:pStyle w:val="Para 01"/>
      </w:pPr>
      <w:r>
        <w:t>Бауман, 153.</w:t>
      </w:r>
    </w:p>
    <w:p>
      <w:bookmarkStart w:id="1273" w:name="__520"/>
      <w:pPr>
        <w:pStyle w:val="Normal"/>
      </w:pPr>
      <w:r>
        <w:t>[</w:t>
      </w:r>
      <w:hyperlink w:anchor="520">
        <w:r>
          <w:rPr>
            <w:rStyle w:val="Text1"/>
          </w:rPr>
          <w:t>←520</w:t>
        </w:r>
      </w:hyperlink>
      <w:r>
        <w:t xml:space="preserve"> ] </w:t>
      </w:r>
      <w:bookmarkEnd w:id="1273"/>
    </w:p>
    <w:p>
      <w:pPr>
        <w:pStyle w:val="Para 01"/>
      </w:pPr>
      <w:r>
        <w:t>Джон Штайнер, «</w:t>
        <w:t>СС Вчера и Сегодня: Социопсихологический взгляд» [</w:t>
        <w:t>The SS Yesterday and Today: A Sociopsychological View</w:t>
        <w:t>]</w:t>
        <w:t xml:space="preserve"> в </w:t>
      </w:r>
      <w:r>
        <w:rPr>
          <w:rStyle w:val="Text0"/>
        </w:rPr>
        <w:t>Survivors, Victims, and Perpetrators: Essays on the Nazi Holocaus</w:t>
      </w:r>
      <w:r>
        <w:t xml:space="preserve">, </w:t>
        <w:t>ред</w:t>
        <w:t xml:space="preserve"> Joel E. Dimsdale (Вашингтон, 1980), 431-34, 443.</w:t>
        <w:t xml:space="preserve"> </w:t>
      </w:r>
    </w:p>
    <w:p>
      <w:bookmarkStart w:id="1274" w:name="__521"/>
      <w:pPr>
        <w:pStyle w:val="Normal"/>
      </w:pPr>
      <w:r>
        <w:t>[</w:t>
      </w:r>
      <w:hyperlink w:anchor="521">
        <w:r>
          <w:rPr>
            <w:rStyle w:val="Text1"/>
          </w:rPr>
          <w:t>←521</w:t>
        </w:r>
      </w:hyperlink>
      <w:r>
        <w:t xml:space="preserve"> ] </w:t>
      </w:r>
      <w:bookmarkEnd w:id="1274"/>
    </w:p>
    <w:p>
      <w:pPr>
        <w:pStyle w:val="Para 06"/>
      </w:pPr>
      <w:r>
        <w:rPr>
          <w:rStyle w:val="Text0"/>
        </w:rPr>
        <w:t xml:space="preserve">Стауб, </w:t>
      </w:r>
      <w:r>
        <w:t xml:space="preserve">Корни Зла: Истоки Геноцида и Других Форм Группового Насилия </w:t>
      </w:r>
      <w:r>
        <w:rPr>
          <w:rStyle w:val="Text0"/>
        </w:rPr>
        <w:t>[</w:t>
      </w:r>
      <w:r>
        <w:t>The Root of Evil: The Origins of Genocide and Other Group Violence</w:t>
      </w:r>
      <w:r>
        <w:rPr>
          <w:rStyle w:val="Text0"/>
        </w:rPr>
        <w:t>] (Кембридж, 1989), 18, 128-41.</w:t>
        <w:t xml:space="preserve"> </w:t>
      </w:r>
    </w:p>
    <w:p>
      <w:bookmarkStart w:id="1275" w:name="__522"/>
      <w:pPr>
        <w:pStyle w:val="Normal"/>
      </w:pPr>
      <w:r>
        <w:t>[</w:t>
      </w:r>
      <w:hyperlink w:anchor="522">
        <w:r>
          <w:rPr>
            <w:rStyle w:val="Text1"/>
          </w:rPr>
          <w:t>←522</w:t>
        </w:r>
      </w:hyperlink>
      <w:r>
        <w:t xml:space="preserve"> ] </w:t>
      </w:r>
      <w:bookmarkEnd w:id="1275"/>
    </w:p>
    <w:p>
      <w:pPr>
        <w:pStyle w:val="Para 01"/>
      </w:pPr>
      <w:r>
        <w:t>Стауб, 26, 126. Он включает так же историю одного вьетнамского ветерана, который имел схожий с полицейскими Батальона 101 опыт. Ветеран поначалу страдал, но со временем стал привычен к убийству: «Пролетая в вертолёте над группой гражданских, ему приказали открыть по ним огонь, приказу он не подчинился. Вертолёт сделал круг, и ему вновь приказали открыть огонь, и вновь он отказался. Старший офицер пригрозил ему трибуналом, и тогда он подчинился. Его стошнило, чувствовал себя ужасно. Ветеран поведал, что за короткое время стрельба по гражданским стала как стрельба по мишеням в тире, и он стал получать от неё удовольствие» (134).</w:t>
      </w:r>
    </w:p>
    <w:p>
      <w:bookmarkStart w:id="1276" w:name="__523"/>
      <w:pPr>
        <w:pStyle w:val="Normal"/>
      </w:pPr>
      <w:r>
        <w:t>[</w:t>
      </w:r>
      <w:hyperlink w:anchor="523">
        <w:r>
          <w:rPr>
            <w:rStyle w:val="Text1"/>
          </w:rPr>
          <w:t>←523</w:t>
        </w:r>
      </w:hyperlink>
      <w:r>
        <w:t xml:space="preserve"> ] </w:t>
      </w:r>
      <w:bookmarkEnd w:id="1276"/>
    </w:p>
    <w:p>
      <w:pPr>
        <w:pStyle w:val="Para 01"/>
      </w:pPr>
      <w:r>
        <w:t>Бауман, 166-68.</w:t>
      </w:r>
    </w:p>
    <w:p>
      <w:bookmarkStart w:id="1277" w:name="__524"/>
      <w:pPr>
        <w:pStyle w:val="Normal"/>
      </w:pPr>
      <w:r>
        <w:t>[</w:t>
      </w:r>
      <w:hyperlink w:anchor="524">
        <w:r>
          <w:rPr>
            <w:rStyle w:val="Text1"/>
          </w:rPr>
          <w:t>←524</w:t>
        </w:r>
      </w:hyperlink>
      <w:r>
        <w:t xml:space="preserve"> ] </w:t>
      </w:r>
      <w:bookmarkEnd w:id="1277"/>
    </w:p>
    <w:p>
      <w:pPr>
        <w:pStyle w:val="Para 01"/>
      </w:pPr>
      <w:r>
        <w:t>Крейг Хейни, Кертис Бэнкс и Филип Зимбардо, «Межперсональная Динамика в Симуляции Тюрьмы» [</w:t>
        <w:t>Craig Haney, Curtis Banks, and Philip Zimbardo, «Interpersonal Dynamics in a Simulated Prison</w:t>
        <w:t>]</w:t>
        <w:t xml:space="preserve">, </w:t>
      </w:r>
      <w:r>
        <w:rPr>
          <w:rStyle w:val="Text0"/>
        </w:rPr>
        <w:t xml:space="preserve">International Journal of Criminology and Penology 1 </w:t>
      </w:r>
      <w:r>
        <w:t>(1983):69-97.</w:t>
      </w:r>
    </w:p>
    <w:p>
      <w:bookmarkStart w:id="1278" w:name="__525"/>
      <w:pPr>
        <w:pStyle w:val="Normal"/>
      </w:pPr>
      <w:r>
        <w:t>[</w:t>
      </w:r>
      <w:hyperlink w:anchor="525">
        <w:r>
          <w:rPr>
            <w:rStyle w:val="Text1"/>
          </w:rPr>
          <w:t>←525</w:t>
        </w:r>
      </w:hyperlink>
      <w:r>
        <w:t xml:space="preserve"> ] </w:t>
      </w:r>
      <w:bookmarkEnd w:id="1278"/>
    </w:p>
    <w:p>
      <w:pPr>
        <w:pStyle w:val="Para 01"/>
      </w:pPr>
      <w:r>
        <w:t>Хейни, Бэнкс и Зимбардо «Стэнфордский эксперимент: Слайд шоу и аудиокассета» [</w:t>
        <w:t>Haney, Banks, and Zimbardo, «The Stanford Prison Experiment: Slide show and audio cassette»</w:t>
        <w:t>]</w:t>
        <w:t>.</w:t>
      </w:r>
    </w:p>
    <w:p>
      <w:bookmarkStart w:id="1279" w:name="__526"/>
      <w:pPr>
        <w:pStyle w:val="Normal"/>
      </w:pPr>
      <w:r>
        <w:t>[</w:t>
      </w:r>
      <w:hyperlink w:anchor="526">
        <w:r>
          <w:rPr>
            <w:rStyle w:val="Text1"/>
          </w:rPr>
          <w:t>←526</w:t>
        </w:r>
      </w:hyperlink>
      <w:r>
        <w:t xml:space="preserve"> ] </w:t>
      </w:r>
      <w:bookmarkEnd w:id="1279"/>
    </w:p>
    <w:p>
      <w:pPr>
        <w:pStyle w:val="Para 01"/>
      </w:pPr>
      <w:r>
        <w:t>Gustav M., 169-70; Heinz B., HW 2439-40.</w:t>
      </w:r>
    </w:p>
    <w:p>
      <w:bookmarkStart w:id="1280" w:name="__527"/>
      <w:pPr>
        <w:pStyle w:val="Normal"/>
      </w:pPr>
      <w:r>
        <w:t>[</w:t>
      </w:r>
      <w:hyperlink w:anchor="527">
        <w:r>
          <w:rPr>
            <w:rStyle w:val="Text1"/>
          </w:rPr>
          <w:t>←527</w:t>
        </w:r>
      </w:hyperlink>
      <w:r>
        <w:t xml:space="preserve"> ] </w:t>
      </w:r>
      <w:bookmarkEnd w:id="1280"/>
    </w:p>
    <w:p>
      <w:pPr>
        <w:pStyle w:val="Para 01"/>
      </w:pPr>
      <w:r>
        <w:t>Herbert J</w:t>
        <w:t>ä</w:t>
        <w:t xml:space="preserve">ger, </w:t>
      </w:r>
      <w:r>
        <w:rPr>
          <w:rStyle w:val="Text0"/>
        </w:rPr>
        <w:t>Verbrechen unter totalitärer Herrschaft</w:t>
      </w:r>
      <w:r>
        <w:t xml:space="preserve"> (Frankfurt, 1928), 81-82, 95-122, 158-60.</w:t>
        <w:t xml:space="preserve"> </w:t>
      </w:r>
    </w:p>
    <w:p>
      <w:bookmarkStart w:id="1281" w:name="__528"/>
      <w:pPr>
        <w:pStyle w:val="Normal"/>
      </w:pPr>
      <w:r>
        <w:t>[</w:t>
      </w:r>
      <w:hyperlink w:anchor="528">
        <w:r>
          <w:rPr>
            <w:rStyle w:val="Text1"/>
          </w:rPr>
          <w:t>←528</w:t>
        </w:r>
      </w:hyperlink>
      <w:r>
        <w:t xml:space="preserve"> ] </w:t>
      </w:r>
      <w:bookmarkEnd w:id="1281"/>
    </w:p>
    <w:p>
      <w:pPr>
        <w:pStyle w:val="Para 01"/>
      </w:pPr>
      <w:r>
        <w:t>putative duress</w:t>
      </w:r>
    </w:p>
    <w:p>
      <w:bookmarkStart w:id="1282" w:name="__529"/>
      <w:pPr>
        <w:pStyle w:val="Normal"/>
      </w:pPr>
      <w:r>
        <w:t>[</w:t>
      </w:r>
      <w:hyperlink w:anchor="529">
        <w:r>
          <w:rPr>
            <w:rStyle w:val="Text1"/>
          </w:rPr>
          <w:t>←529</w:t>
        </w:r>
      </w:hyperlink>
      <w:r>
        <w:t xml:space="preserve"> ] </w:t>
      </w:r>
      <w:bookmarkEnd w:id="1282"/>
    </w:p>
    <w:p>
      <w:pPr>
        <w:pStyle w:val="Para 06"/>
      </w:pPr>
      <w:r>
        <w:rPr>
          <w:rStyle w:val="Text0"/>
        </w:rPr>
        <w:t xml:space="preserve">Стэнли Милгрэм, </w:t>
      </w:r>
      <w:r>
        <w:t xml:space="preserve">Подчинение авторитету: научный взгляд на власть и мораль </w:t>
      </w:r>
      <w:r>
        <w:rPr>
          <w:rStyle w:val="Text0"/>
        </w:rPr>
        <w:t>[</w:t>
      </w:r>
      <w:r>
        <w:t>Obedience to Authority: An Experimental View</w:t>
      </w:r>
      <w:r>
        <w:rPr>
          <w:rStyle w:val="Text0"/>
        </w:rPr>
        <w:t xml:space="preserve">] (Нью-Йорк, 1974), 1. О реакции на эксперимент Милгрэма смотри Arthur G. Miller, </w:t>
      </w:r>
      <w:r>
        <w:t>The Obedience Experiments: A Case Study of Controversy in the Social Sciences</w:t>
      </w:r>
      <w:r>
        <w:rPr>
          <w:rStyle w:val="Text0"/>
        </w:rPr>
        <w:t xml:space="preserve"> (Нью-Йорк, 1986).</w:t>
      </w:r>
    </w:p>
    <w:p>
      <w:bookmarkStart w:id="1283" w:name="__530"/>
      <w:pPr>
        <w:pStyle w:val="Normal"/>
      </w:pPr>
      <w:r>
        <w:t>[</w:t>
      </w:r>
      <w:hyperlink w:anchor="530">
        <w:r>
          <w:rPr>
            <w:rStyle w:val="Text1"/>
          </w:rPr>
          <w:t>←530</w:t>
        </w:r>
      </w:hyperlink>
      <w:r>
        <w:t xml:space="preserve"> ] </w:t>
      </w:r>
      <w:bookmarkEnd w:id="1283"/>
    </w:p>
    <w:p>
      <w:pPr>
        <w:pStyle w:val="Para 01"/>
      </w:pPr>
      <w:r>
        <w:t>Милгрэм, 13-26.</w:t>
      </w:r>
    </w:p>
    <w:p>
      <w:bookmarkStart w:id="1284" w:name="__531"/>
      <w:pPr>
        <w:pStyle w:val="Normal"/>
      </w:pPr>
      <w:r>
        <w:t>[</w:t>
      </w:r>
      <w:hyperlink w:anchor="531">
        <w:r>
          <w:rPr>
            <w:rStyle w:val="Text1"/>
          </w:rPr>
          <w:t>←531</w:t>
        </w:r>
      </w:hyperlink>
      <w:r>
        <w:t xml:space="preserve"> ] </w:t>
      </w:r>
      <w:bookmarkEnd w:id="1284"/>
    </w:p>
    <w:p>
      <w:pPr>
        <w:pStyle w:val="Para 01"/>
      </w:pPr>
      <w:r>
        <w:t>Буквальный перевод — читерили.</w:t>
      </w:r>
    </w:p>
    <w:p>
      <w:bookmarkStart w:id="1285" w:name="__532"/>
      <w:pPr>
        <w:pStyle w:val="Normal"/>
      </w:pPr>
      <w:r>
        <w:t>[</w:t>
      </w:r>
      <w:hyperlink w:anchor="532">
        <w:r>
          <w:rPr>
            <w:rStyle w:val="Text1"/>
          </w:rPr>
          <w:t>←532</w:t>
        </w:r>
      </w:hyperlink>
      <w:r>
        <w:t xml:space="preserve"> ] </w:t>
      </w:r>
      <w:bookmarkEnd w:id="1285"/>
    </w:p>
    <w:p>
      <w:pPr>
        <w:pStyle w:val="Para 01"/>
      </w:pPr>
      <w:r>
        <w:t>Милгрэм, 32-43, 55-72, 93-97, 113-22.</w:t>
      </w:r>
    </w:p>
    <w:p>
      <w:bookmarkStart w:id="1286" w:name="__533"/>
      <w:pPr>
        <w:pStyle w:val="Normal"/>
      </w:pPr>
      <w:r>
        <w:t>[</w:t>
      </w:r>
      <w:hyperlink w:anchor="533">
        <w:r>
          <w:rPr>
            <w:rStyle w:val="Text1"/>
          </w:rPr>
          <w:t>←533</w:t>
        </w:r>
      </w:hyperlink>
      <w:r>
        <w:t xml:space="preserve"> ] </w:t>
      </w:r>
      <w:bookmarkEnd w:id="1286"/>
    </w:p>
    <w:p>
      <w:pPr>
        <w:pStyle w:val="Para 01"/>
      </w:pPr>
      <w:r>
        <w:t>Милгрэм, 135-47.</w:t>
      </w:r>
    </w:p>
    <w:p>
      <w:bookmarkStart w:id="1287" w:name="__534"/>
      <w:pPr>
        <w:pStyle w:val="Normal"/>
      </w:pPr>
      <w:r>
        <w:t>[</w:t>
      </w:r>
      <w:hyperlink w:anchor="534">
        <w:r>
          <w:rPr>
            <w:rStyle w:val="Text1"/>
          </w:rPr>
          <w:t>←534</w:t>
        </w:r>
      </w:hyperlink>
      <w:r>
        <w:t xml:space="preserve"> ] </w:t>
      </w:r>
      <w:bookmarkEnd w:id="1287"/>
    </w:p>
    <w:p>
      <w:pPr>
        <w:pStyle w:val="Para 01"/>
      </w:pPr>
      <w:r>
        <w:t>Милгрэм, 148-52.</w:t>
      </w:r>
    </w:p>
    <w:p>
      <w:bookmarkStart w:id="1288" w:name="__535"/>
      <w:pPr>
        <w:pStyle w:val="Normal"/>
      </w:pPr>
      <w:r>
        <w:t>[</w:t>
      </w:r>
      <w:hyperlink w:anchor="535">
        <w:r>
          <w:rPr>
            <w:rStyle w:val="Text1"/>
          </w:rPr>
          <w:t>←535</w:t>
        </w:r>
      </w:hyperlink>
      <w:r>
        <w:t xml:space="preserve"> ] </w:t>
      </w:r>
      <w:bookmarkEnd w:id="1288"/>
    </w:p>
    <w:p>
      <w:pPr>
        <w:pStyle w:val="Para 01"/>
      </w:pPr>
      <w:r>
        <w:t>Милгрэм, 7, 177.</w:t>
      </w:r>
    </w:p>
    <w:p>
      <w:bookmarkStart w:id="1289" w:name="__536"/>
      <w:pPr>
        <w:pStyle w:val="Normal"/>
      </w:pPr>
      <w:r>
        <w:t>[</w:t>
      </w:r>
      <w:hyperlink w:anchor="536">
        <w:r>
          <w:rPr>
            <w:rStyle w:val="Text1"/>
          </w:rPr>
          <w:t>←536</w:t>
        </w:r>
      </w:hyperlink>
      <w:r>
        <w:t xml:space="preserve"> ] </w:t>
      </w:r>
      <w:bookmarkEnd w:id="1289"/>
    </w:p>
    <w:p>
      <w:pPr>
        <w:pStyle w:val="Para 01"/>
      </w:pPr>
      <w:r>
        <w:t>Милгрэм, 9, 176-77.</w:t>
      </w:r>
    </w:p>
    <w:p>
      <w:bookmarkStart w:id="1290" w:name="__537"/>
      <w:pPr>
        <w:pStyle w:val="Normal"/>
      </w:pPr>
      <w:r>
        <w:t>[</w:t>
      </w:r>
      <w:hyperlink w:anchor="537">
        <w:r>
          <w:rPr>
            <w:rStyle w:val="Text1"/>
          </w:rPr>
          <w:t>←537</w:t>
        </w:r>
      </w:hyperlink>
      <w:r>
        <w:t xml:space="preserve"> ] </w:t>
      </w:r>
      <w:bookmarkEnd w:id="1290"/>
    </w:p>
    <w:p>
      <w:pPr>
        <w:pStyle w:val="Para 01"/>
      </w:pPr>
      <w:r>
        <w:t>Милгрэм, 113-15.</w:t>
      </w:r>
    </w:p>
    <w:p>
      <w:bookmarkStart w:id="1291" w:name="__538"/>
      <w:pPr>
        <w:pStyle w:val="Normal"/>
      </w:pPr>
      <w:r>
        <w:t>[</w:t>
      </w:r>
      <w:hyperlink w:anchor="538">
        <w:r>
          <w:rPr>
            <w:rStyle w:val="Text1"/>
          </w:rPr>
          <w:t>←538</w:t>
        </w:r>
      </w:hyperlink>
      <w:r>
        <w:t xml:space="preserve"> ] </w:t>
      </w:r>
      <w:bookmarkEnd w:id="1291"/>
    </w:p>
    <w:p>
      <w:pPr>
        <w:pStyle w:val="Para 01"/>
      </w:pPr>
      <w:r>
        <w:t>Стэнли Милгрэм, «</w:t>
        <w:t>Социальное Давление и Действия Против Личности» [</w:t>
        <w:t>Group Pressure and Action Against a Person</w:t>
        <w:t>]</w:t>
      </w:r>
      <w:r>
        <w:rPr>
          <w:rStyle w:val="Text0"/>
        </w:rPr>
        <w:t xml:space="preserve">, Journal of Abnormal and Social Psychology </w:t>
      </w:r>
      <w:r>
        <w:t>(1964):137-43.</w:t>
      </w:r>
    </w:p>
    <w:p>
      <w:bookmarkStart w:id="1292" w:name="__539"/>
      <w:pPr>
        <w:pStyle w:val="Normal"/>
      </w:pPr>
      <w:r>
        <w:t>[</w:t>
      </w:r>
      <w:hyperlink w:anchor="539">
        <w:r>
          <w:rPr>
            <w:rStyle w:val="Text1"/>
          </w:rPr>
          <w:t>←539</w:t>
        </w:r>
      </w:hyperlink>
      <w:r>
        <w:t xml:space="preserve"> ] </w:t>
      </w:r>
      <w:bookmarkEnd w:id="1292"/>
    </w:p>
    <w:p>
      <w:pPr>
        <w:pStyle w:val="Para 06"/>
      </w:pPr>
      <w:r>
        <w:rPr>
          <w:rStyle w:val="Text0"/>
        </w:rPr>
        <w:t xml:space="preserve">Милгрэм, </w:t>
      </w:r>
      <w:r>
        <w:t>Подчинение Авторитету</w:t>
      </w:r>
      <w:r>
        <w:rPr>
          <w:rStyle w:val="Text0"/>
        </w:rPr>
        <w:t>, 142.</w:t>
      </w:r>
    </w:p>
    <w:p>
      <w:bookmarkStart w:id="1293" w:name="__540"/>
      <w:pPr>
        <w:pStyle w:val="Normal"/>
      </w:pPr>
      <w:r>
        <w:t>[</w:t>
      </w:r>
      <w:hyperlink w:anchor="540">
        <w:r>
          <w:rPr>
            <w:rStyle w:val="Text1"/>
          </w:rPr>
          <w:t>←540</w:t>
        </w:r>
      </w:hyperlink>
      <w:r>
        <w:t xml:space="preserve"> ] </w:t>
      </w:r>
      <w:bookmarkEnd w:id="1293"/>
    </w:p>
    <w:p>
      <w:pPr>
        <w:pStyle w:val="Para 06"/>
      </w:pPr>
      <w:r>
        <w:rPr>
          <w:rStyle w:val="Text0"/>
        </w:rPr>
        <w:t xml:space="preserve">Милгрэм, </w:t>
      </w:r>
      <w:r>
        <w:t>Подчинение Авторитету</w:t>
      </w:r>
      <w:r>
        <w:rPr>
          <w:rStyle w:val="Text0"/>
        </w:rPr>
        <w:t>, 177.</w:t>
      </w:r>
    </w:p>
    <w:p>
      <w:bookmarkStart w:id="1294" w:name="__541"/>
      <w:pPr>
        <w:pStyle w:val="Normal"/>
      </w:pPr>
      <w:r>
        <w:t>[</w:t>
      </w:r>
      <w:hyperlink w:anchor="541">
        <w:r>
          <w:rPr>
            <w:rStyle w:val="Text1"/>
          </w:rPr>
          <w:t>←541</w:t>
        </w:r>
      </w:hyperlink>
      <w:r>
        <w:t xml:space="preserve"> ] </w:t>
      </w:r>
      <w:bookmarkEnd w:id="1294"/>
    </w:p>
    <w:p>
      <w:pPr>
        <w:pStyle w:val="Para 01"/>
      </w:pPr>
      <w:r>
        <w:t xml:space="preserve">Bernd Wegner, </w:t>
      </w:r>
      <w:r>
        <w:rPr>
          <w:rStyle w:val="Text0"/>
        </w:rPr>
        <w:t>Hitlers Politische Soldaten: Die Waffen-SS 1939-1945</w:t>
      </w:r>
      <w:r>
        <w:t xml:space="preserve"> (Paderborn, 1982); </w:t>
        <w:t>Краусник и Вильгельм</w:t>
        <w:t>.</w:t>
      </w:r>
    </w:p>
    <w:p>
      <w:bookmarkStart w:id="1295" w:name="__542"/>
      <w:pPr>
        <w:pStyle w:val="Normal"/>
      </w:pPr>
      <w:r>
        <w:t>[</w:t>
      </w:r>
      <w:hyperlink w:anchor="542">
        <w:r>
          <w:rPr>
            <w:rStyle w:val="Text1"/>
          </w:rPr>
          <w:t>←542</w:t>
        </w:r>
      </w:hyperlink>
      <w:r>
        <w:t xml:space="preserve"> ] </w:t>
      </w:r>
      <w:bookmarkEnd w:id="1295"/>
    </w:p>
    <w:p>
      <w:pPr>
        <w:pStyle w:val="Para 01"/>
      </w:pPr>
      <w:r>
        <w:t xml:space="preserve">Mischlinge </w:t>
      </w:r>
      <w:r>
        <w:rPr>
          <w:rStyle w:val="Text13"/>
        </w:rPr>
        <w:t>—</w:t>
      </w:r>
      <w:r>
        <w:t xml:space="preserve"> люди, с двумя еврейскими бабушками и дедушками.</w:t>
      </w:r>
    </w:p>
    <w:p>
      <w:bookmarkStart w:id="1296" w:name="__543"/>
      <w:pPr>
        <w:pStyle w:val="Normal"/>
      </w:pPr>
      <w:r>
        <w:t>[</w:t>
      </w:r>
      <w:hyperlink w:anchor="543">
        <w:r>
          <w:rPr>
            <w:rStyle w:val="Text1"/>
          </w:rPr>
          <w:t>←543</w:t>
        </w:r>
      </w:hyperlink>
      <w:r>
        <w:t xml:space="preserve"> ] </w:t>
      </w:r>
      <w:bookmarkEnd w:id="1296"/>
    </w:p>
    <w:p>
      <w:pPr>
        <w:pStyle w:val="Para 01"/>
      </w:pPr>
      <w:r>
        <w:t>О</w:t>
        <w:t>дин еврейский предок второго порядка</w:t>
      </w:r>
    </w:p>
    <w:p>
      <w:bookmarkStart w:id="1297" w:name="__544"/>
      <w:pPr>
        <w:pStyle w:val="Normal"/>
      </w:pPr>
      <w:r>
        <w:t>[</w:t>
      </w:r>
      <w:hyperlink w:anchor="544">
        <w:r>
          <w:rPr>
            <w:rStyle w:val="Text1"/>
          </w:rPr>
          <w:t>←544</w:t>
        </w:r>
      </w:hyperlink>
      <w:r>
        <w:t xml:space="preserve"> ] </w:t>
      </w:r>
      <w:bookmarkEnd w:id="1297"/>
    </w:p>
    <w:p>
      <w:pPr>
        <w:pStyle w:val="Para 01"/>
      </w:pPr>
      <w:r>
        <w:t>BA, R 19/467 (Директив</w:t>
        <w:t>s</w:t>
        <w:t xml:space="preserve"> Рейхсфюрера СС и главы немецкой полиции от 27 октября 1942 </w:t>
        <w:t>г.</w:t>
        <w:t xml:space="preserve"> и 6 апреля 1943 </w:t>
        <w:t>г.</w:t>
        <w:t xml:space="preserve">, подписаны Винкельманом </w:t>
        <w:t>[Winkelmann]</w:t>
        <w:t>).</w:t>
      </w:r>
    </w:p>
    <w:p>
      <w:bookmarkStart w:id="1298" w:name="__545"/>
      <w:pPr>
        <w:pStyle w:val="Normal"/>
      </w:pPr>
      <w:r>
        <w:t>[</w:t>
      </w:r>
      <w:hyperlink w:anchor="545">
        <w:r>
          <w:rPr>
            <w:rStyle w:val="Text1"/>
          </w:rPr>
          <w:t>←545</w:t>
        </w:r>
      </w:hyperlink>
      <w:r>
        <w:t xml:space="preserve"> ] </w:t>
      </w:r>
      <w:bookmarkEnd w:id="1298"/>
    </w:p>
    <w:p>
      <w:pPr>
        <w:pStyle w:val="Para 01"/>
      </w:pPr>
      <w:r>
        <w:t xml:space="preserve">BA, R 19/308 (рекомендации к тренировкам полицейских батальонов от 23 января 1940 </w:t>
        <w:t>г.</w:t>
        <w:t>).</w:t>
      </w:r>
    </w:p>
    <w:p>
      <w:bookmarkStart w:id="1299" w:name="__546"/>
      <w:pPr>
        <w:pStyle w:val="Normal"/>
      </w:pPr>
      <w:r>
        <w:t>[</w:t>
      </w:r>
      <w:hyperlink w:anchor="546">
        <w:r>
          <w:rPr>
            <w:rStyle w:val="Text1"/>
          </w:rPr>
          <w:t>←546</w:t>
        </w:r>
      </w:hyperlink>
      <w:r>
        <w:t xml:space="preserve"> ] </w:t>
      </w:r>
      <w:bookmarkEnd w:id="1299"/>
    </w:p>
    <w:p>
      <w:pPr>
        <w:pStyle w:val="Para 01"/>
      </w:pPr>
      <w:r>
        <w:t xml:space="preserve">BA, R 19/308 (рекомендации к тренировкам полицейских батальонов под руководством Полиции Охраны Рейха и </w:t>
        <w:t xml:space="preserve">сообществ от 6 марта </w:t>
        <w:t xml:space="preserve">1940 </w:t>
        <w:t>г.</w:t>
        <w:t>).</w:t>
      </w:r>
    </w:p>
    <w:p>
      <w:bookmarkStart w:id="1300" w:name="__547"/>
      <w:pPr>
        <w:pStyle w:val="Normal"/>
      </w:pPr>
      <w:r>
        <w:t>[</w:t>
      </w:r>
      <w:hyperlink w:anchor="547">
        <w:r>
          <w:rPr>
            <w:rStyle w:val="Text1"/>
          </w:rPr>
          <w:t>←547</w:t>
        </w:r>
      </w:hyperlink>
      <w:r>
        <w:t xml:space="preserve"> ] </w:t>
      </w:r>
      <w:bookmarkEnd w:id="1300"/>
    </w:p>
    <w:p>
      <w:pPr>
        <w:pStyle w:val="Para 01"/>
      </w:pPr>
      <w:r>
        <w:t>BA, R 19/308 (</w:t>
        <w:t>тренировки формирований Полиции Порядка и Резервной Полиции на участковом дежурстве [precint duty] от 20 декабря 1</w:t>
        <w:t xml:space="preserve">940 </w:t>
        <w:t>г.</w:t>
        <w:t>).</w:t>
      </w:r>
    </w:p>
    <w:p>
      <w:bookmarkStart w:id="1301" w:name="__548"/>
      <w:pPr>
        <w:pStyle w:val="Normal"/>
      </w:pPr>
      <w:r>
        <w:t>[</w:t>
      </w:r>
      <w:hyperlink w:anchor="548">
        <w:r>
          <w:rPr>
            <w:rStyle w:val="Text1"/>
          </w:rPr>
          <w:t>←548</w:t>
        </w:r>
      </w:hyperlink>
      <w:r>
        <w:t xml:space="preserve"> ] </w:t>
      </w:r>
      <w:bookmarkEnd w:id="1301"/>
    </w:p>
    <w:p>
      <w:pPr>
        <w:pStyle w:val="Para 01"/>
      </w:pPr>
      <w:r>
        <w:t>BA, R 19/308 (шести дневный учебный план).</w:t>
      </w:r>
    </w:p>
    <w:p>
      <w:bookmarkStart w:id="1302" w:name="__549"/>
      <w:pPr>
        <w:pStyle w:val="Normal"/>
      </w:pPr>
      <w:r>
        <w:t>[</w:t>
      </w:r>
      <w:hyperlink w:anchor="549">
        <w:r>
          <w:rPr>
            <w:rStyle w:val="Text1"/>
          </w:rPr>
          <w:t>←549</w:t>
        </w:r>
      </w:hyperlink>
      <w:r>
        <w:t xml:space="preserve"> ] </w:t>
      </w:r>
      <w:bookmarkEnd w:id="1302"/>
    </w:p>
    <w:p>
      <w:pPr>
        <w:pStyle w:val="Para 01"/>
      </w:pPr>
      <w:r>
        <w:t>BA, R 19/308 (учебный план для национал-социалистической инструкции от 14 января 1941).</w:t>
      </w:r>
    </w:p>
    <w:p>
      <w:bookmarkStart w:id="1303" w:name="__550"/>
      <w:pPr>
        <w:pStyle w:val="Normal"/>
      </w:pPr>
      <w:r>
        <w:t>[</w:t>
      </w:r>
      <w:hyperlink w:anchor="550">
        <w:r>
          <w:rPr>
            <w:rStyle w:val="Text1"/>
          </w:rPr>
          <w:t>←550</w:t>
        </w:r>
      </w:hyperlink>
      <w:r>
        <w:t xml:space="preserve"> ] </w:t>
      </w:r>
      <w:bookmarkEnd w:id="1303"/>
    </w:p>
    <w:p>
      <w:pPr>
        <w:pStyle w:val="Para 01"/>
      </w:pPr>
      <w:r>
        <w:t>BA, R 19/308 (рекомендации по проведению идеологической подготовки Полиции Порядка в военное время от 2 июня 1940).</w:t>
      </w:r>
    </w:p>
    <w:p>
      <w:bookmarkStart w:id="1304" w:name="__551"/>
      <w:pPr>
        <w:pStyle w:val="Normal"/>
      </w:pPr>
      <w:r>
        <w:t>[</w:t>
      </w:r>
      <w:hyperlink w:anchor="551">
        <w:r>
          <w:rPr>
            <w:rStyle w:val="Text1"/>
          </w:rPr>
          <w:t>←551</w:t>
        </w:r>
      </w:hyperlink>
      <w:r>
        <w:t xml:space="preserve"> ] </w:t>
      </w:r>
      <w:bookmarkEnd w:id="1304"/>
    </w:p>
    <w:p>
      <w:pPr>
        <w:pStyle w:val="Para 01"/>
      </w:pPr>
      <w:r>
        <w:t xml:space="preserve">YVA, 0-53/121 W I (KdO, Полицейское Подразделение 25, 17 декабря 1942 </w:t>
        <w:t>г.</w:t>
        <w:t>, Рождественское/новогоднее поздравление, подписано Питером).</w:t>
      </w:r>
    </w:p>
    <w:p>
      <w:bookmarkStart w:id="1305" w:name="__552"/>
      <w:pPr>
        <w:pStyle w:val="Normal"/>
      </w:pPr>
      <w:r>
        <w:t>[</w:t>
      </w:r>
      <w:hyperlink w:anchor="552">
        <w:r>
          <w:rPr>
            <w:rStyle w:val="Text1"/>
          </w:rPr>
          <w:t>←552</w:t>
        </w:r>
      </w:hyperlink>
      <w:r>
        <w:t xml:space="preserve"> ] </w:t>
      </w:r>
      <w:bookmarkEnd w:id="1305"/>
    </w:p>
    <w:p>
      <w:pPr>
        <w:pStyle w:val="Para 06"/>
      </w:pPr>
      <w:r>
        <w:rPr>
          <w:rStyle w:val="Text0"/>
        </w:rPr>
        <w:t xml:space="preserve">BA, RD 18/15-1, Gruppe A and 2, Gruppe B: </w:t>
      </w:r>
      <w:r>
        <w:t>Politscher Informationsdienst, Mitteilungsblätter für die weltanschauliche Schulung der Orpo</w:t>
      </w:r>
      <w:r>
        <w:rPr>
          <w:rStyle w:val="Text0"/>
        </w:rPr>
        <w:t>.</w:t>
      </w:r>
    </w:p>
    <w:p>
      <w:bookmarkStart w:id="1306" w:name="__553"/>
      <w:pPr>
        <w:pStyle w:val="Normal"/>
      </w:pPr>
      <w:r>
        <w:t>[</w:t>
      </w:r>
      <w:hyperlink w:anchor="553">
        <w:r>
          <w:rPr>
            <w:rStyle w:val="Text1"/>
          </w:rPr>
          <w:t>←553</w:t>
        </w:r>
      </w:hyperlink>
      <w:r>
        <w:t xml:space="preserve"> ] </w:t>
      </w:r>
      <w:bookmarkEnd w:id="1306"/>
    </w:p>
    <w:p>
      <w:pPr>
        <w:pStyle w:val="Para 01"/>
      </w:pPr>
      <w:r>
        <w:t>BA, RD 18/15-1, Gruppe A, Folge 16, June 10, 1941.</w:t>
      </w:r>
    </w:p>
    <w:p>
      <w:bookmarkStart w:id="1307" w:name="__554"/>
      <w:pPr>
        <w:pStyle w:val="Normal"/>
      </w:pPr>
      <w:r>
        <w:t>[</w:t>
      </w:r>
      <w:hyperlink w:anchor="554">
        <w:r>
          <w:rPr>
            <w:rStyle w:val="Text1"/>
          </w:rPr>
          <w:t>←554</w:t>
        </w:r>
      </w:hyperlink>
      <w:r>
        <w:t xml:space="preserve"> ] </w:t>
      </w:r>
      <w:bookmarkEnd w:id="1307"/>
    </w:p>
    <w:p>
      <w:pPr>
        <w:pStyle w:val="Para 01"/>
      </w:pPr>
      <w:r>
        <w:t>BA, RD 18/15-1, Gruppe A, Folge 27, December 1, 1941.</w:t>
      </w:r>
    </w:p>
    <w:p>
      <w:bookmarkStart w:id="1308" w:name="__555"/>
      <w:pPr>
        <w:pStyle w:val="Normal"/>
      </w:pPr>
      <w:r>
        <w:t>[</w:t>
      </w:r>
      <w:hyperlink w:anchor="555">
        <w:r>
          <w:rPr>
            <w:rStyle w:val="Text1"/>
          </w:rPr>
          <w:t>←555</w:t>
        </w:r>
      </w:hyperlink>
      <w:r>
        <w:t xml:space="preserve"> ] </w:t>
      </w:r>
      <w:bookmarkEnd w:id="1308"/>
    </w:p>
    <w:p>
      <w:pPr>
        <w:pStyle w:val="Para 01"/>
      </w:pPr>
      <w:r>
        <w:t>BA, RD 18/15-</w:t>
        <w:t>2</w:t>
        <w:t xml:space="preserve">, Gruppe </w:t>
        <w:t>B</w:t>
        <w:t>, Folge 2</w:t>
        <w:t>2</w:t>
        <w:t xml:space="preserve">, </w:t>
        <w:t>September 20</w:t>
        <w:t>, 194</w:t>
        <w:t>2</w:t>
        <w:t>.</w:t>
      </w:r>
    </w:p>
    <w:p>
      <w:bookmarkStart w:id="1309" w:name="__556"/>
      <w:pPr>
        <w:pStyle w:val="Normal"/>
      </w:pPr>
      <w:r>
        <w:t>[</w:t>
      </w:r>
      <w:hyperlink w:anchor="556">
        <w:r>
          <w:rPr>
            <w:rStyle w:val="Text1"/>
          </w:rPr>
          <w:t>←556</w:t>
        </w:r>
      </w:hyperlink>
      <w:r>
        <w:t xml:space="preserve"> ] </w:t>
      </w:r>
      <w:bookmarkEnd w:id="1309"/>
    </w:p>
    <w:p>
      <w:pPr>
        <w:pStyle w:val="Para 01"/>
      </w:pPr>
      <w:r>
        <w:t xml:space="preserve">BA, RD 18/42, </w:t>
      </w:r>
      <w:r>
        <w:rPr>
          <w:rStyle w:val="Text0"/>
        </w:rPr>
        <w:t>Schriftenreiche für die weltanschauliche Schulung der Ordnungspolizei,</w:t>
      </w:r>
      <w:r>
        <w:t xml:space="preserve"> 1941, Heft 5, «Die Blutsgemeinsschaft der germanischen V</w:t>
        <w:t>ölker” and “Das grossgermaniche Reich”.</w:t>
        <w:t xml:space="preserve"> </w:t>
      </w:r>
    </w:p>
    <w:p>
      <w:bookmarkStart w:id="1310" w:name="__557"/>
      <w:pPr>
        <w:pStyle w:val="Normal"/>
      </w:pPr>
      <w:r>
        <w:t>[</w:t>
      </w:r>
      <w:hyperlink w:anchor="557">
        <w:r>
          <w:rPr>
            <w:rStyle w:val="Text1"/>
          </w:rPr>
          <w:t>←557</w:t>
        </w:r>
      </w:hyperlink>
      <w:r>
        <w:t xml:space="preserve"> ] </w:t>
      </w:r>
      <w:bookmarkEnd w:id="1310"/>
    </w:p>
    <w:p>
      <w:pPr>
        <w:pStyle w:val="Para 01"/>
      </w:pPr>
      <w:r>
        <w:t>BA, RD 18/16, 1942, Heft 4, «Deutschland ordnet Europa neu!»; RD 18/19, 1942, Sonderheft, «SS-Mann and Blutsfrage».</w:t>
      </w:r>
    </w:p>
    <w:p>
      <w:bookmarkStart w:id="1311" w:name="__558"/>
      <w:pPr>
        <w:pStyle w:val="Normal"/>
      </w:pPr>
      <w:r>
        <w:t>[</w:t>
      </w:r>
      <w:hyperlink w:anchor="558">
        <w:r>
          <w:rPr>
            <w:rStyle w:val="Text1"/>
          </w:rPr>
          <w:t>←558</w:t>
        </w:r>
      </w:hyperlink>
      <w:r>
        <w:t xml:space="preserve"> ] </w:t>
      </w:r>
      <w:bookmarkEnd w:id="1311"/>
    </w:p>
    <w:p>
      <w:pPr>
        <w:pStyle w:val="Para 01"/>
      </w:pPr>
      <w:r>
        <w:t>BA, RD 19/41, 1943, Heft 4-6, «Rassenpolitik».</w:t>
      </w:r>
    </w:p>
    <w:p>
      <w:bookmarkStart w:id="1312" w:name="__559"/>
      <w:pPr>
        <w:pStyle w:val="Normal"/>
      </w:pPr>
      <w:r>
        <w:t>[</w:t>
      </w:r>
      <w:hyperlink w:anchor="559">
        <w:r>
          <w:rPr>
            <w:rStyle w:val="Text1"/>
          </w:rPr>
          <w:t>←559</w:t>
        </w:r>
      </w:hyperlink>
      <w:r>
        <w:t xml:space="preserve"> ] </w:t>
      </w:r>
      <w:bookmarkEnd w:id="1312"/>
    </w:p>
    <w:p>
      <w:pPr>
        <w:pStyle w:val="Para 01"/>
      </w:pPr>
      <w:r>
        <w:t xml:space="preserve">BA, R 19/395 (Рекомендации главы Полиции Порядка по борьбе с партизанами от 17 ноября 1941 </w:t>
        <w:t>г.</w:t>
        <w:t>).</w:t>
      </w:r>
    </w:p>
    <w:p>
      <w:bookmarkStart w:id="1313" w:name="__560"/>
      <w:pPr>
        <w:pStyle w:val="Normal"/>
      </w:pPr>
      <w:r>
        <w:t>[</w:t>
      </w:r>
      <w:hyperlink w:anchor="560">
        <w:r>
          <w:rPr>
            <w:rStyle w:val="Text1"/>
          </w:rPr>
          <w:t>←560</w:t>
        </w:r>
      </w:hyperlink>
      <w:r>
        <w:t xml:space="preserve"> ] </w:t>
      </w:r>
      <w:bookmarkEnd w:id="1313"/>
    </w:p>
    <w:p>
      <w:pPr>
        <w:pStyle w:val="Para 01"/>
      </w:pPr>
      <w:r>
        <w:t>Bruno D., HW 2992.</w:t>
      </w:r>
    </w:p>
    <w:p>
      <w:bookmarkStart w:id="1314" w:name="__561"/>
      <w:pPr>
        <w:pStyle w:val="Normal"/>
      </w:pPr>
      <w:r>
        <w:t>[</w:t>
      </w:r>
      <w:hyperlink w:anchor="561">
        <w:r>
          <w:rPr>
            <w:rStyle w:val="Text1"/>
          </w:rPr>
          <w:t>←561</w:t>
        </w:r>
      </w:hyperlink>
      <w:r>
        <w:t xml:space="preserve"> ] </w:t>
      </w:r>
      <w:bookmarkEnd w:id="1314"/>
    </w:p>
    <w:p>
      <w:pPr>
        <w:pStyle w:val="Para 01"/>
      </w:pPr>
      <w:r>
        <w:t>Gustav M., G 169.</w:t>
      </w:r>
    </w:p>
    <w:p>
      <w:bookmarkStart w:id="1315" w:name="__562"/>
      <w:pPr>
        <w:pStyle w:val="Normal"/>
      </w:pPr>
      <w:r>
        <w:t>[</w:t>
      </w:r>
      <w:hyperlink w:anchor="562">
        <w:r>
          <w:rPr>
            <w:rStyle w:val="Text1"/>
          </w:rPr>
          <w:t>←562</w:t>
        </w:r>
      </w:hyperlink>
      <w:r>
        <w:t xml:space="preserve"> ] </w:t>
      </w:r>
      <w:bookmarkEnd w:id="1315"/>
    </w:p>
    <w:p>
      <w:pPr>
        <w:pStyle w:val="Para 01"/>
      </w:pPr>
      <w:r>
        <w:t xml:space="preserve">Примо Леви, </w:t>
      </w:r>
      <w:r>
        <w:rPr>
          <w:rStyle w:val="Text0"/>
        </w:rPr>
        <w:t>The Drowned and the Saved</w:t>
      </w:r>
      <w:r>
        <w:t>, винтажное издание (Нью-Йорк, 1989), 36-69.</w:t>
      </w:r>
    </w:p>
    <w:p>
      <w:bookmarkStart w:id="1316" w:name="__563"/>
      <w:pPr>
        <w:pStyle w:val="Normal"/>
      </w:pPr>
      <w:r>
        <w:t>[</w:t>
      </w:r>
      <w:hyperlink w:anchor="563">
        <w:r>
          <w:rPr>
            <w:rStyle w:val="Text1"/>
          </w:rPr>
          <w:t>←563</w:t>
        </w:r>
      </w:hyperlink>
      <w:r>
        <w:t xml:space="preserve"> ] </w:t>
      </w:r>
      <w:bookmarkEnd w:id="1316"/>
    </w:p>
    <w:p>
      <w:pPr>
        <w:pStyle w:val="Para 01"/>
      </w:pPr>
      <w:r>
        <w:t xml:space="preserve">Дэниэл Джона Голдхаген (отсюда и далее просто Голдхаген), «Зло Банальности» [The Evil of Banality], </w:t>
      </w:r>
      <w:r>
        <w:rPr>
          <w:rStyle w:val="Text0"/>
        </w:rPr>
        <w:t>New Republic</w:t>
      </w:r>
      <w:r>
        <w:t xml:space="preserve"> (13 и 20 июля 1992-</w:t>
        <w:t>го</w:t>
        <w:t xml:space="preserve">), 49-52; Голдхаген, </w:t>
      </w:r>
      <w:r>
        <w:rPr>
          <w:rStyle w:val="Text0"/>
        </w:rPr>
        <w:t xml:space="preserve">Добровольные Палачи Гитлера: Обыкновенные Немцы и Холокост </w:t>
      </w:r>
      <w:r>
        <w:t>[</w:t>
      </w:r>
      <w:r>
        <w:rPr>
          <w:rStyle w:val="Text0"/>
        </w:rPr>
        <w:t>Hitler’s Willing Executioners: Ordinary Germans and the Holocaust</w:t>
      </w:r>
      <w:r>
        <w:t xml:space="preserve">](Нью-Йорк, 1996), содержит более тридцати сносок в обсуждении моей работы; Голдхаген «Ответ Моим Критикам: Мотивы, Причины и Алиби» [A Reply to My Critics: Motives, Causes and Alibis] </w:t>
      </w:r>
      <w:r>
        <w:rPr>
          <w:rStyle w:val="Text0"/>
        </w:rPr>
        <w:t xml:space="preserve">New Republic </w:t>
      </w:r>
      <w:r>
        <w:t xml:space="preserve">(3 декабря 1996 </w:t>
        <w:t>г.</w:t>
        <w:t>), 37-45; «Письмо Редактору» [Letter to the Editor].</w:t>
      </w:r>
      <w:r>
        <w:rPr>
          <w:rStyle w:val="Text0"/>
        </w:rPr>
        <w:t xml:space="preserve"> New Republic </w:t>
      </w:r>
      <w:r>
        <w:t>(10 февраля 1997), 4-5.</w:t>
        <w:t xml:space="preserve"> </w:t>
      </w:r>
    </w:p>
    <w:p>
      <w:pPr>
        <w:pStyle w:val="Para 01"/>
      </w:pPr>
      <w:r>
        <w:t xml:space="preserve">Голдхаген начал своё исследование в записях о </w:t>
      </w:r>
      <w:r>
        <w:rPr>
          <w:rStyle w:val="Text0"/>
        </w:rPr>
        <w:t>Staatsanwaltschaft</w:t>
      </w:r>
      <w:r>
        <w:t xml:space="preserve"> в Гамбурге несколькими месяцами спустя того, как я закончил свою работу там в мае 1989-</w:t>
        <w:t>го</w:t>
        <w:t>. Узнал он о моей работе над Полицейским Резервным Батальоном 101 не позднее осени 1989-</w:t>
        <w:t>го</w:t>
        <w:t>.</w:t>
      </w:r>
    </w:p>
    <w:p>
      <w:pPr>
        <w:pStyle w:val="Para 01"/>
        <w:pageBreakBefore w:val="on"/>
      </w:pPr>
      <w:r>
        <w:t xml:space="preserve"> В свою очередь, я критиковал работу Голдхагена: Кристофер Р. Браунинг(отсюда и далее просто Браунинг), «</w:t>
        <w:t xml:space="preserve">Добровольные Палачи Дэниэла Голдхагена» [Daniel Goldhagen’s Willing Executioners], History &amp; Memory 8/no. 1 (1996), 88-108; и «Человеческая Природа, Культура и Холокост» [Human Nature, Culture, and the Holocaust], </w:t>
      </w:r>
      <w:r>
        <w:rPr>
          <w:rStyle w:val="Text0"/>
        </w:rPr>
        <w:t>Chronicle of Higher Education</w:t>
      </w:r>
      <w:r>
        <w:t xml:space="preserve"> (18 октября 1996), A72. Так же в декабре 1993-</w:t>
        <w:t>го</w:t>
        <w:t xml:space="preserve"> на академическом симпозиуме в Мемориальном Музее Холокоста США нам удалось обменяться мнениями, но вышеперечисленные статьи к тому моменту ещё не были опубликованы.</w:t>
        <w:t xml:space="preserve"> </w:t>
      </w:r>
    </w:p>
    <w:p>
      <w:bookmarkStart w:id="1317" w:name="__564"/>
      <w:pPr>
        <w:pStyle w:val="Normal"/>
        <w:pageBreakBefore w:val="on"/>
      </w:pPr>
      <w:r>
        <w:t>[</w:t>
      </w:r>
      <w:hyperlink w:anchor="564">
        <w:r>
          <w:rPr>
            <w:rStyle w:val="Text1"/>
          </w:rPr>
          <w:t>←564</w:t>
        </w:r>
      </w:hyperlink>
      <w:r>
        <w:t xml:space="preserve"> ] </w:t>
      </w:r>
      <w:bookmarkEnd w:id="1317"/>
    </w:p>
    <w:p>
      <w:pPr>
        <w:pStyle w:val="Para 01"/>
      </w:pPr>
      <w:r>
        <w:t xml:space="preserve">Появились (прим. переводчика - на момент выхода книги) как минимум две антологии ответов на </w:t>
      </w:r>
      <w:r>
        <w:rPr>
          <w:rStyle w:val="Text0"/>
        </w:rPr>
        <w:t>Добровольных Палачей Гитлера</w:t>
      </w:r>
      <w:r>
        <w:t xml:space="preserve">: Julius H. Shoeps. ed. </w:t>
      </w:r>
      <w:r>
        <w:rPr>
          <w:rStyle w:val="Text0"/>
        </w:rPr>
        <w:t>Ein Volk Von Mördern?</w:t>
      </w:r>
      <w:r>
        <w:t xml:space="preserve"> (Hamburg, 1996), и Franklin H. Littell, ed. </w:t>
      </w:r>
      <w:r>
        <w:rPr>
          <w:rStyle w:val="Text0"/>
        </w:rPr>
        <w:t xml:space="preserve">Hyping the Holocaust: Scholars Answer the Holocaust </w:t>
      </w:r>
      <w:r>
        <w:t xml:space="preserve">(Merion Station, Ps., 1997). И ещё больше на подходе, судя по всему. Две самые детальные и постоянные критики </w:t>
      </w:r>
      <w:r>
        <w:rPr>
          <w:rStyle w:val="Text0"/>
        </w:rPr>
        <w:t>Добровольных Палачей Гитлера</w:t>
      </w:r>
      <w:r>
        <w:t xml:space="preserve"> это: </w:t>
        <w:t>Рут Беттина Бирн</w:t>
        <w:t>, «</w:t>
        <w:t>Пересмотр Холокоста» [</w:t>
        <w:t>Revising the Holocaust</w:t>
        <w:t>]</w:t>
        <w:t xml:space="preserve">, </w:t>
      </w:r>
      <w:r>
        <w:rPr>
          <w:rStyle w:val="Text0"/>
        </w:rPr>
        <w:t>Historical Journal</w:t>
      </w:r>
      <w:r>
        <w:t xml:space="preserve"> 40/no. 1(1997), 195-215; и Норман Финкельштейн «“Безумный тезис Дэниэла Голдхагена: Критика Добровольных Палачей Гитлера» [Daniel Goldhagen’s „Crazy“ Thesis: A Critique of </w:t>
      </w:r>
      <w:r>
        <w:rPr>
          <w:rStyle w:val="Text0"/>
        </w:rPr>
        <w:t>Hitler’s Willing Executioners</w:t>
      </w:r>
      <w:r>
        <w:t xml:space="preserve">», </w:t>
      </w:r>
      <w:r>
        <w:rPr>
          <w:rStyle w:val="Text0"/>
        </w:rPr>
        <w:t>New Left Review</w:t>
      </w:r>
      <w:r>
        <w:t xml:space="preserve"> 224 (1997):39-87. Другая детальная оценка от Dieter Pohl, «Die Holocaust — Forschung und Goldhagen’s Thesen», </w:t>
      </w:r>
      <w:r>
        <w:rPr>
          <w:rStyle w:val="Text0"/>
        </w:rPr>
        <w:t>Vierteljahrshef Für Zeitgeschichte</w:t>
      </w:r>
      <w:r>
        <w:t xml:space="preserve"> 45/1 (1997), 1-48.</w:t>
        <w:t xml:space="preserve"> </w:t>
      </w:r>
    </w:p>
    <w:p>
      <w:bookmarkStart w:id="1318" w:name="__565"/>
      <w:pPr>
        <w:pStyle w:val="Normal"/>
      </w:pPr>
      <w:r>
        <w:t>[</w:t>
      </w:r>
      <w:hyperlink w:anchor="565">
        <w:r>
          <w:rPr>
            <w:rStyle w:val="Text1"/>
          </w:rPr>
          <w:t>←565</w:t>
        </w:r>
      </w:hyperlink>
      <w:r>
        <w:t xml:space="preserve"> ] </w:t>
      </w:r>
      <w:bookmarkEnd w:id="1318"/>
    </w:p>
    <w:p>
      <w:pPr>
        <w:pStyle w:val="Para 01"/>
      </w:pPr>
      <w:r>
        <w:t>Рауль Хил</w:t>
        <w:t>ь</w:t>
        <w:t xml:space="preserve">берг, </w:t>
      </w:r>
      <w:r>
        <w:rPr>
          <w:rStyle w:val="Text0"/>
        </w:rPr>
        <w:t>The Destruction of the European Jews</w:t>
      </w:r>
      <w:r>
        <w:t>, цитата из пересмотренного и расширенного издания (Нью-Йорк, 1985), 1011, 994.</w:t>
      </w:r>
    </w:p>
    <w:p>
      <w:bookmarkStart w:id="1319" w:name="__566"/>
      <w:pPr>
        <w:pStyle w:val="Normal"/>
      </w:pPr>
      <w:r>
        <w:t>[</w:t>
      </w:r>
      <w:hyperlink w:anchor="566">
        <w:r>
          <w:rPr>
            <w:rStyle w:val="Text1"/>
          </w:rPr>
          <w:t>←566</w:t>
        </w:r>
      </w:hyperlink>
      <w:r>
        <w:t xml:space="preserve"> ] </w:t>
      </w:r>
      <w:bookmarkEnd w:id="1319"/>
    </w:p>
    <w:p>
      <w:pPr>
        <w:pStyle w:val="Para 01"/>
      </w:pPr>
      <w:r>
        <w:t>Herbert J</w:t>
        <w:t>ä</w:t>
        <w:t xml:space="preserve">ger, </w:t>
      </w:r>
      <w:r>
        <w:rPr>
          <w:rStyle w:val="Text0"/>
        </w:rPr>
        <w:t>Verbrechen unter totalit</w:t>
        <w:t>ä</w:t>
        <w:t>rer Herrschaft</w:t>
      </w:r>
      <w:r>
        <w:t xml:space="preserve"> (Frankfurt/M., 1982), 81-82, 95-122, 158-60.</w:t>
        <w:t xml:space="preserve"> </w:t>
      </w:r>
    </w:p>
    <w:p>
      <w:bookmarkStart w:id="1320" w:name="__567"/>
      <w:pPr>
        <w:pStyle w:val="Normal"/>
      </w:pPr>
      <w:r>
        <w:t>[</w:t>
      </w:r>
      <w:hyperlink w:anchor="567">
        <w:r>
          <w:rPr>
            <w:rStyle w:val="Text1"/>
          </w:rPr>
          <w:t>←567</w:t>
        </w:r>
      </w:hyperlink>
      <w:r>
        <w:t xml:space="preserve"> ] </w:t>
      </w:r>
      <w:bookmarkEnd w:id="1320"/>
    </w:p>
    <w:p>
      <w:pPr>
        <w:pStyle w:val="Para 06"/>
      </w:pPr>
      <w:r>
        <w:rPr>
          <w:rStyle w:val="Text0"/>
        </w:rPr>
        <w:t xml:space="preserve">Голдхаген, </w:t>
      </w:r>
      <w:r>
        <w:t>Добровольные Палачи</w:t>
      </w:r>
      <w:r>
        <w:rPr>
          <w:rStyle w:val="Text0"/>
        </w:rPr>
        <w:t>, 106.</w:t>
      </w:r>
    </w:p>
    <w:p>
      <w:bookmarkStart w:id="1321" w:name="__568"/>
      <w:pPr>
        <w:pStyle w:val="Normal"/>
      </w:pPr>
      <w:r>
        <w:t>[</w:t>
      </w:r>
      <w:hyperlink w:anchor="568">
        <w:r>
          <w:rPr>
            <w:rStyle w:val="Text1"/>
          </w:rPr>
          <w:t>←568</w:t>
        </w:r>
      </w:hyperlink>
      <w:r>
        <w:t xml:space="preserve"> ] </w:t>
      </w:r>
      <w:bookmarkEnd w:id="1321"/>
    </w:p>
    <w:p>
      <w:pPr>
        <w:pStyle w:val="Para 06"/>
      </w:pPr>
      <w:r>
        <w:rPr>
          <w:rStyle w:val="Text0"/>
        </w:rPr>
        <w:t xml:space="preserve">Голдхаген, </w:t>
      </w:r>
      <w:r>
        <w:t>Добровольные Палачи</w:t>
      </w:r>
      <w:r>
        <w:rPr>
          <w:rStyle w:val="Text0"/>
        </w:rPr>
        <w:t>, 85.</w:t>
      </w:r>
    </w:p>
    <w:p>
      <w:bookmarkStart w:id="1322" w:name="__569"/>
      <w:pPr>
        <w:pStyle w:val="Normal"/>
      </w:pPr>
      <w:r>
        <w:t>[</w:t>
      </w:r>
      <w:hyperlink w:anchor="569">
        <w:r>
          <w:rPr>
            <w:rStyle w:val="Text1"/>
          </w:rPr>
          <w:t>←569</w:t>
        </w:r>
      </w:hyperlink>
      <w:r>
        <w:t xml:space="preserve"> ] </w:t>
      </w:r>
      <w:bookmarkEnd w:id="1322"/>
    </w:p>
    <w:p>
      <w:pPr>
        <w:pStyle w:val="Para 01"/>
      </w:pPr>
      <w:r>
        <w:t xml:space="preserve">Голдхаген, </w:t>
      </w:r>
      <w:r>
        <w:rPr>
          <w:rStyle w:val="Text0"/>
        </w:rPr>
        <w:t>Добровольные Палачи</w:t>
      </w:r>
      <w:r>
        <w:t>, 399, 443.</w:t>
      </w:r>
    </w:p>
    <w:p>
      <w:bookmarkStart w:id="1323" w:name="__570"/>
      <w:pPr>
        <w:pStyle w:val="Normal"/>
      </w:pPr>
      <w:r>
        <w:t>[</w:t>
      </w:r>
      <w:hyperlink w:anchor="570">
        <w:r>
          <w:rPr>
            <w:rStyle w:val="Text1"/>
          </w:rPr>
          <w:t>←570</w:t>
        </w:r>
      </w:hyperlink>
      <w:r>
        <w:t xml:space="preserve"> ] </w:t>
      </w:r>
      <w:bookmarkEnd w:id="1323"/>
    </w:p>
    <w:p>
      <w:pPr>
        <w:pStyle w:val="Para 01"/>
      </w:pPr>
      <w:r>
        <w:t xml:space="preserve">Голдхаген, </w:t>
      </w:r>
      <w:r>
        <w:rPr>
          <w:rStyle w:val="Text0"/>
        </w:rPr>
        <w:t>Добровольные Палачи</w:t>
      </w:r>
      <w:r>
        <w:t>, 39, 43.</w:t>
      </w:r>
    </w:p>
    <w:p>
      <w:bookmarkStart w:id="1324" w:name="__571"/>
      <w:pPr>
        <w:pStyle w:val="Normal"/>
      </w:pPr>
      <w:r>
        <w:t>[</w:t>
      </w:r>
      <w:hyperlink w:anchor="571">
        <w:r>
          <w:rPr>
            <w:rStyle w:val="Text1"/>
          </w:rPr>
          <w:t>←571</w:t>
        </w:r>
      </w:hyperlink>
      <w:r>
        <w:t xml:space="preserve"> ] </w:t>
      </w:r>
      <w:bookmarkEnd w:id="1324"/>
    </w:p>
    <w:p>
      <w:pPr>
        <w:pStyle w:val="Para 01"/>
      </w:pPr>
      <w:r>
        <w:t>П</w:t>
        <w:t xml:space="preserve">рим. </w:t>
        <w:t>п</w:t>
        <w:t xml:space="preserve">ереводчика — термин, введённый Голдхагеном. От слова «elimination» - элиминация). </w:t>
        <w:t>Подразумевается склонность к истреблению, уничтожению, выселению или какому-то другому способу «избавления» или «очищения» от некой группы людей, в данном случае — евреев.</w:t>
        <w:t xml:space="preserve"> </w:t>
      </w:r>
    </w:p>
    <w:p>
      <w:bookmarkStart w:id="1325" w:name="__572"/>
      <w:pPr>
        <w:pStyle w:val="Normal"/>
      </w:pPr>
      <w:r>
        <w:t>[</w:t>
      </w:r>
      <w:hyperlink w:anchor="572">
        <w:r>
          <w:rPr>
            <w:rStyle w:val="Text1"/>
          </w:rPr>
          <w:t>←572</w:t>
        </w:r>
      </w:hyperlink>
      <w:r>
        <w:t xml:space="preserve"> ] </w:t>
      </w:r>
      <w:bookmarkEnd w:id="1325"/>
    </w:p>
    <w:p>
      <w:pPr>
        <w:pStyle w:val="Para 01"/>
      </w:pPr>
      <w:r>
        <w:t xml:space="preserve">Голдхаген, </w:t>
      </w:r>
      <w:r>
        <w:rPr>
          <w:rStyle w:val="Text0"/>
        </w:rPr>
        <w:t>Добровольные Палачи</w:t>
      </w:r>
      <w:r>
        <w:t>, 582, сноска 38; 593-94, сноска 53.</w:t>
      </w:r>
    </w:p>
    <w:p>
      <w:bookmarkStart w:id="1326" w:name="__573"/>
      <w:pPr>
        <w:pStyle w:val="Normal"/>
      </w:pPr>
      <w:r>
        <w:t>[</w:t>
      </w:r>
      <w:hyperlink w:anchor="573">
        <w:r>
          <w:rPr>
            <w:rStyle w:val="Text1"/>
          </w:rPr>
          <w:t>←573</w:t>
        </w:r>
      </w:hyperlink>
      <w:r>
        <w:t xml:space="preserve"> ] </w:t>
      </w:r>
      <w:bookmarkEnd w:id="1326"/>
    </w:p>
    <w:p>
      <w:pPr>
        <w:pStyle w:val="Para 01"/>
      </w:pPr>
      <w:r>
        <w:t xml:space="preserve">Голдхаген, </w:t>
      </w:r>
      <w:r>
        <w:rPr>
          <w:rStyle w:val="Text0"/>
        </w:rPr>
        <w:t>Добровольные Палачи</w:t>
      </w:r>
      <w:r>
        <w:t>, 35-36.</w:t>
      </w:r>
    </w:p>
    <w:p>
      <w:bookmarkStart w:id="1327" w:name="__574"/>
      <w:pPr>
        <w:pStyle w:val="Normal"/>
      </w:pPr>
      <w:r>
        <w:t>[</w:t>
      </w:r>
      <w:hyperlink w:anchor="574">
        <w:r>
          <w:rPr>
            <w:rStyle w:val="Text1"/>
          </w:rPr>
          <w:t>←574</w:t>
        </w:r>
      </w:hyperlink>
      <w:r>
        <w:t xml:space="preserve"> ] </w:t>
      </w:r>
      <w:bookmarkEnd w:id="1327"/>
    </w:p>
    <w:p>
      <w:pPr>
        <w:pStyle w:val="Para 06"/>
      </w:pPr>
      <w:r>
        <w:rPr>
          <w:rStyle w:val="Text0"/>
        </w:rPr>
        <w:t xml:space="preserve">Голдхаген, </w:t>
      </w:r>
      <w:r>
        <w:t>Добровольные Палачи</w:t>
      </w:r>
      <w:r>
        <w:rPr>
          <w:rStyle w:val="Text0"/>
        </w:rPr>
        <w:t>, 444.</w:t>
      </w:r>
    </w:p>
    <w:p>
      <w:bookmarkStart w:id="1328" w:name="__575"/>
      <w:pPr>
        <w:pStyle w:val="Normal"/>
      </w:pPr>
      <w:r>
        <w:t>[</w:t>
      </w:r>
      <w:hyperlink w:anchor="575">
        <w:r>
          <w:rPr>
            <w:rStyle w:val="Text1"/>
          </w:rPr>
          <w:t>←575</w:t>
        </w:r>
      </w:hyperlink>
      <w:r>
        <w:t xml:space="preserve"> ] </w:t>
      </w:r>
      <w:bookmarkEnd w:id="1328"/>
    </w:p>
    <w:p>
      <w:pPr>
        <w:pStyle w:val="Para 01"/>
      </w:pPr>
      <w:r>
        <w:t>Ханс-Ульрих Велер [</w:t>
        <w:t>Hans-Ulrich Wehler</w:t>
        <w:t>]</w:t>
        <w:t>,</w:t>
      </w:r>
      <w:r>
        <w:rPr>
          <w:rStyle w:val="Text0"/>
        </w:rPr>
        <w:t xml:space="preserve"> </w:t>
        <w:t xml:space="preserve">Немецкая Империя </w:t>
      </w:r>
      <w:r>
        <w:t>[</w:t>
        <w:t>The</w:t>
      </w:r>
      <w:r>
        <w:rPr>
          <w:rStyle w:val="Text0"/>
        </w:rPr>
        <w:t xml:space="preserve"> German Empire</w:t>
      </w:r>
      <w:r>
        <w:t>]</w:t>
        <w:t xml:space="preserve"> (</w:t>
        <w:t>Лемингтон Спа</w:t>
        <w:t xml:space="preserve">, 1985). James </w:t>
        <w:t>Retallack, «</w:t>
        <w:t xml:space="preserve">Social History with a Vengeance? Some Reactions to H-U Wehler’s „Das Kaiserreich“», </w:t>
      </w:r>
      <w:r>
        <w:rPr>
          <w:rStyle w:val="Text0"/>
        </w:rPr>
        <w:t>German Studies Review</w:t>
      </w:r>
      <w:r>
        <w:t xml:space="preserve">, 7/no. 3 (1984), </w:t>
        <w:t xml:space="preserve">423-50. Roger Fletcher, «Recent Development in West German Historiography: The Bielefeld School and Its Critics», </w:t>
      </w:r>
      <w:r>
        <w:rPr>
          <w:rStyle w:val="Text0"/>
        </w:rPr>
        <w:t xml:space="preserve">German Studies Review, </w:t>
      </w:r>
      <w:r>
        <w:t>7/no. 3 (1984), 451-80.</w:t>
        <w:t xml:space="preserve"> </w:t>
      </w:r>
    </w:p>
    <w:p>
      <w:bookmarkStart w:id="1329" w:name="__576"/>
      <w:pPr>
        <w:pStyle w:val="Normal"/>
      </w:pPr>
      <w:r>
        <w:t>[</w:t>
      </w:r>
      <w:hyperlink w:anchor="576">
        <w:r>
          <w:rPr>
            <w:rStyle w:val="Text1"/>
          </w:rPr>
          <w:t>←576</w:t>
        </w:r>
      </w:hyperlink>
      <w:r>
        <w:t xml:space="preserve"> ] </w:t>
      </w:r>
      <w:bookmarkEnd w:id="1329"/>
    </w:p>
    <w:p>
      <w:pPr>
        <w:pStyle w:val="Para 01"/>
      </w:pPr>
      <w:r>
        <w:t>Джордж Мосс</w:t>
        <w:t xml:space="preserve">, </w:t>
      </w:r>
      <w:r>
        <w:rPr>
          <w:rStyle w:val="Text0"/>
        </w:rPr>
        <w:t xml:space="preserve">Кризис Немецкой Идеологии </w:t>
      </w:r>
      <w:r>
        <w:t>[</w:t>
      </w:r>
      <w:r>
        <w:rPr>
          <w:rStyle w:val="Text0"/>
        </w:rPr>
        <w:t>The Crisis of German Ideology</w:t>
      </w:r>
      <w:r>
        <w:t xml:space="preserve">] </w:t>
        <w:t>(</w:t>
        <w:t>Нью-Йорк</w:t>
        <w:t xml:space="preserve">, 1964); </w:t>
        <w:t>Фриц Штерн [</w:t>
        <w:t>Fritz Stern</w:t>
        <w:t>]</w:t>
        <w:t xml:space="preserve">, </w:t>
      </w:r>
      <w:r>
        <w:rPr>
          <w:rStyle w:val="Text0"/>
        </w:rPr>
        <w:t xml:space="preserve">Политика Культурного Отчаяния </w:t>
      </w:r>
      <w:r>
        <w:t>[</w:t>
      </w:r>
      <w:r>
        <w:rPr>
          <w:rStyle w:val="Text0"/>
        </w:rPr>
        <w:t>The Politics of Cultural Despair</w:t>
      </w:r>
      <w:r>
        <w:t xml:space="preserve">] </w:t>
        <w:t>(</w:t>
        <w:t>Беркли</w:t>
        <w:t xml:space="preserve">, 1961); </w:t>
        <w:t>Джеффри Херф [</w:t>
        <w:t>Jeffrey Herf</w:t>
        <w:t>]</w:t>
        <w:t xml:space="preserve">, </w:t>
      </w:r>
      <w:r>
        <w:rPr>
          <w:rStyle w:val="Text0"/>
        </w:rPr>
        <w:t xml:space="preserve">Реакционный Модернизм: Технология, Культура и Политика в Веймаре и Третьем Рейхе </w:t>
      </w:r>
      <w:r>
        <w:t>[</w:t>
      </w:r>
      <w:r>
        <w:rPr>
          <w:rStyle w:val="Text0"/>
        </w:rPr>
        <w:t>Reactionary Modernism: Technology, Culture and Politics in Weimar and the Third Reich</w:t>
        <w:t>]</w:t>
        <w:t xml:space="preserve"> </w:t>
      </w:r>
      <w:r>
        <w:t>(</w:t>
        <w:t>Кембридж</w:t>
        <w:t xml:space="preserve">, 1984), </w:t>
        <w:t>и скоро выйдет «</w:t>
        <w:t>Переосмысление Реакционного Модернизма: Современность, Запад и Нацисты» [</w:t>
        <w:t>Reactionary Modernism Reconsidered: Modernity, the West and the Nazis</w:t>
        <w:t xml:space="preserve">] </w:t>
        <w:t xml:space="preserve">(прим. Переводчика — вышла в 1996, </w:t>
        <w:t>ред. Zeev Sternhell).</w:t>
        <w:t xml:space="preserve"> </w:t>
      </w:r>
    </w:p>
    <w:p>
      <w:bookmarkStart w:id="1330" w:name="__577"/>
      <w:pPr>
        <w:pStyle w:val="Normal"/>
      </w:pPr>
      <w:r>
        <w:t>[</w:t>
      </w:r>
      <w:hyperlink w:anchor="577">
        <w:r>
          <w:rPr>
            <w:rStyle w:val="Text1"/>
          </w:rPr>
          <w:t>←577</w:t>
        </w:r>
      </w:hyperlink>
      <w:r>
        <w:t xml:space="preserve"> ] </w:t>
      </w:r>
      <w:bookmarkEnd w:id="1330"/>
    </w:p>
    <w:p>
      <w:pPr>
        <w:pStyle w:val="Para 06"/>
      </w:pPr>
      <w:r>
        <w:rPr>
          <w:rStyle w:val="Text0"/>
        </w:rPr>
        <w:t>Джон Вайс [John Weiss]</w:t>
        <w:t xml:space="preserve">, </w:t>
      </w:r>
      <w:r>
        <w:t xml:space="preserve">Идеология Смерти: Почему Холокост Случился в Германии </w:t>
      </w:r>
      <w:r>
        <w:rPr>
          <w:rStyle w:val="Text0"/>
        </w:rPr>
        <w:t>[</w:t>
      </w:r>
      <w:r>
        <w:t>Ideology of Death: Why the Holocaust Happened in Germany</w:t>
      </w:r>
      <w:r>
        <w:rPr>
          <w:rStyle w:val="Text0"/>
        </w:rPr>
        <w:t>]</w:t>
        <w:t xml:space="preserve"> (</w:t>
        <w:t>Чикаго</w:t>
        <w:t>, 1996).</w:t>
      </w:r>
    </w:p>
    <w:p>
      <w:bookmarkStart w:id="1331" w:name="__578"/>
      <w:pPr>
        <w:pStyle w:val="Normal"/>
      </w:pPr>
      <w:r>
        <w:t>[</w:t>
      </w:r>
      <w:hyperlink w:anchor="578">
        <w:r>
          <w:rPr>
            <w:rStyle w:val="Text1"/>
          </w:rPr>
          <w:t>←578</w:t>
        </w:r>
      </w:hyperlink>
      <w:r>
        <w:t xml:space="preserve"> ] </w:t>
      </w:r>
      <w:bookmarkEnd w:id="1331"/>
    </w:p>
    <w:p>
      <w:pPr>
        <w:pStyle w:val="Para 01"/>
      </w:pPr>
      <w:r>
        <w:t xml:space="preserve">Шуламит Волкова </w:t>
        <w:t>[Shulamit Volkov]</w:t>
        <w:t xml:space="preserve">, «Антисемитизм как Культурный Код» [Anti-Semitism as a Cultural Code], </w:t>
      </w:r>
      <w:r>
        <w:rPr>
          <w:rStyle w:val="Text0"/>
        </w:rPr>
        <w:t>Leo Baeck Institute Yearbook</w:t>
      </w:r>
      <w:r>
        <w:t xml:space="preserve">, 23 (1978), 25-46. Также смотри: Peter Pulzer, </w:t>
      </w:r>
      <w:r>
        <w:rPr>
          <w:rStyle w:val="Text0"/>
        </w:rPr>
        <w:t xml:space="preserve">The Rise of Political Anti-Semitism in Germany and Austria </w:t>
      </w:r>
      <w:r>
        <w:t>(London, 1964).</w:t>
      </w:r>
    </w:p>
    <w:p>
      <w:bookmarkStart w:id="1332" w:name="__579"/>
      <w:pPr>
        <w:pStyle w:val="Normal"/>
      </w:pPr>
      <w:r>
        <w:t>[</w:t>
      </w:r>
      <w:hyperlink w:anchor="579">
        <w:r>
          <w:rPr>
            <w:rStyle w:val="Text1"/>
          </w:rPr>
          <w:t>←579</w:t>
        </w:r>
      </w:hyperlink>
      <w:r>
        <w:t xml:space="preserve"> ] </w:t>
      </w:r>
      <w:bookmarkEnd w:id="1332"/>
    </w:p>
    <w:p>
      <w:pPr>
        <w:pStyle w:val="Para 01"/>
      </w:pPr>
      <w:r>
        <w:t>History of Anti-Semitism List, 5.15.96.</w:t>
      </w:r>
    </w:p>
    <w:p>
      <w:bookmarkStart w:id="1333" w:name="__580"/>
      <w:pPr>
        <w:pStyle w:val="Normal"/>
      </w:pPr>
      <w:r>
        <w:t>[</w:t>
      </w:r>
      <w:hyperlink w:anchor="580">
        <w:r>
          <w:rPr>
            <w:rStyle w:val="Text1"/>
          </w:rPr>
          <w:t>←580</w:t>
        </w:r>
      </w:hyperlink>
      <w:r>
        <w:t xml:space="preserve"> ] </w:t>
      </w:r>
      <w:bookmarkEnd w:id="1333"/>
    </w:p>
    <w:p>
      <w:pPr>
        <w:pStyle w:val="Para 01"/>
      </w:pPr>
      <w:r>
        <w:t>Гэвин И. Ленгмюр [</w:t>
        <w:t>Gavin Langmuir</w:t>
        <w:t>]</w:t>
        <w:t>, «</w:t>
        <w:t>Пролегомены к Любым Существующим Анализам Враждебности к Евреям» [</w:t>
        <w:t>Prolegomena to Any Present Analysis of Hostility Against the Jews</w:t>
        <w:t>]</w:t>
        <w:t xml:space="preserve">, </w:t>
        <w:t>перепечатано в</w:t>
        <w:t xml:space="preserve"> </w:t>
      </w:r>
      <w:r>
        <w:rPr>
          <w:rStyle w:val="Text0"/>
        </w:rPr>
        <w:t>The Nazi Holocaust</w:t>
      </w:r>
      <w:r>
        <w:t xml:space="preserve">, vol. 2, </w:t>
        <w:t>ред</w:t>
        <w:t xml:space="preserve">. </w:t>
        <w:t xml:space="preserve">Майкл Маррус </w:t>
        <w:t>(</w:t>
        <w:t>Уэстпорт, Коннектикут</w:t>
        <w:t xml:space="preserve">, 1989), 133-171, </w:t>
        <w:t xml:space="preserve">особенно </w:t>
        <w:t xml:space="preserve">150-154; </w:t>
        <w:t>и «От Анти-Идудаизма к Анти-Семитизму» [</w:t>
        <w:t>From Anti-Judaism to Anti-Semitism</w:t>
        <w:t>]</w:t>
        <w:t xml:space="preserve">, </w:t>
      </w:r>
      <w:r>
        <w:rPr>
          <w:rStyle w:val="Text0"/>
        </w:rPr>
        <w:t>History, Religion and Antisemitism</w:t>
      </w:r>
      <w:r>
        <w:t xml:space="preserve"> (</w:t>
        <w:t>Беркли</w:t>
        <w:t xml:space="preserve">, 1990), 275-305, </w:t>
        <w:t>особенно</w:t>
        <w:t xml:space="preserve"> 289-97.</w:t>
        <w:t xml:space="preserve"> </w:t>
      </w:r>
    </w:p>
    <w:p>
      <w:bookmarkStart w:id="1334" w:name="__581"/>
      <w:pPr>
        <w:pStyle w:val="Normal"/>
      </w:pPr>
      <w:r>
        <w:t>[</w:t>
      </w:r>
      <w:hyperlink w:anchor="581">
        <w:r>
          <w:rPr>
            <w:rStyle w:val="Text1"/>
          </w:rPr>
          <w:t>←581</w:t>
        </w:r>
      </w:hyperlink>
      <w:r>
        <w:t xml:space="preserve"> ] </w:t>
      </w:r>
      <w:bookmarkEnd w:id="1334"/>
    </w:p>
    <w:p>
      <w:pPr>
        <w:pStyle w:val="Para 06"/>
      </w:pPr>
      <w:r>
        <w:rPr>
          <w:rStyle w:val="Text0"/>
        </w:rPr>
        <w:t xml:space="preserve">Саул Фридлендер, </w:t>
      </w:r>
      <w:r>
        <w:t xml:space="preserve">Нацистская Германия и Евреи </w:t>
      </w:r>
      <w:r>
        <w:rPr>
          <w:rStyle w:val="Text0"/>
        </w:rPr>
        <w:t>[</w:t>
      </w:r>
      <w:r>
        <w:t>Nazi Germany and the Jews</w:t>
      </w:r>
      <w:r>
        <w:rPr>
          <w:rStyle w:val="Text0"/>
        </w:rPr>
        <w:t>] (Нью-Йорк, 1997), 73-112.</w:t>
        <w:t xml:space="preserve"> </w:t>
      </w:r>
    </w:p>
    <w:p>
      <w:bookmarkStart w:id="1335" w:name="__582"/>
      <w:pPr>
        <w:pStyle w:val="Normal"/>
      </w:pPr>
      <w:r>
        <w:t>[</w:t>
      </w:r>
      <w:hyperlink w:anchor="582">
        <w:r>
          <w:rPr>
            <w:rStyle w:val="Text1"/>
          </w:rPr>
          <w:t>←582</w:t>
        </w:r>
      </w:hyperlink>
      <w:r>
        <w:t xml:space="preserve"> ] </w:t>
      </w:r>
      <w:bookmarkEnd w:id="1335"/>
    </w:p>
    <w:p>
      <w:pPr>
        <w:pStyle w:val="Para 01"/>
      </w:pPr>
      <w:r>
        <w:t>Голдхаген, «Ответ Моим Критикам» [Reply to My Critics], 41.</w:t>
      </w:r>
    </w:p>
    <w:p>
      <w:bookmarkStart w:id="1336" w:name="__583"/>
      <w:pPr>
        <w:pStyle w:val="Normal"/>
      </w:pPr>
      <w:r>
        <w:t>[</w:t>
      </w:r>
      <w:hyperlink w:anchor="583">
        <w:r>
          <w:rPr>
            <w:rStyle w:val="Text1"/>
          </w:rPr>
          <w:t>←583</w:t>
        </w:r>
      </w:hyperlink>
      <w:r>
        <w:t xml:space="preserve"> ] </w:t>
      </w:r>
      <w:bookmarkEnd w:id="1336"/>
    </w:p>
    <w:p>
      <w:pPr>
        <w:pStyle w:val="Para 01"/>
      </w:pPr>
      <w:r>
        <w:t xml:space="preserve">Голдхаген, </w:t>
      </w:r>
      <w:r>
        <w:rPr>
          <w:rStyle w:val="Text0"/>
        </w:rPr>
        <w:t>Добровольные Палачи</w:t>
      </w:r>
      <w:r>
        <w:t>, 399, 85.</w:t>
        <w:t xml:space="preserve"> </w:t>
      </w:r>
    </w:p>
    <w:p>
      <w:bookmarkStart w:id="1337" w:name="__584"/>
      <w:pPr>
        <w:pStyle w:val="Normal"/>
      </w:pPr>
      <w:r>
        <w:t>[</w:t>
      </w:r>
      <w:hyperlink w:anchor="584">
        <w:r>
          <w:rPr>
            <w:rStyle w:val="Text1"/>
          </w:rPr>
          <w:t>←584</w:t>
        </w:r>
      </w:hyperlink>
      <w:r>
        <w:t xml:space="preserve"> ] </w:t>
      </w:r>
      <w:bookmarkEnd w:id="1337"/>
    </w:p>
    <w:p>
      <w:pPr>
        <w:pStyle w:val="Para 01"/>
      </w:pPr>
      <w:r>
        <w:t xml:space="preserve">William Sheridan Allen, </w:t>
      </w:r>
      <w:r>
        <w:rPr>
          <w:rStyle w:val="Text0"/>
        </w:rPr>
        <w:t xml:space="preserve">Захват Власти Нацистами </w:t>
      </w:r>
      <w:r>
        <w:t>[</w:t>
      </w:r>
      <w:r>
        <w:rPr>
          <w:rStyle w:val="Text0"/>
        </w:rPr>
        <w:t>The Nazi Seizure of Power</w:t>
      </w:r>
      <w:r>
        <w:t>]</w:t>
        <w:t xml:space="preserve"> (</w:t>
        <w:t>Исправленное издание</w:t>
        <w:t xml:space="preserve">: </w:t>
        <w:t>Нью-Йорк</w:t>
        <w:t>, 1984), 84.</w:t>
        <w:t xml:space="preserve"> </w:t>
      </w:r>
    </w:p>
    <w:p>
      <w:bookmarkStart w:id="1338" w:name="__585"/>
      <w:pPr>
        <w:pStyle w:val="Normal"/>
      </w:pPr>
      <w:r>
        <w:t>[</w:t>
      </w:r>
      <w:hyperlink w:anchor="585">
        <w:r>
          <w:rPr>
            <w:rStyle w:val="Text1"/>
          </w:rPr>
          <w:t>←585</w:t>
        </w:r>
      </w:hyperlink>
      <w:r>
        <w:t xml:space="preserve"> ] </w:t>
      </w:r>
      <w:bookmarkEnd w:id="1338"/>
    </w:p>
    <w:p>
      <w:pPr>
        <w:pStyle w:val="Para 01"/>
      </w:pPr>
      <w:r>
        <w:t>SoPaDe, Социал-демократическая партия Германии в изгнании.</w:t>
      </w:r>
    </w:p>
    <w:p>
      <w:bookmarkStart w:id="1339" w:name="__586"/>
      <w:pPr>
        <w:pStyle w:val="Normal"/>
      </w:pPr>
      <w:r>
        <w:t>[</w:t>
      </w:r>
      <w:hyperlink w:anchor="586">
        <w:r>
          <w:rPr>
            <w:rStyle w:val="Text1"/>
          </w:rPr>
          <w:t>←586</w:t>
        </w:r>
      </w:hyperlink>
      <w:r>
        <w:t xml:space="preserve"> ] </w:t>
      </w:r>
      <w:bookmarkEnd w:id="1339"/>
    </w:p>
    <w:p>
      <w:pPr>
        <w:pStyle w:val="Para 01"/>
      </w:pPr>
      <w:r>
        <w:t>Голдхаген, «Ответ Моим Критикам», 41.</w:t>
      </w:r>
    </w:p>
    <w:p>
      <w:bookmarkStart w:id="1340" w:name="__587"/>
      <w:pPr>
        <w:pStyle w:val="Normal"/>
      </w:pPr>
      <w:r>
        <w:t>[</w:t>
      </w:r>
      <w:hyperlink w:anchor="587">
        <w:r>
          <w:rPr>
            <w:rStyle w:val="Text1"/>
          </w:rPr>
          <w:t>←587</w:t>
        </w:r>
      </w:hyperlink>
      <w:r>
        <w:t xml:space="preserve"> ] </w:t>
      </w:r>
      <w:bookmarkEnd w:id="1340"/>
    </w:p>
    <w:p>
      <w:pPr>
        <w:pStyle w:val="Para 06"/>
      </w:pPr>
      <w:r>
        <w:rPr>
          <w:rStyle w:val="Text0"/>
        </w:rPr>
        <w:t xml:space="preserve">Ulrich Herbert, </w:t>
      </w:r>
      <w:r>
        <w:t>Best: Biographische Studien über Radikalismus, Weltanschauung und Vernunf 1903-1989</w:t>
      </w:r>
      <w:r>
        <w:rPr>
          <w:rStyle w:val="Text0"/>
        </w:rPr>
        <w:t xml:space="preserve"> (Bonn, 1996).</w:t>
        <w:t xml:space="preserve"> </w:t>
      </w:r>
    </w:p>
    <w:p>
      <w:bookmarkStart w:id="1341" w:name="__588"/>
      <w:pPr>
        <w:pStyle w:val="Normal"/>
      </w:pPr>
      <w:r>
        <w:t>[</w:t>
      </w:r>
      <w:hyperlink w:anchor="588">
        <w:r>
          <w:rPr>
            <w:rStyle w:val="Text1"/>
          </w:rPr>
          <w:t>←588</w:t>
        </w:r>
      </w:hyperlink>
      <w:r>
        <w:t xml:space="preserve"> ] </w:t>
      </w:r>
      <w:bookmarkEnd w:id="1341"/>
    </w:p>
    <w:p>
      <w:pPr>
        <w:pStyle w:val="Para 01"/>
      </w:pPr>
      <w:r>
        <w:t xml:space="preserve">Ян Кершоу, «Преследование евреев и </w:t>
        <w:t xml:space="preserve">Немецкое Общественное Мнение в Третьем Рейхе» [The Persecution of the Jews and German Public Opinion in the Third Reich], </w:t>
      </w:r>
      <w:r>
        <w:rPr>
          <w:rStyle w:val="Text0"/>
        </w:rPr>
        <w:t xml:space="preserve">Leo Baeck Institute Yearbook 26 </w:t>
      </w:r>
      <w:r>
        <w:t>(1981), 261-89; «</w:t>
      </w:r>
      <w:r>
        <w:rPr>
          <w:rStyle w:val="Text0"/>
        </w:rPr>
        <w:t>Народное Мнение и Политическое Разногласие в Третьем Рейхе</w:t>
      </w:r>
      <w:r>
        <w:t>» [</w:t>
      </w:r>
      <w:r>
        <w:rPr>
          <w:rStyle w:val="Text0"/>
        </w:rPr>
        <w:t>Popular Opinion and Political Dissent in the Third Reich:Bavaria</w:t>
      </w:r>
      <w:r>
        <w:t>]</w:t>
      </w:r>
      <w:r>
        <w:rPr>
          <w:rStyle w:val="Text0"/>
        </w:rPr>
        <w:t xml:space="preserve"> 1933-1945</w:t>
      </w:r>
      <w:r>
        <w:t xml:space="preserve"> (Оксфорд, 1983); </w:t>
      </w:r>
      <w:r>
        <w:rPr>
          <w:rStyle w:val="Text0"/>
        </w:rPr>
        <w:t xml:space="preserve">„Миф“ Гитлера: Образ и Реальность в Третьем Рейхе </w:t>
      </w:r>
      <w:r>
        <w:t>[</w:t>
      </w:r>
      <w:r>
        <w:rPr>
          <w:rStyle w:val="Text0"/>
        </w:rPr>
        <w:t>The Hitler «Myth»: Image and Reality in the Third Reich</w:t>
      </w:r>
      <w:r>
        <w:t xml:space="preserve">] (Оксфорд, 1987); «Немецкое Общественное Мнение и „Еврейский Вопрос“ </w:t>
        <w:t>1933-1943: Некоторые Дальнейшие Размышления</w:t>
        <w:t>» [</w:t>
        <w:t xml:space="preserve">German Popular Opinion and the „Jewish Question 1933-1943: Some Further Reflections“], </w:t>
      </w:r>
      <w:r>
        <w:rPr>
          <w:rStyle w:val="Text0"/>
        </w:rPr>
        <w:t>Die Juden im Nationalsozialistischen Deutschland: 1933-1943</w:t>
      </w:r>
      <w:r>
        <w:t xml:space="preserve"> (Тюбинген, 1986), 365-85. Отто Дов Кулька, «“Общественное мнение“ в Нацистской Германии и „Еврейский Вопрос“» [«</w:t>
        <w:t>“</w:t>
        <w:t>Public Opinion“ in Nazi Germany and the „Jewish Question“</w:t>
        <w:t>»</w:t>
        <w:t xml:space="preserve">], </w:t>
      </w:r>
      <w:r>
        <w:rPr>
          <w:rStyle w:val="Text0"/>
        </w:rPr>
        <w:t xml:space="preserve">Jerusalem Quarterly 25 </w:t>
      </w:r>
      <w:r>
        <w:t xml:space="preserve">(1982), 121-44 и 26 (Зима 1982), 34-45; </w:t>
        <w:t xml:space="preserve">Отто Дов Кулька и Аарон Родриг, «Население Германии и Евреи в Третьем Рейхе: Недавние Публикации и Тренды в Исследовании Немецкого Общества и „Еврейского Вопроса“» [The German Population and the Jews in the Third Reich: Recent Publications and Trends in Research on German Society and the „Jewish Question“], </w:t>
      </w:r>
      <w:r>
        <w:rPr>
          <w:rStyle w:val="Text0"/>
        </w:rPr>
        <w:t xml:space="preserve">Yad Vashem Studies </w:t>
      </w:r>
      <w:r>
        <w:t xml:space="preserve">16 (1984), 421-35. Дэвид Банкир «Немцы и Холокост: Что Они Знали» [The Germans and the Holocaust: What Did They Know], </w:t>
      </w:r>
      <w:r>
        <w:rPr>
          <w:rStyle w:val="Text0"/>
        </w:rPr>
        <w:t>Yad Vashem Studies 20</w:t>
      </w:r>
      <w:r>
        <w:t xml:space="preserve"> (1990), 69-98; и </w:t>
      </w:r>
      <w:r>
        <w:rPr>
          <w:rStyle w:val="Text0"/>
        </w:rPr>
        <w:t xml:space="preserve">Немцы и </w:t>
        <w:t>Окончательное</w:t>
        <w:t xml:space="preserve"> Решение: </w:t>
        <w:t xml:space="preserve">Общественное Мнение при Нацизме </w:t>
      </w:r>
      <w:r>
        <w:t>[</w:t>
      </w:r>
      <w:r>
        <w:rPr>
          <w:rStyle w:val="Text0"/>
        </w:rPr>
        <w:t>The Germans and the Final Solution: Public Opinion Under Nazism</w:t>
      </w:r>
      <w:r>
        <w:t xml:space="preserve">] </w:t>
        <w:t xml:space="preserve">(Оксфорд, 1992). Также смотри: Marlis Steinert, </w:t>
      </w:r>
      <w:r>
        <w:rPr>
          <w:rStyle w:val="Text0"/>
        </w:rPr>
        <w:t xml:space="preserve">Hitler’s War and the Germans </w:t>
      </w:r>
      <w:r>
        <w:t xml:space="preserve">(Athens, Ohio, 1977); Вальтер Лакер </w:t>
        <w:t>[Walter Laqueur]</w:t>
        <w:t xml:space="preserve">, «Немецкие люди и Уничтожение Евреев Европы» [The German People and the Destruction of the European Jews], </w:t>
      </w:r>
      <w:r>
        <w:rPr>
          <w:rStyle w:val="Text0"/>
        </w:rPr>
        <w:t>Central European History 6</w:t>
      </w:r>
      <w:r>
        <w:t xml:space="preserve">, no.2 (1973), 167-91; Sarah Gordon, </w:t>
      </w:r>
      <w:r>
        <w:rPr>
          <w:rStyle w:val="Text0"/>
        </w:rPr>
        <w:t>Hitler, Germansm and the „Jewish Question“</w:t>
      </w:r>
      <w:r>
        <w:t xml:space="preserve"> (Princeton, 1984); </w:t>
        <w:t>Роберт Геллатели</w:t>
        <w:t>,</w:t>
      </w:r>
      <w:r>
        <w:rPr>
          <w:rStyle w:val="Text0"/>
        </w:rPr>
        <w:t xml:space="preserve"> </w:t>
        <w:t>Гестапо и Немецкое Общество: Насаждение Расовой Политики, 1933-1945</w:t>
      </w:r>
      <w:r>
        <w:t xml:space="preserve"> </w:t>
        <w:t>[</w:t>
      </w:r>
      <w:r>
        <w:rPr>
          <w:rStyle w:val="Text0"/>
        </w:rPr>
        <w:t>The Gestapo and German Society: Enforcing Racial Policy, 1933-1945</w:t>
      </w:r>
      <w:r>
        <w:t>]</w:t>
        <w:t xml:space="preserve"> (Oxford, 1990). Для сравнения смотри Michael </w:t>
        <w:t>Kater</w:t>
        <w:t>, «Everyday Anti-</w:t>
        <w:t>s</w:t>
        <w:t xml:space="preserve">emitism in Prewar Nazi Germany», </w:t>
      </w:r>
      <w:r>
        <w:rPr>
          <w:rStyle w:val="Text0"/>
        </w:rPr>
        <w:t>Yad Vashem Studies</w:t>
      </w:r>
      <w:r>
        <w:t xml:space="preserve"> (1984), 129-59.</w:t>
        <w:t xml:space="preserve"> </w:t>
      </w:r>
    </w:p>
    <w:p>
      <w:bookmarkStart w:id="1342" w:name="__589"/>
      <w:pPr>
        <w:pStyle w:val="Normal"/>
      </w:pPr>
      <w:r>
        <w:t>[</w:t>
      </w:r>
      <w:hyperlink w:anchor="589">
        <w:r>
          <w:rPr>
            <w:rStyle w:val="Text1"/>
          </w:rPr>
          <w:t>←589</w:t>
        </w:r>
      </w:hyperlink>
      <w:r>
        <w:t xml:space="preserve"> ] </w:t>
      </w:r>
      <w:bookmarkEnd w:id="1342"/>
    </w:p>
    <w:p>
      <w:pPr>
        <w:pStyle w:val="Para 29"/>
      </w:pPr>
      <w:r>
        <w:rPr>
          <w:rStyle w:val="Text0"/>
        </w:rPr>
        <w:t xml:space="preserve">Фридлендер, </w:t>
      </w:r>
      <w:r>
        <w:t xml:space="preserve">Нацистская Германия и Евреи </w:t>
      </w:r>
      <w:r>
        <w:rPr>
          <w:rStyle w:val="Text0"/>
        </w:rPr>
        <w:t>[</w:t>
      </w:r>
      <w:r>
        <w:t>Nazi Germany and the Jews</w:t>
      </w:r>
      <w:r>
        <w:rPr>
          <w:rStyle w:val="Text0"/>
        </w:rPr>
        <w:t>], 298, 327-28.</w:t>
        <w:t xml:space="preserve"> </w:t>
      </w:r>
    </w:p>
    <w:p>
      <w:bookmarkStart w:id="1343" w:name="__590"/>
      <w:pPr>
        <w:pStyle w:val="Normal"/>
      </w:pPr>
      <w:r>
        <w:t>[</w:t>
      </w:r>
      <w:hyperlink w:anchor="590">
        <w:r>
          <w:rPr>
            <w:rStyle w:val="Text1"/>
          </w:rPr>
          <w:t>←590</w:t>
        </w:r>
      </w:hyperlink>
      <w:r>
        <w:t xml:space="preserve"> ] </w:t>
      </w:r>
      <w:bookmarkEnd w:id="1343"/>
    </w:p>
    <w:p>
      <w:pPr>
        <w:pStyle w:val="Para 01"/>
      </w:pPr>
      <w:r>
        <w:t xml:space="preserve">Прим. переводчика — о «правомерности» дискриминационных законов опять же смотри </w:t>
        <w:t xml:space="preserve">«формула Радбруха» </w:t>
        <w:t>и сноску 46</w:t>
        <w:t>9</w:t>
        <w:t>.</w:t>
      </w:r>
    </w:p>
    <w:p>
      <w:bookmarkStart w:id="1344" w:name="__591"/>
      <w:pPr>
        <w:pStyle w:val="Normal"/>
      </w:pPr>
      <w:r>
        <w:t>[</w:t>
      </w:r>
      <w:hyperlink w:anchor="591">
        <w:r>
          <w:rPr>
            <w:rStyle w:val="Text1"/>
          </w:rPr>
          <w:t>←591</w:t>
        </w:r>
      </w:hyperlink>
      <w:r>
        <w:t xml:space="preserve"> ] </w:t>
      </w:r>
      <w:bookmarkEnd w:id="1344"/>
    </w:p>
    <w:p>
      <w:pPr>
        <w:pStyle w:val="Para 06"/>
      </w:pPr>
      <w:r>
        <w:rPr>
          <w:rStyle w:val="Text0"/>
        </w:rPr>
        <w:t xml:space="preserve">Банкир, </w:t>
      </w:r>
      <w:r>
        <w:t>Немцы и Окончательное Решение</w:t>
      </w:r>
      <w:r>
        <w:rPr>
          <w:rStyle w:val="Text0"/>
        </w:rPr>
        <w:t>, 151-20.</w:t>
        <w:t xml:space="preserve"> </w:t>
      </w:r>
    </w:p>
    <w:p>
      <w:bookmarkStart w:id="1345" w:name="__592"/>
      <w:pPr>
        <w:pStyle w:val="Normal"/>
      </w:pPr>
      <w:r>
        <w:t>[</w:t>
      </w:r>
      <w:hyperlink w:anchor="592">
        <w:r>
          <w:rPr>
            <w:rStyle w:val="Text1"/>
          </w:rPr>
          <w:t>←592</w:t>
        </w:r>
      </w:hyperlink>
      <w:r>
        <w:t xml:space="preserve"> ] </w:t>
      </w:r>
      <w:bookmarkEnd w:id="1345"/>
    </w:p>
    <w:p>
      <w:pPr>
        <w:pStyle w:val="Para 06"/>
      </w:pPr>
      <w:r>
        <w:rPr>
          <w:rStyle w:val="Text0"/>
        </w:rPr>
        <w:t xml:space="preserve">Кулька и Родриг, </w:t>
      </w:r>
      <w:r>
        <w:t xml:space="preserve">Население Германии и Евреи </w:t>
      </w:r>
      <w:r>
        <w:rPr>
          <w:rStyle w:val="Text0"/>
        </w:rPr>
        <w:t>[</w:t>
      </w:r>
      <w:r>
        <w:t>German Population and the Jews</w:t>
      </w:r>
      <w:r>
        <w:rPr>
          <w:rStyle w:val="Text0"/>
        </w:rPr>
        <w:t>], 435.</w:t>
        <w:t xml:space="preserve"> </w:t>
      </w:r>
    </w:p>
    <w:p>
      <w:bookmarkStart w:id="1346" w:name="__593"/>
      <w:pPr>
        <w:pStyle w:val="Normal"/>
      </w:pPr>
      <w:r>
        <w:t>[</w:t>
      </w:r>
      <w:hyperlink w:anchor="593">
        <w:r>
          <w:rPr>
            <w:rStyle w:val="Text1"/>
          </w:rPr>
          <w:t>←593</w:t>
        </w:r>
      </w:hyperlink>
      <w:r>
        <w:t xml:space="preserve"> ] </w:t>
      </w:r>
      <w:bookmarkEnd w:id="1346"/>
    </w:p>
    <w:p>
      <w:pPr>
        <w:pStyle w:val="Para 01"/>
      </w:pPr>
      <w:r>
        <w:t>Кершоу, «Преследование Евреев» [Persecution of the Jews], 288.</w:t>
      </w:r>
    </w:p>
    <w:p>
      <w:bookmarkStart w:id="1347" w:name="__594"/>
      <w:pPr>
        <w:pStyle w:val="Normal"/>
      </w:pPr>
      <w:r>
        <w:t>[</w:t>
      </w:r>
      <w:hyperlink w:anchor="594">
        <w:r>
          <w:rPr>
            <w:rStyle w:val="Text1"/>
          </w:rPr>
          <w:t>←594</w:t>
        </w:r>
      </w:hyperlink>
      <w:r>
        <w:t xml:space="preserve"> ] </w:t>
      </w:r>
      <w:bookmarkEnd w:id="1347"/>
    </w:p>
    <w:p>
      <w:pPr>
        <w:pStyle w:val="Para 01"/>
      </w:pPr>
      <w:r>
        <w:t xml:space="preserve">Кулька и Родриг, </w:t>
      </w:r>
      <w:r>
        <w:rPr>
          <w:rStyle w:val="Text0"/>
        </w:rPr>
        <w:t>Население Германии и Евреи</w:t>
      </w:r>
      <w:r>
        <w:t>, 430-435.</w:t>
        <w:t xml:space="preserve"> </w:t>
      </w:r>
    </w:p>
    <w:p>
      <w:bookmarkStart w:id="1348" w:name="__595"/>
      <w:pPr>
        <w:pStyle w:val="Normal"/>
      </w:pPr>
      <w:r>
        <w:t>[</w:t>
      </w:r>
      <w:hyperlink w:anchor="595">
        <w:r>
          <w:rPr>
            <w:rStyle w:val="Text1"/>
          </w:rPr>
          <w:t>←595</w:t>
        </w:r>
      </w:hyperlink>
      <w:r>
        <w:t xml:space="preserve"> ] </w:t>
      </w:r>
      <w:bookmarkEnd w:id="1348"/>
    </w:p>
    <w:p>
      <w:pPr>
        <w:pStyle w:val="Para 01"/>
      </w:pPr>
      <w:r>
        <w:t xml:space="preserve">Голдхаген, </w:t>
      </w:r>
      <w:r>
        <w:rPr>
          <w:rStyle w:val="Text0"/>
        </w:rPr>
        <w:t>Добровольные Палачи</w:t>
      </w:r>
      <w:r>
        <w:t>, 439-440, 592.</w:t>
        <w:t xml:space="preserve"> </w:t>
      </w:r>
    </w:p>
    <w:p>
      <w:bookmarkStart w:id="1349" w:name="__596"/>
      <w:pPr>
        <w:pStyle w:val="Normal"/>
      </w:pPr>
      <w:r>
        <w:t>[</w:t>
      </w:r>
      <w:hyperlink w:anchor="596">
        <w:r>
          <w:rPr>
            <w:rStyle w:val="Text1"/>
          </w:rPr>
          <w:t>←596</w:t>
        </w:r>
      </w:hyperlink>
      <w:r>
        <w:t xml:space="preserve"> ] </w:t>
      </w:r>
      <w:bookmarkEnd w:id="1349"/>
    </w:p>
    <w:p>
      <w:pPr>
        <w:pStyle w:val="Para 01"/>
      </w:pPr>
      <w:r>
        <w:t xml:space="preserve">Голдхаген, </w:t>
      </w:r>
      <w:r>
        <w:rPr>
          <w:rStyle w:val="Text0"/>
        </w:rPr>
        <w:t>Добровольные Палачи</w:t>
      </w:r>
      <w:r>
        <w:t>, 279, 185.</w:t>
        <w:t xml:space="preserve"> </w:t>
      </w:r>
    </w:p>
    <w:p>
      <w:bookmarkStart w:id="1350" w:name="__597"/>
      <w:pPr>
        <w:pStyle w:val="Normal"/>
      </w:pPr>
      <w:r>
        <w:t>[</w:t>
      </w:r>
      <w:hyperlink w:anchor="597">
        <w:r>
          <w:rPr>
            <w:rStyle w:val="Text1"/>
          </w:rPr>
          <w:t>←597</w:t>
        </w:r>
      </w:hyperlink>
      <w:r>
        <w:t xml:space="preserve"> ] </w:t>
      </w:r>
      <w:bookmarkEnd w:id="1350"/>
    </w:p>
    <w:p>
      <w:pPr>
        <w:pStyle w:val="Para 01"/>
      </w:pPr>
      <w:r>
        <w:t>Голдхаген, «Ответ Моим Критикам», 40.</w:t>
      </w:r>
    </w:p>
    <w:p>
      <w:bookmarkStart w:id="1351" w:name="__598"/>
      <w:pPr>
        <w:pStyle w:val="Normal"/>
      </w:pPr>
      <w:r>
        <w:t>[</w:t>
      </w:r>
      <w:hyperlink w:anchor="598">
        <w:r>
          <w:rPr>
            <w:rStyle w:val="Text1"/>
          </w:rPr>
          <w:t>←598</w:t>
        </w:r>
      </w:hyperlink>
      <w:r>
        <w:t xml:space="preserve"> ] </w:t>
      </w:r>
      <w:bookmarkEnd w:id="1351"/>
    </w:p>
    <w:p>
      <w:pPr>
        <w:pStyle w:val="Para 06"/>
      </w:pPr>
      <w:r>
        <w:rPr>
          <w:rStyle w:val="Text0"/>
        </w:rPr>
        <w:t xml:space="preserve">Голдхаген, </w:t>
      </w:r>
      <w:r>
        <w:t>Добровольные Палачи</w:t>
      </w:r>
      <w:r>
        <w:rPr>
          <w:rStyle w:val="Text0"/>
        </w:rPr>
        <w:t>, 279.</w:t>
        <w:t xml:space="preserve"> </w:t>
      </w:r>
    </w:p>
    <w:p>
      <w:bookmarkStart w:id="1352" w:name="__599"/>
      <w:pPr>
        <w:pStyle w:val="Normal"/>
      </w:pPr>
      <w:r>
        <w:t>[</w:t>
      </w:r>
      <w:hyperlink w:anchor="599">
        <w:r>
          <w:rPr>
            <w:rStyle w:val="Text1"/>
          </w:rPr>
          <w:t>←599</w:t>
        </w:r>
      </w:hyperlink>
      <w:r>
        <w:t xml:space="preserve"> ] </w:t>
      </w:r>
      <w:bookmarkEnd w:id="1352"/>
    </w:p>
    <w:p>
      <w:pPr>
        <w:pStyle w:val="Para 01"/>
      </w:pPr>
      <w:r>
        <w:t xml:space="preserve">Голдхаген, </w:t>
      </w:r>
      <w:r>
        <w:rPr>
          <w:rStyle w:val="Text0"/>
        </w:rPr>
        <w:t>Добровольные Палачи</w:t>
      </w:r>
      <w:r>
        <w:t>, 2</w:t>
        <w:t>31, 241, 451.</w:t>
        <w:t xml:space="preserve"> </w:t>
      </w:r>
    </w:p>
    <w:p>
      <w:bookmarkStart w:id="1353" w:name="__600"/>
      <w:pPr>
        <w:pStyle w:val="Normal"/>
      </w:pPr>
      <w:r>
        <w:t>[</w:t>
      </w:r>
      <w:hyperlink w:anchor="600">
        <w:r>
          <w:rPr>
            <w:rStyle w:val="Text1"/>
          </w:rPr>
          <w:t>←600</w:t>
        </w:r>
      </w:hyperlink>
      <w:r>
        <w:t xml:space="preserve"> ] </w:t>
      </w:r>
      <w:bookmarkEnd w:id="1353"/>
    </w:p>
    <w:p>
      <w:pPr>
        <w:pStyle w:val="Para 01"/>
      </w:pPr>
      <w:r>
        <w:t xml:space="preserve">Голдхаген, </w:t>
      </w:r>
      <w:r>
        <w:rPr>
          <w:rStyle w:val="Text0"/>
        </w:rPr>
        <w:t>Добровольные Палачи</w:t>
      </w:r>
      <w:r>
        <w:t xml:space="preserve">, </w:t>
        <w:t>386, 414.</w:t>
        <w:t xml:space="preserve"> </w:t>
      </w:r>
    </w:p>
    <w:p>
      <w:bookmarkStart w:id="1354" w:name="__601"/>
      <w:pPr>
        <w:pStyle w:val="Normal"/>
      </w:pPr>
      <w:r>
        <w:t>[</w:t>
      </w:r>
      <w:hyperlink w:anchor="601">
        <w:r>
          <w:rPr>
            <w:rStyle w:val="Text1"/>
          </w:rPr>
          <w:t>←601</w:t>
        </w:r>
      </w:hyperlink>
      <w:r>
        <w:t xml:space="preserve"> ] </w:t>
      </w:r>
      <w:bookmarkEnd w:id="1354"/>
    </w:p>
    <w:p>
      <w:pPr>
        <w:pStyle w:val="Para 01"/>
      </w:pPr>
      <w:r>
        <w:t xml:space="preserve">Голдхаген, </w:t>
      </w:r>
      <w:r>
        <w:rPr>
          <w:rStyle w:val="Text0"/>
        </w:rPr>
        <w:t>Добровольные Палачи</w:t>
      </w:r>
      <w:r>
        <w:t xml:space="preserve">, </w:t>
        <w:t>392, 416.</w:t>
        <w:t xml:space="preserve"> </w:t>
      </w:r>
    </w:p>
    <w:p>
      <w:bookmarkStart w:id="1355" w:name="__602"/>
      <w:pPr>
        <w:pStyle w:val="Normal"/>
      </w:pPr>
      <w:r>
        <w:t>[</w:t>
      </w:r>
      <w:hyperlink w:anchor="602">
        <w:r>
          <w:rPr>
            <w:rStyle w:val="Text1"/>
          </w:rPr>
          <w:t>←602</w:t>
        </w:r>
      </w:hyperlink>
      <w:r>
        <w:t xml:space="preserve"> ] </w:t>
      </w:r>
      <w:bookmarkEnd w:id="1355"/>
    </w:p>
    <w:p>
      <w:pPr>
        <w:pStyle w:val="Para 01"/>
      </w:pPr>
      <w:r>
        <w:t xml:space="preserve">В дополнении к его «Ответ Моим Критикам» и «Письмо Редакторам» в </w:t>
      </w:r>
      <w:r>
        <w:rPr>
          <w:rStyle w:val="Text0"/>
        </w:rPr>
        <w:t>New Republic</w:t>
      </w:r>
      <w:r>
        <w:t xml:space="preserve"> также смотри его «Письмо Редакторам» в </w:t>
      </w:r>
      <w:r>
        <w:rPr>
          <w:rStyle w:val="Text0"/>
        </w:rPr>
        <w:t xml:space="preserve">New York Review of Books </w:t>
      </w:r>
      <w:r>
        <w:t xml:space="preserve">от 6 февраля 1997 </w:t>
        <w:t>г.</w:t>
        <w:t>, 40.</w:t>
        <w:t xml:space="preserve"> </w:t>
      </w:r>
    </w:p>
    <w:p>
      <w:bookmarkStart w:id="1356" w:name="__603"/>
      <w:pPr>
        <w:pStyle w:val="Normal"/>
      </w:pPr>
      <w:r>
        <w:t>[</w:t>
      </w:r>
      <w:hyperlink w:anchor="603">
        <w:r>
          <w:rPr>
            <w:rStyle w:val="Text1"/>
          </w:rPr>
          <w:t>←603</w:t>
        </w:r>
      </w:hyperlink>
      <w:r>
        <w:t xml:space="preserve"> ] </w:t>
      </w:r>
      <w:bookmarkEnd w:id="1356"/>
    </w:p>
    <w:p>
      <w:pPr>
        <w:pStyle w:val="Para 01"/>
      </w:pPr>
      <w:r>
        <w:t>Как отметили многие критики, Голдхаген не делает следующее сравнение — между антисемитизмом немцев и не-немцев. Это не останавливает его от утверждения «Ни в какой другой стране антисемитизм не был так распространён до такой степени, чтобы быть культурной аксиомой ... Немецкий антисемитизм был</w:t>
      </w:r>
      <w:r>
        <w:rPr>
          <w:rStyle w:val="Text0"/>
        </w:rPr>
        <w:t xml:space="preserve"> sui generis». Добровольные Палачи</w:t>
      </w:r>
      <w:r>
        <w:t>, 419.</w:t>
        <w:t xml:space="preserve"> </w:t>
      </w:r>
    </w:p>
    <w:p>
      <w:bookmarkStart w:id="1357" w:name="__604"/>
      <w:pPr>
        <w:pStyle w:val="Normal"/>
      </w:pPr>
      <w:r>
        <w:t>[</w:t>
      </w:r>
      <w:hyperlink w:anchor="604">
        <w:r>
          <w:rPr>
            <w:rStyle w:val="Text1"/>
          </w:rPr>
          <w:t>←604</w:t>
        </w:r>
      </w:hyperlink>
      <w:r>
        <w:t xml:space="preserve"> ] </w:t>
      </w:r>
      <w:bookmarkEnd w:id="1357"/>
    </w:p>
    <w:p>
      <w:pPr>
        <w:pStyle w:val="Para 01"/>
      </w:pPr>
      <w:r>
        <w:t xml:space="preserve">Голдхаген, </w:t>
      </w:r>
      <w:r>
        <w:rPr>
          <w:rStyle w:val="Text0"/>
        </w:rPr>
        <w:t>Добровольные Палачи</w:t>
      </w:r>
      <w:r>
        <w:t xml:space="preserve">, </w:t>
        <w:t xml:space="preserve">348-351. В большей части повествования, Голдхаген говорит об охранниках, как о монолитной группе без каких-либо различий, часто упоминая их просто как «немцы». И всё же он сам предоставляет подробности, указывающие на важные ситуационные, институциональные и общие различия. В сравнении с от восьми до десяти молодыми немецкими людьми, </w:t>
        <w:t>старшие мужчины охранники (на 18-20 лет) (по словам одного выжившего) «были по большей части добродушными, не били и не мучили нас». Рекрутированием этнических немцев за границей Германии было, конечно же, ответственностью СС. Молодые охранники женщины — поголовно жестоки(хоть шесть из них и быстро дезертировали) — все искали профессии охранников. (</w:t>
      </w:r>
      <w:r>
        <w:rPr>
          <w:rStyle w:val="Text0"/>
        </w:rPr>
        <w:t>Добровольные Палачи</w:t>
      </w:r>
      <w:r>
        <w:t>, 335, 360).</w:t>
        <w:t xml:space="preserve"> </w:t>
      </w:r>
    </w:p>
    <w:p>
      <w:bookmarkStart w:id="1358" w:name="__605"/>
      <w:pPr>
        <w:pStyle w:val="Normal"/>
      </w:pPr>
      <w:r>
        <w:t>[</w:t>
      </w:r>
      <w:hyperlink w:anchor="605">
        <w:r>
          <w:rPr>
            <w:rStyle w:val="Text1"/>
          </w:rPr>
          <w:t>←605</w:t>
        </w:r>
      </w:hyperlink>
      <w:r>
        <w:t xml:space="preserve"> ] </w:t>
      </w:r>
      <w:bookmarkEnd w:id="1358"/>
    </w:p>
    <w:p>
      <w:pPr>
        <w:pStyle w:val="Para 06"/>
      </w:pPr>
      <w:r>
        <w:rPr>
          <w:rStyle w:val="Text0"/>
        </w:rPr>
        <w:t xml:space="preserve">Статистика взята из Danuta Czech, </w:t>
      </w:r>
      <w:r>
        <w:t>Kalendarium der Ereignisse im Konzentrationslager Auswitz-Birkenau 1939-1945</w:t>
      </w:r>
      <w:r>
        <w:rPr>
          <w:rStyle w:val="Text0"/>
        </w:rPr>
        <w:t xml:space="preserve"> (Hamburg, 1989), в особенности 126-132, 179; Steven Paskuly, ed. </w:t>
      </w:r>
      <w:r>
        <w:t>Death Dealer: The Memoirs of the SS Kommandant at Auschwitz Rudolph Höss</w:t>
      </w:r>
      <w:r>
        <w:rPr>
          <w:rStyle w:val="Text0"/>
        </w:rPr>
        <w:t xml:space="preserve"> (New-York, 1996), 132-34.</w:t>
        <w:t xml:space="preserve"> </w:t>
      </w:r>
    </w:p>
    <w:p>
      <w:bookmarkStart w:id="1359" w:name="__606"/>
      <w:pPr>
        <w:pStyle w:val="Normal"/>
      </w:pPr>
      <w:r>
        <w:t>[</w:t>
      </w:r>
      <w:hyperlink w:anchor="606">
        <w:r>
          <w:rPr>
            <w:rStyle w:val="Text1"/>
          </w:rPr>
          <w:t>←606</w:t>
        </w:r>
      </w:hyperlink>
      <w:r>
        <w:t xml:space="preserve"> ] </w:t>
      </w:r>
      <w:bookmarkEnd w:id="1359"/>
    </w:p>
    <w:p>
      <w:pPr>
        <w:pStyle w:val="Para 01"/>
      </w:pPr>
      <w:r>
        <w:t>Майкл Тэд Аллен, «Инженеры и Современные Менеджеры в СС: Бизнес Администрация Главного Управления (Wirtschaftsverwaltungshauptamt)». [Engineers and Modern Managers in the SS: The Business Administration Main Offic</w:t>
        <w:t>e</w:t>
        <w:t xml:space="preserve"> (Wirtschaftsverwaltungshauptamt)], докторская диссертация, </w:t>
        <w:t xml:space="preserve">Пенсильванский университет, 1995 </w:t>
        <w:t>г</w:t>
        <w:t xml:space="preserve">. </w:t>
        <w:t xml:space="preserve"> </w:t>
      </w:r>
    </w:p>
    <w:p>
      <w:bookmarkStart w:id="1360" w:name="__607"/>
      <w:pPr>
        <w:pStyle w:val="Normal"/>
      </w:pPr>
      <w:r>
        <w:t>[</w:t>
      </w:r>
      <w:hyperlink w:anchor="607">
        <w:r>
          <w:rPr>
            <w:rStyle w:val="Text1"/>
          </w:rPr>
          <w:t>←607</w:t>
        </w:r>
      </w:hyperlink>
      <w:r>
        <w:t xml:space="preserve"> ] </w:t>
      </w:r>
      <w:bookmarkEnd w:id="1360"/>
    </w:p>
    <w:p>
      <w:pPr>
        <w:pStyle w:val="Para 01"/>
      </w:pPr>
      <w:r>
        <w:t xml:space="preserve">Yehoshua Büchler, «First in the Vale of Affliction: Slovakian Jewish Women in Auschwitz, 1942», </w:t>
      </w:r>
      <w:r>
        <w:rPr>
          <w:rStyle w:val="Text0"/>
        </w:rPr>
        <w:t>Holocaust and Genocide Studies 10</w:t>
      </w:r>
      <w:r>
        <w:t>, no. 3 (1996), 309.</w:t>
        <w:t xml:space="preserve"> </w:t>
      </w:r>
    </w:p>
    <w:p>
      <w:bookmarkStart w:id="1361" w:name="__608"/>
      <w:pPr>
        <w:pStyle w:val="Normal"/>
      </w:pPr>
      <w:r>
        <w:t>[</w:t>
      </w:r>
      <w:hyperlink w:anchor="608">
        <w:r>
          <w:rPr>
            <w:rStyle w:val="Text1"/>
          </w:rPr>
          <w:t>←608</w:t>
        </w:r>
      </w:hyperlink>
      <w:r>
        <w:t xml:space="preserve"> ] </w:t>
      </w:r>
      <w:bookmarkEnd w:id="1361"/>
    </w:p>
    <w:p>
      <w:pPr>
        <w:pStyle w:val="Para 01"/>
      </w:pPr>
      <w:r>
        <w:t xml:space="preserve">Голдхаген, </w:t>
      </w:r>
      <w:r>
        <w:rPr>
          <w:rStyle w:val="Text0"/>
        </w:rPr>
        <w:t>Добровольные Палачи</w:t>
      </w:r>
      <w:r>
        <w:t xml:space="preserve">, </w:t>
        <w:t>410-11.</w:t>
        <w:t xml:space="preserve"> </w:t>
      </w:r>
    </w:p>
    <w:p>
      <w:bookmarkStart w:id="1362" w:name="__609"/>
      <w:pPr>
        <w:pStyle w:val="Normal"/>
      </w:pPr>
      <w:r>
        <w:t>[</w:t>
      </w:r>
      <w:hyperlink w:anchor="609">
        <w:r>
          <w:rPr>
            <w:rStyle w:val="Text1"/>
          </w:rPr>
          <w:t>←609</w:t>
        </w:r>
      </w:hyperlink>
      <w:r>
        <w:t xml:space="preserve"> ] </w:t>
      </w:r>
      <w:bookmarkEnd w:id="1362"/>
    </w:p>
    <w:p>
      <w:pPr>
        <w:pStyle w:val="Para 01"/>
      </w:pPr>
      <w:r>
        <w:t xml:space="preserve">Голдхаген, </w:t>
      </w:r>
      <w:r>
        <w:rPr>
          <w:rStyle w:val="Text0"/>
        </w:rPr>
        <w:t>Добровольные Палачи</w:t>
      </w:r>
      <w:r>
        <w:t xml:space="preserve">, </w:t>
        <w:t>398, 410.</w:t>
        <w:t xml:space="preserve"> </w:t>
      </w:r>
    </w:p>
    <w:p>
      <w:bookmarkStart w:id="1363" w:name="__610"/>
      <w:pPr>
        <w:pStyle w:val="Normal"/>
      </w:pPr>
      <w:r>
        <w:t>[</w:t>
      </w:r>
      <w:hyperlink w:anchor="610">
        <w:r>
          <w:rPr>
            <w:rStyle w:val="Text1"/>
          </w:rPr>
          <w:t>←610</w:t>
        </w:r>
      </w:hyperlink>
      <w:r>
        <w:t xml:space="preserve"> ] </w:t>
      </w:r>
      <w:bookmarkEnd w:id="1363"/>
    </w:p>
    <w:p>
      <w:pPr>
        <w:pStyle w:val="Para 01"/>
      </w:pPr>
      <w:r>
        <w:t xml:space="preserve">Rieß, Volker , </w:t>
      </w:r>
      <w:r>
        <w:rPr>
          <w:rStyle w:val="Text0"/>
        </w:rPr>
        <w:t>Die Anfänge der Vernichtung "lebensunwerten Lebens" in den Reichsgauen Danzig-Westpreussen und Wartheland 1939/40</w:t>
      </w:r>
      <w:r>
        <w:t>, 24</w:t>
      </w:r>
      <w:r>
        <w:rPr>
          <w:rStyle w:val="Text13"/>
        </w:rPr>
        <w:t>-</w:t>
      </w:r>
      <w:r>
        <w:t xml:space="preserve">25. </w:t>
        <w:t xml:space="preserve">Прим. переводчика — сноска 85, стр. 186 на источник из другой книги Браунинга - «Истоки Окончательного Решения: Эволюция Нацистской Еврейской Политики, </w:t>
        <w:t>Сентябрь 1939 — Март 1942</w:t>
        <w:t xml:space="preserve">» </w:t>
        <w:t xml:space="preserve">[The Origins of the Final Solution: The Evolutions of Nazi Jewish Policy, September 1939 — March 1942]. </w:t>
        <w:t xml:space="preserve">Если коротко, </w:t>
        <w:t>п</w:t>
        <w:t xml:space="preserve">рограмма по эвтаназии не закончилась с началом войны, а продолжилась осенью 1939 </w:t>
        <w:t>г.</w:t>
        <w:t xml:space="preserve"> на территории Данцига, Западной Пруссии, Вартеланда и затронула не только польских пациентов, но и немцев на территории «старой империи» [Altreich] — Померании и Восточной Пруссии. 22 сентября 1939 </w:t>
        <w:t>г.</w:t>
        <w:t xml:space="preserve"> команды Эйманн приступили к убийству пациентов психиатрической больницы Контрадштейна [Konradstein]. 1 800 людей расстреляли в лесу Шпенгавска [Szpęgawsk].</w:t>
        <w:t xml:space="preserve"> </w:t>
      </w:r>
    </w:p>
    <w:p>
      <w:bookmarkStart w:id="1364" w:name="__611"/>
      <w:pPr>
        <w:pStyle w:val="Normal"/>
      </w:pPr>
      <w:r>
        <w:t>[</w:t>
      </w:r>
      <w:hyperlink w:anchor="611">
        <w:r>
          <w:rPr>
            <w:rStyle w:val="Text1"/>
          </w:rPr>
          <w:t>←611</w:t>
        </w:r>
      </w:hyperlink>
      <w:r>
        <w:t xml:space="preserve"> ] </w:t>
      </w:r>
      <w:bookmarkEnd w:id="1364"/>
    </w:p>
    <w:p>
      <w:pPr>
        <w:pStyle w:val="Para 01"/>
      </w:pPr>
      <w:r>
        <w:t xml:space="preserve">Генри Фридлендер в </w:t>
      </w:r>
      <w:r>
        <w:rPr>
          <w:rStyle w:val="Text0"/>
        </w:rPr>
        <w:t xml:space="preserve">Происхождение Нацистского Геноцида: От Эвтаназии до Окончательного </w:t>
      </w:r>
      <w:r>
        <w:t>Решения [</w:t>
      </w:r>
      <w:r>
        <w:rPr>
          <w:rStyle w:val="Text0"/>
        </w:rPr>
        <w:t>The Origins Of Nazi Genocide: From Euthanasia to the Final Solution</w:t>
      </w:r>
      <w:r>
        <w:t xml:space="preserve">] (Чапел-Хилл, 1995), 119, пишет: «Когда количество убитых пациентов достигло 10 000, сотрудники Хамадара устроили празднование. Все сотрудники по приказу врачей собрались в подвале в крематории для участия в сожжении десятитысячной жертвы. На носилках лежало голое тело, покрытое цветами. </w:t>
        <w:t>Руководитель Бюнгер произнёс речь, а одетые в церковные одеяния сотрудники провели церемонию. Каждому раздали по бутылке пива».</w:t>
        <w:t xml:space="preserve"> </w:t>
      </w:r>
    </w:p>
    <w:p>
      <w:bookmarkStart w:id="1365" w:name="__612"/>
      <w:pPr>
        <w:pStyle w:val="Normal"/>
      </w:pPr>
      <w:r>
        <w:t>[</w:t>
      </w:r>
      <w:hyperlink w:anchor="612">
        <w:r>
          <w:rPr>
            <w:rStyle w:val="Text1"/>
          </w:rPr>
          <w:t>←612</w:t>
        </w:r>
      </w:hyperlink>
      <w:r>
        <w:t xml:space="preserve"> ] </w:t>
      </w:r>
      <w:bookmarkEnd w:id="1365"/>
    </w:p>
    <w:p>
      <w:pPr>
        <w:pStyle w:val="Para 06"/>
      </w:pPr>
      <w:r>
        <w:rPr>
          <w:rStyle w:val="Text0"/>
        </w:rPr>
        <w:t xml:space="preserve">Фридлендер, </w:t>
      </w:r>
      <w:r>
        <w:t>Происхождение Нацистского Геноцида</w:t>
      </w:r>
      <w:r>
        <w:rPr>
          <w:rStyle w:val="Text0"/>
        </w:rPr>
        <w:t>, 389.</w:t>
        <w:t xml:space="preserve"> </w:t>
      </w:r>
    </w:p>
    <w:p>
      <w:bookmarkStart w:id="1366" w:name="__613"/>
      <w:pPr>
        <w:pStyle w:val="Normal"/>
      </w:pPr>
      <w:r>
        <w:t>[</w:t>
      </w:r>
      <w:hyperlink w:anchor="613">
        <w:r>
          <w:rPr>
            <w:rStyle w:val="Text1"/>
          </w:rPr>
          <w:t>←613</w:t>
        </w:r>
      </w:hyperlink>
      <w:r>
        <w:t xml:space="preserve"> ] </w:t>
      </w:r>
      <w:bookmarkEnd w:id="1366"/>
    </w:p>
    <w:p>
      <w:pPr>
        <w:pStyle w:val="Para 01"/>
      </w:pPr>
      <w:r>
        <w:t xml:space="preserve">Примо Леви, </w:t>
      </w:r>
      <w:r>
        <w:rPr>
          <w:rStyle w:val="Text0"/>
        </w:rPr>
        <w:t xml:space="preserve">Утонувшие и спасённые </w:t>
      </w:r>
      <w:r>
        <w:t>(Винтажное издание: Нью-Йорк, 1989), 125-26; Ги</w:t>
        <w:t>т</w:t>
        <w:t xml:space="preserve">та Серени, </w:t>
      </w:r>
      <w:r>
        <w:rPr>
          <w:rStyle w:val="Text0"/>
        </w:rPr>
        <w:t xml:space="preserve">Во Тьму </w:t>
      </w:r>
      <w:r>
        <w:t>[</w:t>
      </w:r>
      <w:r>
        <w:rPr>
          <w:rStyle w:val="Text0"/>
        </w:rPr>
        <w:t>Into th</w:t>
        <w:t>at</w:t>
        <w:t xml:space="preserve"> Darkness</w:t>
      </w:r>
      <w:r>
        <w:t>] (Лондон, 1974), 101.</w:t>
        <w:t xml:space="preserve"> </w:t>
      </w:r>
    </w:p>
    <w:p>
      <w:bookmarkStart w:id="1367" w:name="__614"/>
      <w:pPr>
        <w:pStyle w:val="Normal"/>
      </w:pPr>
      <w:r>
        <w:t>[</w:t>
      </w:r>
      <w:hyperlink w:anchor="614">
        <w:r>
          <w:rPr>
            <w:rStyle w:val="Text1"/>
          </w:rPr>
          <w:t>←614</w:t>
        </w:r>
      </w:hyperlink>
      <w:r>
        <w:t xml:space="preserve"> ] </w:t>
      </w:r>
      <w:bookmarkEnd w:id="1367"/>
    </w:p>
    <w:p>
      <w:pPr>
        <w:pStyle w:val="Para 06"/>
      </w:pPr>
      <w:r>
        <w:rPr>
          <w:rStyle w:val="Text0"/>
        </w:rPr>
        <w:t xml:space="preserve">Фрэд Е. Кац, </w:t>
      </w:r>
      <w:r>
        <w:t xml:space="preserve">Ординарные Люди и Экстраординарное зло: Доклад об Обольщении Злом </w:t>
      </w:r>
      <w:r>
        <w:rPr>
          <w:rStyle w:val="Text0"/>
        </w:rPr>
        <w:t>[</w:t>
      </w:r>
      <w:r>
        <w:t>Ordinary People and Extraordinary Evil: A report on the Beguilings of Evil</w:t>
      </w:r>
      <w:r>
        <w:rPr>
          <w:rStyle w:val="Text0"/>
        </w:rPr>
        <w:t>] (Облани, 1993), 29-31, 83-98.</w:t>
        <w:t xml:space="preserve"> </w:t>
      </w:r>
    </w:p>
    <w:p>
      <w:bookmarkStart w:id="1368" w:name="__615"/>
      <w:pPr>
        <w:pStyle w:val="Normal"/>
      </w:pPr>
      <w:r>
        <w:t>[</w:t>
      </w:r>
      <w:hyperlink w:anchor="615">
        <w:r>
          <w:rPr>
            <w:rStyle w:val="Text1"/>
          </w:rPr>
          <w:t>←615</w:t>
        </w:r>
      </w:hyperlink>
      <w:r>
        <w:t xml:space="preserve"> ] </w:t>
      </w:r>
      <w:bookmarkEnd w:id="1368"/>
    </w:p>
    <w:p>
      <w:pPr>
        <w:pStyle w:val="Para 06"/>
      </w:pPr>
      <w:r>
        <w:rPr>
          <w:rStyle w:val="Text0"/>
        </w:rPr>
        <w:t xml:space="preserve">Голдхаген, </w:t>
      </w:r>
      <w:r>
        <w:t>Добровольные Палачи</w:t>
      </w:r>
      <w:r>
        <w:rPr>
          <w:rStyle w:val="Text0"/>
        </w:rPr>
        <w:t xml:space="preserve">, </w:t>
        <w:t>408.</w:t>
        <w:t xml:space="preserve"> </w:t>
      </w:r>
    </w:p>
    <w:p>
      <w:bookmarkStart w:id="1369" w:name="__616"/>
      <w:pPr>
        <w:pStyle w:val="Normal"/>
      </w:pPr>
      <w:r>
        <w:t>[</w:t>
      </w:r>
      <w:hyperlink w:anchor="616">
        <w:r>
          <w:rPr>
            <w:rStyle w:val="Text1"/>
          </w:rPr>
          <w:t>←616</w:t>
        </w:r>
      </w:hyperlink>
      <w:r>
        <w:t xml:space="preserve"> ] </w:t>
      </w:r>
      <w:bookmarkEnd w:id="1369"/>
    </w:p>
    <w:p>
      <w:pPr>
        <w:pStyle w:val="Para 06"/>
      </w:pPr>
      <w:r>
        <w:rPr>
          <w:rStyle w:val="Text0"/>
        </w:rPr>
        <w:t xml:space="preserve">Голдхаген, </w:t>
      </w:r>
      <w:r>
        <w:t>Добровольные Палачи</w:t>
      </w:r>
      <w:r>
        <w:rPr>
          <w:rStyle w:val="Text0"/>
        </w:rPr>
        <w:t xml:space="preserve">, </w:t>
        <w:t>409.</w:t>
        <w:t xml:space="preserve"> </w:t>
      </w:r>
    </w:p>
    <w:p>
      <w:bookmarkStart w:id="1370" w:name="__617"/>
      <w:pPr>
        <w:pStyle w:val="Normal"/>
      </w:pPr>
      <w:r>
        <w:t>[</w:t>
      </w:r>
      <w:hyperlink w:anchor="617">
        <w:r>
          <w:rPr>
            <w:rStyle w:val="Text1"/>
          </w:rPr>
          <w:t>←617</w:t>
        </w:r>
      </w:hyperlink>
      <w:r>
        <w:t xml:space="preserve"> ] </w:t>
      </w:r>
      <w:bookmarkEnd w:id="1370"/>
    </w:p>
    <w:p>
      <w:pPr>
        <w:pStyle w:val="Para 01"/>
      </w:pPr>
      <w:r>
        <w:t>Впоследствии опубликован как: Браунинг, «</w:t>
      </w:r>
      <w:r>
        <w:rPr>
          <w:rStyle w:val="Text0"/>
        </w:rPr>
        <w:t xml:space="preserve">Добровольные Палачи </w:t>
      </w:r>
      <w:r>
        <w:t xml:space="preserve">Дэниэла Голдхагена» [Daniel Goldhagen’ </w:t>
      </w:r>
      <w:r>
        <w:rPr>
          <w:rStyle w:val="Text0"/>
        </w:rPr>
        <w:t>Willing Executioners</w:t>
      </w:r>
      <w:r>
        <w:t>], в особенности 94-96.</w:t>
        <w:t xml:space="preserve"> </w:t>
      </w:r>
    </w:p>
    <w:p>
      <w:bookmarkStart w:id="1371" w:name="__618"/>
      <w:pPr>
        <w:pStyle w:val="Normal"/>
      </w:pPr>
      <w:r>
        <w:t>[</w:t>
      </w:r>
      <w:hyperlink w:anchor="618">
        <w:r>
          <w:rPr>
            <w:rStyle w:val="Text1"/>
          </w:rPr>
          <w:t>←618</w:t>
        </w:r>
      </w:hyperlink>
      <w:r>
        <w:t xml:space="preserve"> ] </w:t>
      </w:r>
      <w:bookmarkEnd w:id="1371"/>
    </w:p>
    <w:p>
      <w:pPr>
        <w:pStyle w:val="Para 06"/>
      </w:pPr>
      <w:r>
        <w:rPr>
          <w:rStyle w:val="Text0"/>
        </w:rPr>
        <w:t xml:space="preserve">Голдхаген, </w:t>
      </w:r>
      <w:r>
        <w:t>Добровольные Палачи</w:t>
      </w:r>
      <w:r>
        <w:rPr>
          <w:rStyle w:val="Text0"/>
        </w:rPr>
        <w:t xml:space="preserve">, </w:t>
        <w:t>463.</w:t>
        <w:t xml:space="preserve"> </w:t>
      </w:r>
    </w:p>
    <w:p>
      <w:bookmarkStart w:id="1372" w:name="__619"/>
      <w:pPr>
        <w:pStyle w:val="Normal"/>
      </w:pPr>
      <w:r>
        <w:t>[</w:t>
      </w:r>
      <w:hyperlink w:anchor="619">
        <w:r>
          <w:rPr>
            <w:rStyle w:val="Text1"/>
          </w:rPr>
          <w:t>←619</w:t>
        </w:r>
      </w:hyperlink>
      <w:r>
        <w:t xml:space="preserve"> ] </w:t>
      </w:r>
      <w:bookmarkEnd w:id="1372"/>
    </w:p>
    <w:p>
      <w:pPr>
        <w:pStyle w:val="Para 01"/>
      </w:pPr>
      <w:r>
        <w:t xml:space="preserve">Прим. переводчика — </w:t>
      </w:r>
      <w:r>
        <w:rPr>
          <w:rStyle w:val="Text0"/>
        </w:rPr>
        <w:t>evidentary value</w:t>
      </w:r>
      <w:r>
        <w:t>. Качество или подлинность записи для обеспечения юридического или исторического доказательства или адекватного свидетельства. Другими словами — информация, которую по всем параметрам можно было бы использовать в качестве доказательств</w:t>
        <w:t>а</w:t>
        <w:t xml:space="preserve"> по современным юридическим или историческим стандартам.</w:t>
        <w:t xml:space="preserve"> </w:t>
      </w:r>
    </w:p>
    <w:p>
      <w:bookmarkStart w:id="1373" w:name="__620"/>
      <w:pPr>
        <w:pStyle w:val="Normal"/>
      </w:pPr>
      <w:r>
        <w:t>[</w:t>
      </w:r>
      <w:hyperlink w:anchor="620">
        <w:r>
          <w:rPr>
            <w:rStyle w:val="Text1"/>
          </w:rPr>
          <w:t>←620</w:t>
        </w:r>
      </w:hyperlink>
      <w:r>
        <w:t xml:space="preserve"> ] </w:t>
      </w:r>
      <w:bookmarkEnd w:id="1373"/>
    </w:p>
    <w:p>
      <w:pPr>
        <w:pStyle w:val="Para 06"/>
      </w:pPr>
      <w:r>
        <w:rPr>
          <w:rStyle w:val="Text0"/>
        </w:rPr>
        <w:t xml:space="preserve">Голдхаген, </w:t>
      </w:r>
      <w:r>
        <w:t>Добровольные Палачи</w:t>
      </w:r>
      <w:r>
        <w:rPr>
          <w:rStyle w:val="Text0"/>
        </w:rPr>
        <w:t xml:space="preserve">, </w:t>
        <w:t>467.</w:t>
        <w:t xml:space="preserve"> </w:t>
      </w:r>
    </w:p>
    <w:p>
      <w:bookmarkStart w:id="1374" w:name="__621"/>
      <w:pPr>
        <w:pStyle w:val="Normal"/>
      </w:pPr>
      <w:r>
        <w:t>[</w:t>
      </w:r>
      <w:hyperlink w:anchor="621">
        <w:r>
          <w:rPr>
            <w:rStyle w:val="Text1"/>
          </w:rPr>
          <w:t>←621</w:t>
        </w:r>
      </w:hyperlink>
      <w:r>
        <w:t xml:space="preserve"> ] </w:t>
      </w:r>
      <w:bookmarkEnd w:id="1374"/>
    </w:p>
    <w:p>
      <w:pPr>
        <w:pStyle w:val="Para 06"/>
      </w:pPr>
      <w:r>
        <w:rPr>
          <w:rStyle w:val="Text0"/>
        </w:rPr>
        <w:t xml:space="preserve">Голдхаген, </w:t>
      </w:r>
      <w:r>
        <w:t>Добровольные Палачи</w:t>
      </w:r>
      <w:r>
        <w:rPr>
          <w:rStyle w:val="Text0"/>
        </w:rPr>
        <w:t xml:space="preserve">, </w:t>
        <w:t>464.</w:t>
        <w:t xml:space="preserve"> </w:t>
      </w:r>
    </w:p>
    <w:p>
      <w:bookmarkStart w:id="1375" w:name="__622"/>
      <w:pPr>
        <w:pStyle w:val="Normal"/>
      </w:pPr>
      <w:r>
        <w:t>[</w:t>
      </w:r>
      <w:hyperlink w:anchor="622">
        <w:r>
          <w:rPr>
            <w:rStyle w:val="Text1"/>
          </w:rPr>
          <w:t>←622</w:t>
        </w:r>
      </w:hyperlink>
      <w:r>
        <w:t xml:space="preserve"> ] </w:t>
      </w:r>
      <w:bookmarkEnd w:id="1375"/>
    </w:p>
    <w:p>
      <w:pPr>
        <w:pStyle w:val="Para 01"/>
      </w:pPr>
      <w:r>
        <w:t xml:space="preserve">Голдхаген, </w:t>
      </w:r>
      <w:r>
        <w:rPr>
          <w:rStyle w:val="Text0"/>
        </w:rPr>
        <w:t>Добровольные Палачи</w:t>
      </w:r>
      <w:r>
        <w:t xml:space="preserve">, </w:t>
        <w:t>6</w:t>
        <w:t>01, сноска 11.</w:t>
        <w:t xml:space="preserve"> </w:t>
      </w:r>
    </w:p>
    <w:p>
      <w:bookmarkStart w:id="1376" w:name="__623"/>
      <w:pPr>
        <w:pStyle w:val="Normal"/>
      </w:pPr>
      <w:r>
        <w:t>[</w:t>
      </w:r>
      <w:hyperlink w:anchor="623">
        <w:r>
          <w:rPr>
            <w:rStyle w:val="Text1"/>
          </w:rPr>
          <w:t>←623</w:t>
        </w:r>
      </w:hyperlink>
      <w:r>
        <w:t xml:space="preserve"> ] </w:t>
      </w:r>
      <w:bookmarkEnd w:id="1376"/>
    </w:p>
    <w:p>
      <w:pPr>
        <w:pStyle w:val="Para 06"/>
      </w:pPr>
      <w:r>
        <w:rPr>
          <w:rStyle w:val="Text0"/>
        </w:rPr>
        <w:t xml:space="preserve">Голдхаген, </w:t>
      </w:r>
      <w:r>
        <w:t>Добровольные Палачи</w:t>
      </w:r>
      <w:r>
        <w:rPr>
          <w:rStyle w:val="Text0"/>
        </w:rPr>
        <w:t xml:space="preserve">, </w:t>
        <w:t>467.</w:t>
        <w:t xml:space="preserve"> </w:t>
      </w:r>
    </w:p>
    <w:p>
      <w:bookmarkStart w:id="1377" w:name="__624"/>
      <w:pPr>
        <w:pStyle w:val="Normal"/>
      </w:pPr>
      <w:r>
        <w:t>[</w:t>
      </w:r>
      <w:hyperlink w:anchor="624">
        <w:r>
          <w:rPr>
            <w:rStyle w:val="Text1"/>
          </w:rPr>
          <w:t>←624</w:t>
        </w:r>
      </w:hyperlink>
      <w:r>
        <w:t xml:space="preserve"> ] </w:t>
      </w:r>
      <w:bookmarkEnd w:id="1377"/>
    </w:p>
    <w:p>
      <w:pPr>
        <w:pStyle w:val="Para 06"/>
      </w:pPr>
      <w:r>
        <w:rPr>
          <w:rStyle w:val="Text0"/>
        </w:rPr>
        <w:t xml:space="preserve">Голдхаген, </w:t>
      </w:r>
      <w:r>
        <w:t>Добровольные Палачи</w:t>
      </w:r>
      <w:r>
        <w:rPr>
          <w:rStyle w:val="Text0"/>
        </w:rPr>
        <w:t xml:space="preserve">, </w:t>
        <w:t>221.</w:t>
        <w:t xml:space="preserve"> </w:t>
      </w:r>
    </w:p>
    <w:p>
      <w:bookmarkStart w:id="1378" w:name="__625"/>
      <w:pPr>
        <w:pStyle w:val="Normal"/>
      </w:pPr>
      <w:r>
        <w:t>[</w:t>
      </w:r>
      <w:hyperlink w:anchor="625">
        <w:r>
          <w:rPr>
            <w:rStyle w:val="Text1"/>
          </w:rPr>
          <w:t>←625</w:t>
        </w:r>
      </w:hyperlink>
      <w:r>
        <w:t xml:space="preserve"> ] </w:t>
      </w:r>
      <w:bookmarkEnd w:id="1378"/>
    </w:p>
    <w:p>
      <w:pPr>
        <w:pStyle w:val="Para 01"/>
      </w:pPr>
      <w:r>
        <w:t xml:space="preserve">В </w:t>
        <w:t xml:space="preserve">своей </w:t>
        <w:t>сноске на странице 537 он упоминает показания Ernst G., H 383. Он не упоминает однако показания об этом от George A., HW 421; Alfred L., HW 1351; Bruno P., HW 1915; Heinz B., HW 4415; Henry L., G 225; August Z., G 275; Hans K., G 363.</w:t>
      </w:r>
    </w:p>
    <w:p>
      <w:bookmarkStart w:id="1379" w:name="__626"/>
      <w:pPr>
        <w:pStyle w:val="Normal"/>
      </w:pPr>
      <w:r>
        <w:t>[</w:t>
      </w:r>
      <w:hyperlink w:anchor="626">
        <w:r>
          <w:rPr>
            <w:rStyle w:val="Text1"/>
          </w:rPr>
          <w:t>←626</w:t>
        </w:r>
      </w:hyperlink>
      <w:r>
        <w:t xml:space="preserve"> ] </w:t>
      </w:r>
      <w:bookmarkEnd w:id="1379"/>
    </w:p>
    <w:p>
      <w:pPr>
        <w:pStyle w:val="Para 01"/>
      </w:pPr>
      <w:r>
        <w:t>Georg A., HW 439; Erwin N., HW 1685.</w:t>
      </w:r>
    </w:p>
    <w:p>
      <w:bookmarkStart w:id="1380" w:name="__627"/>
      <w:pPr>
        <w:pStyle w:val="Normal"/>
      </w:pPr>
      <w:r>
        <w:t>[</w:t>
      </w:r>
      <w:hyperlink w:anchor="627">
        <w:r>
          <w:rPr>
            <w:rStyle w:val="Text1"/>
          </w:rPr>
          <w:t>←627</w:t>
        </w:r>
      </w:hyperlink>
      <w:r>
        <w:t xml:space="preserve"> ] </w:t>
      </w:r>
      <w:bookmarkEnd w:id="1380"/>
    </w:p>
    <w:p>
      <w:pPr>
        <w:pStyle w:val="Para 01"/>
      </w:pPr>
      <w:r>
        <w:t>Friedrich B., HW 439; Bruno R., HW 1852; Bruno D., HW 1874; Bruno P., HW 1915; Bruno G., HW 2019.</w:t>
      </w:r>
    </w:p>
    <w:p>
      <w:bookmarkStart w:id="1381" w:name="__628"/>
      <w:pPr>
        <w:pStyle w:val="Normal"/>
      </w:pPr>
      <w:r>
        <w:t>[</w:t>
      </w:r>
      <w:hyperlink w:anchor="628">
        <w:r>
          <w:rPr>
            <w:rStyle w:val="Text1"/>
          </w:rPr>
          <w:t>←628</w:t>
        </w:r>
      </w:hyperlink>
      <w:r>
        <w:t xml:space="preserve"> ] </w:t>
      </w:r>
      <w:bookmarkEnd w:id="1381"/>
    </w:p>
    <w:p>
      <w:pPr>
        <w:pStyle w:val="Para 01"/>
      </w:pPr>
      <w:r>
        <w:t>Oskar P., HW 1743.</w:t>
      </w:r>
    </w:p>
    <w:p>
      <w:bookmarkStart w:id="1382" w:name="__629"/>
      <w:pPr>
        <w:pStyle w:val="Normal"/>
      </w:pPr>
      <w:r>
        <w:t>[</w:t>
      </w:r>
      <w:hyperlink w:anchor="629">
        <w:r>
          <w:rPr>
            <w:rStyle w:val="Text1"/>
          </w:rPr>
          <w:t>←629</w:t>
        </w:r>
      </w:hyperlink>
      <w:r>
        <w:t xml:space="preserve"> ] </w:t>
      </w:r>
      <w:bookmarkEnd w:id="1382"/>
    </w:p>
    <w:p>
      <w:pPr>
        <w:pStyle w:val="Para 06"/>
      </w:pPr>
      <w:r>
        <w:rPr>
          <w:rStyle w:val="Text0"/>
        </w:rPr>
        <w:t xml:space="preserve">Голдхаген, </w:t>
      </w:r>
      <w:r>
        <w:t>Добровольные Палачи</w:t>
      </w:r>
      <w:r>
        <w:rPr>
          <w:rStyle w:val="Text0"/>
        </w:rPr>
        <w:t xml:space="preserve">, </w:t>
        <w:t>240.</w:t>
        <w:t xml:space="preserve"> </w:t>
      </w:r>
    </w:p>
    <w:p>
      <w:bookmarkStart w:id="1383" w:name="__630"/>
      <w:pPr>
        <w:pStyle w:val="Normal"/>
      </w:pPr>
      <w:r>
        <w:t>[</w:t>
      </w:r>
      <w:hyperlink w:anchor="630">
        <w:r>
          <w:rPr>
            <w:rStyle w:val="Text1"/>
          </w:rPr>
          <w:t>←630</w:t>
        </w:r>
      </w:hyperlink>
      <w:r>
        <w:t xml:space="preserve"> ] </w:t>
      </w:r>
      <w:bookmarkEnd w:id="1383"/>
    </w:p>
    <w:p>
      <w:pPr>
        <w:pStyle w:val="Para 06"/>
      </w:pPr>
      <w:r>
        <w:rPr>
          <w:rStyle w:val="Text0"/>
        </w:rPr>
        <w:t xml:space="preserve">Голдхаген, </w:t>
      </w:r>
      <w:r>
        <w:t>Добровольные Палачи</w:t>
      </w:r>
      <w:r>
        <w:rPr>
          <w:rStyle w:val="Text0"/>
        </w:rPr>
        <w:t xml:space="preserve">, </w:t>
        <w:t>241.</w:t>
        <w:t xml:space="preserve"> </w:t>
      </w:r>
    </w:p>
    <w:p>
      <w:bookmarkStart w:id="1384" w:name="__631"/>
      <w:pPr>
        <w:pStyle w:val="Normal"/>
      </w:pPr>
      <w:r>
        <w:t>[</w:t>
      </w:r>
      <w:hyperlink w:anchor="631">
        <w:r>
          <w:rPr>
            <w:rStyle w:val="Text1"/>
          </w:rPr>
          <w:t>←631</w:t>
        </w:r>
      </w:hyperlink>
      <w:r>
        <w:t xml:space="preserve"> ] </w:t>
      </w:r>
      <w:bookmarkEnd w:id="1384"/>
    </w:p>
    <w:p>
      <w:pPr>
        <w:pStyle w:val="Para 01"/>
      </w:pPr>
      <w:r>
        <w:t>Bruno P., HW 1925-26. Нужно также отметить, что свидетель, давший эти показания, свободно предоставил множество инкриминирующей информации и часто цитируем Голдхагеном по другим пунктам, так что его надёжность не вызывает сомнения.</w:t>
      </w:r>
    </w:p>
    <w:p>
      <w:bookmarkStart w:id="1385" w:name="__632"/>
      <w:pPr>
        <w:pStyle w:val="Normal"/>
      </w:pPr>
      <w:r>
        <w:t>[</w:t>
      </w:r>
      <w:hyperlink w:anchor="632">
        <w:r>
          <w:rPr>
            <w:rStyle w:val="Text1"/>
          </w:rPr>
          <w:t>←632</w:t>
        </w:r>
      </w:hyperlink>
      <w:r>
        <w:t xml:space="preserve"> ] </w:t>
      </w:r>
      <w:bookmarkEnd w:id="1385"/>
    </w:p>
    <w:p>
      <w:pPr>
        <w:pStyle w:val="Para 01"/>
      </w:pPr>
      <w:r>
        <w:t xml:space="preserve">Разумеется, мой отбор и использование доказательств Голдхаген также считает тенденциозным и вводящим в заблуждение. Его аргументы часто кажутся мне придирками, но иногда они по делу. К примеру, он корректно отметил, что я должен был предоставить полную цитату и точную атрибуцию </w:t>
        <w:t>увещеваний Траппа, после того как тот увидел «жестокое обращение с евреями» - что люди «имеют задачу расстреливать евреев, а не бить и пытать их». Голдхаген, «Зло банальности» [Evil of Banality], 52.</w:t>
        <w:t xml:space="preserve"> </w:t>
      </w:r>
    </w:p>
    <w:p>
      <w:bookmarkStart w:id="1386" w:name="__633"/>
      <w:pPr>
        <w:pStyle w:val="Normal"/>
      </w:pPr>
      <w:r>
        <w:t>[</w:t>
      </w:r>
      <w:hyperlink w:anchor="633">
        <w:r>
          <w:rPr>
            <w:rStyle w:val="Text1"/>
          </w:rPr>
          <w:t>←633</w:t>
        </w:r>
      </w:hyperlink>
      <w:r>
        <w:t xml:space="preserve"> ] </w:t>
      </w:r>
      <w:bookmarkEnd w:id="1386"/>
    </w:p>
    <w:p>
      <w:pPr>
        <w:pStyle w:val="Para 01"/>
      </w:pPr>
      <w:r>
        <w:t>Хайнц Бухман, HW 2439-40.</w:t>
      </w:r>
    </w:p>
    <w:p>
      <w:bookmarkStart w:id="1387" w:name="__634"/>
      <w:pPr>
        <w:pStyle w:val="Normal"/>
      </w:pPr>
      <w:r>
        <w:t>[</w:t>
      </w:r>
      <w:hyperlink w:anchor="634">
        <w:r>
          <w:rPr>
            <w:rStyle w:val="Text1"/>
          </w:rPr>
          <w:t>←634</w:t>
        </w:r>
      </w:hyperlink>
      <w:r>
        <w:t xml:space="preserve"> ] </w:t>
      </w:r>
      <w:bookmarkEnd w:id="1387"/>
    </w:p>
    <w:p>
      <w:pPr>
        <w:pStyle w:val="Para 01"/>
      </w:pPr>
      <w:r>
        <w:t xml:space="preserve">Голдхаген, </w:t>
      </w:r>
      <w:r>
        <w:rPr>
          <w:rStyle w:val="Text0"/>
        </w:rPr>
        <w:t>Добровольные Палачи</w:t>
      </w:r>
      <w:r>
        <w:t xml:space="preserve">, </w:t>
        <w:t>249-50.</w:t>
        <w:t xml:space="preserve"> </w:t>
      </w:r>
    </w:p>
    <w:p>
      <w:bookmarkStart w:id="1388" w:name="__635"/>
      <w:pPr>
        <w:pStyle w:val="Normal"/>
      </w:pPr>
      <w:r>
        <w:t>[</w:t>
      </w:r>
      <w:hyperlink w:anchor="635">
        <w:r>
          <w:rPr>
            <w:rStyle w:val="Text1"/>
          </w:rPr>
          <w:t>←635</w:t>
        </w:r>
      </w:hyperlink>
      <w:r>
        <w:t xml:space="preserve"> ] </w:t>
      </w:r>
      <w:bookmarkEnd w:id="1388"/>
    </w:p>
    <w:p>
      <w:pPr>
        <w:pStyle w:val="Para 01"/>
      </w:pPr>
      <w:r>
        <w:t>Хайнц Бухман, HW 2441.</w:t>
      </w:r>
    </w:p>
    <w:p>
      <w:bookmarkStart w:id="1389" w:name="__636"/>
      <w:pPr>
        <w:pStyle w:val="Normal"/>
      </w:pPr>
      <w:r>
        <w:t>[</w:t>
      </w:r>
      <w:hyperlink w:anchor="636">
        <w:r>
          <w:rPr>
            <w:rStyle w:val="Text1"/>
          </w:rPr>
          <w:t>←636</w:t>
        </w:r>
      </w:hyperlink>
      <w:r>
        <w:t xml:space="preserve"> ] </w:t>
      </w:r>
      <w:bookmarkEnd w:id="1389"/>
    </w:p>
    <w:p>
      <w:pPr>
        <w:pStyle w:val="Para 01"/>
      </w:pPr>
      <w:r>
        <w:t>Хайнц Бухман, HW 4416.</w:t>
      </w:r>
    </w:p>
    <w:p>
      <w:bookmarkStart w:id="1390" w:name="__637"/>
      <w:pPr>
        <w:pStyle w:val="Normal"/>
      </w:pPr>
      <w:r>
        <w:t>[</w:t>
      </w:r>
      <w:hyperlink w:anchor="637">
        <w:r>
          <w:rPr>
            <w:rStyle w:val="Text1"/>
          </w:rPr>
          <w:t>←637</w:t>
        </w:r>
      </w:hyperlink>
      <w:r>
        <w:t xml:space="preserve"> ] </w:t>
      </w:r>
      <w:bookmarkEnd w:id="1390"/>
    </w:p>
    <w:p>
      <w:pPr>
        <w:pStyle w:val="Para 06"/>
      </w:pPr>
      <w:r>
        <w:rPr>
          <w:rStyle w:val="Text0"/>
        </w:rPr>
        <w:t xml:space="preserve">Голдхаген, </w:t>
      </w:r>
      <w:r>
        <w:t>Добровольные Палачи</w:t>
      </w:r>
      <w:r>
        <w:rPr>
          <w:rStyle w:val="Text0"/>
        </w:rPr>
        <w:t xml:space="preserve">, </w:t>
        <w:t>248.</w:t>
        <w:t xml:space="preserve"> </w:t>
      </w:r>
    </w:p>
    <w:p>
      <w:bookmarkStart w:id="1391" w:name="__638"/>
      <w:pPr>
        <w:pStyle w:val="Normal"/>
      </w:pPr>
      <w:r>
        <w:t>[</w:t>
      </w:r>
      <w:hyperlink w:anchor="638">
        <w:r>
          <w:rPr>
            <w:rStyle w:val="Text1"/>
          </w:rPr>
          <w:t>←638</w:t>
        </w:r>
      </w:hyperlink>
      <w:r>
        <w:t xml:space="preserve"> ] </w:t>
      </w:r>
      <w:bookmarkEnd w:id="1391"/>
    </w:p>
    <w:p>
      <w:pPr>
        <w:pStyle w:val="Para 01"/>
      </w:pPr>
      <w:r>
        <w:t xml:space="preserve">Голдхаген, </w:t>
      </w:r>
      <w:r>
        <w:rPr>
          <w:rStyle w:val="Text0"/>
        </w:rPr>
        <w:t>Добровольные Палачи</w:t>
      </w:r>
      <w:r>
        <w:t xml:space="preserve">, </w:t>
        <w:t>235-36; Hermann B., HW 3066-67, 3214, 3515.</w:t>
        <w:t xml:space="preserve"> </w:t>
      </w:r>
    </w:p>
    <w:p>
      <w:bookmarkStart w:id="1392" w:name="__639"/>
      <w:pPr>
        <w:pStyle w:val="Normal"/>
      </w:pPr>
      <w:r>
        <w:t>[</w:t>
      </w:r>
      <w:hyperlink w:anchor="639">
        <w:r>
          <w:rPr>
            <w:rStyle w:val="Text1"/>
          </w:rPr>
          <w:t>←639</w:t>
        </w:r>
      </w:hyperlink>
      <w:r>
        <w:t xml:space="preserve"> ] </w:t>
      </w:r>
      <w:bookmarkEnd w:id="1392"/>
    </w:p>
    <w:p>
      <w:pPr>
        <w:pStyle w:val="Para 01"/>
      </w:pPr>
      <w:r>
        <w:t>Bruno D., HW 1874.</w:t>
      </w:r>
    </w:p>
    <w:p>
      <w:bookmarkStart w:id="1393" w:name="__640"/>
      <w:pPr>
        <w:pStyle w:val="Normal"/>
      </w:pPr>
      <w:r>
        <w:t>[</w:t>
      </w:r>
      <w:hyperlink w:anchor="640">
        <w:r>
          <w:rPr>
            <w:rStyle w:val="Text1"/>
          </w:rPr>
          <w:t>←640</w:t>
        </w:r>
      </w:hyperlink>
      <w:r>
        <w:t xml:space="preserve"> ] </w:t>
      </w:r>
      <w:bookmarkEnd w:id="1393"/>
    </w:p>
    <w:p>
      <w:pPr>
        <w:pStyle w:val="Para 01"/>
      </w:pPr>
      <w:r>
        <w:t>Wilhelm E., HW 2239.</w:t>
      </w:r>
    </w:p>
    <w:p>
      <w:bookmarkStart w:id="1394" w:name="__641"/>
      <w:pPr>
        <w:pStyle w:val="Normal"/>
      </w:pPr>
      <w:r>
        <w:t>[</w:t>
      </w:r>
      <w:hyperlink w:anchor="641">
        <w:r>
          <w:rPr>
            <w:rStyle w:val="Text1"/>
          </w:rPr>
          <w:t>←641</w:t>
        </w:r>
      </w:hyperlink>
      <w:r>
        <w:t xml:space="preserve"> ] </w:t>
      </w:r>
      <w:bookmarkEnd w:id="1394"/>
    </w:p>
    <w:p>
      <w:pPr>
        <w:pStyle w:val="Para 01"/>
      </w:pPr>
      <w:r>
        <w:t>Голдхаген, «Ответ Моим Критикам», 38.</w:t>
      </w:r>
    </w:p>
    <w:p>
      <w:bookmarkStart w:id="1395" w:name="__642"/>
      <w:pPr>
        <w:pStyle w:val="Normal"/>
      </w:pPr>
      <w:r>
        <w:t>[</w:t>
      </w:r>
      <w:hyperlink w:anchor="642">
        <w:r>
          <w:rPr>
            <w:rStyle w:val="Text1"/>
          </w:rPr>
          <w:t>←642</w:t>
        </w:r>
      </w:hyperlink>
      <w:r>
        <w:t xml:space="preserve"> ] </w:t>
      </w:r>
      <w:bookmarkEnd w:id="1395"/>
    </w:p>
    <w:p>
      <w:pPr>
        <w:pStyle w:val="Para 01"/>
      </w:pPr>
      <w:r>
        <w:t xml:space="preserve">Голдхаген, </w:t>
      </w:r>
      <w:r>
        <w:rPr>
          <w:rStyle w:val="Text0"/>
        </w:rPr>
        <w:t>Добровольные Палачи</w:t>
      </w:r>
      <w:r>
        <w:t xml:space="preserve">, </w:t>
        <w:t>381-82.</w:t>
        <w:t xml:space="preserve"> </w:t>
      </w:r>
    </w:p>
    <w:p>
      <w:bookmarkStart w:id="1396" w:name="__643"/>
      <w:pPr>
        <w:pStyle w:val="Normal"/>
      </w:pPr>
      <w:r>
        <w:t>[</w:t>
      </w:r>
      <w:hyperlink w:anchor="643">
        <w:r>
          <w:rPr>
            <w:rStyle w:val="Text1"/>
          </w:rPr>
          <w:t>←643</w:t>
        </w:r>
      </w:hyperlink>
      <w:r>
        <w:t xml:space="preserve"> ] </w:t>
      </w:r>
      <w:bookmarkEnd w:id="1396"/>
    </w:p>
    <w:p>
      <w:pPr>
        <w:pStyle w:val="Para 01"/>
      </w:pPr>
      <w:r>
        <w:t xml:space="preserve">Это факторы, которыми Голдхаген объясняет распад антисемитизма в послевоенной немецкой культуре. </w:t>
        <w:t xml:space="preserve">Голдхаген, </w:t>
      </w:r>
      <w:r>
        <w:rPr>
          <w:rStyle w:val="Text0"/>
        </w:rPr>
        <w:t>Добровольные Палачи</w:t>
      </w:r>
      <w:r>
        <w:t xml:space="preserve">, </w:t>
        <w:t>582, 593-4.</w:t>
        <w:t xml:space="preserve"> </w:t>
      </w:r>
    </w:p>
    <w:p>
      <w:bookmarkStart w:id="1397" w:name="__644"/>
      <w:pPr>
        <w:pStyle w:val="Normal"/>
      </w:pPr>
      <w:r>
        <w:t>[</w:t>
      </w:r>
      <w:hyperlink w:anchor="644">
        <w:r>
          <w:rPr>
            <w:rStyle w:val="Text1"/>
          </w:rPr>
          <w:t>←644</w:t>
        </w:r>
      </w:hyperlink>
      <w:r>
        <w:t xml:space="preserve"> ] </w:t>
      </w:r>
      <w:bookmarkEnd w:id="1397"/>
    </w:p>
    <w:p>
      <w:pPr>
        <w:pStyle w:val="Para 01"/>
      </w:pPr>
      <w:r>
        <w:t>Голдхаген, «Ответ Моим Критикам», 40.</w:t>
      </w:r>
    </w:p>
    <w:p>
      <w:bookmarkStart w:id="1398" w:name="__645"/>
      <w:pPr>
        <w:pStyle w:val="Normal"/>
      </w:pPr>
      <w:r>
        <w:t>[</w:t>
      </w:r>
      <w:hyperlink w:anchor="645">
        <w:r>
          <w:rPr>
            <w:rStyle w:val="Text1"/>
          </w:rPr>
          <w:t>←645</w:t>
        </w:r>
      </w:hyperlink>
      <w:r>
        <w:t xml:space="preserve"> ] </w:t>
      </w:r>
      <w:bookmarkEnd w:id="1398"/>
    </w:p>
    <w:p>
      <w:pPr>
        <w:pStyle w:val="Para 06"/>
      </w:pPr>
      <w:r>
        <w:rPr>
          <w:rStyle w:val="Text0"/>
        </w:rPr>
        <w:t xml:space="preserve">Герберт К. Келман и В. Ли Гамильтон, </w:t>
      </w:r>
      <w:r>
        <w:t xml:space="preserve">Преступное подчинение: К Социальной Психологии Власти и </w:t>
      </w:r>
      <w:r>
        <w:rPr>
          <w:rStyle w:val="Text0"/>
        </w:rPr>
        <w:t xml:space="preserve">Ответственности [Herbert C. Kelman and V. Lee Hamilton, </w:t>
      </w:r>
      <w:r>
        <w:t>Crimes of Obedience: Toward a Social Psychology of Authority and Resposibility</w:t>
      </w:r>
      <w:r>
        <w:rPr>
          <w:rStyle w:val="Text0"/>
        </w:rPr>
        <w:t>] (Нью-Хейвен, 1989).</w:t>
        <w:t xml:space="preserve"> </w:t>
      </w:r>
    </w:p>
    <w:p>
      <w:bookmarkStart w:id="1399" w:name="__646"/>
      <w:pPr>
        <w:pStyle w:val="Normal"/>
      </w:pPr>
      <w:r>
        <w:t>[</w:t>
      </w:r>
      <w:hyperlink w:anchor="646">
        <w:r>
          <w:rPr>
            <w:rStyle w:val="Text1"/>
          </w:rPr>
          <w:t>←646</w:t>
        </w:r>
      </w:hyperlink>
      <w:r>
        <w:t xml:space="preserve"> ] </w:t>
      </w:r>
      <w:bookmarkEnd w:id="1399"/>
    </w:p>
    <w:p>
      <w:pPr>
        <w:pStyle w:val="Para 01"/>
      </w:pPr>
      <w:r>
        <w:t xml:space="preserve">Периодически нацисты понимали необходимость поддерживания подобного различия для умов большинства соучастников. Тогда как не было судов над людьми за отказ стрелять в евреев, были однако расследования(и в одном случае суд за убийство) «не авторизованных» убийств евреев даже в самый кровавый год Холокоста — 1942. К примеру, </w:t>
        <w:t>Пражский Военный Архив [Military Archiv Prague], Varia SS, 124: Feldurteil in der Strafsache geger Johann Meisslein, Gerricht der kdtr. Des Bereiches Proskurow (FK183), March 12, 1943.</w:t>
        <w:t xml:space="preserve"> </w:t>
      </w:r>
    </w:p>
    <w:p>
      <w:bookmarkStart w:id="1400" w:name="__647"/>
      <w:pPr>
        <w:pStyle w:val="Normal"/>
      </w:pPr>
      <w:r>
        <w:t>[</w:t>
      </w:r>
      <w:hyperlink w:anchor="647">
        <w:r>
          <w:rPr>
            <w:rStyle w:val="Text1"/>
          </w:rPr>
          <w:t>←647</w:t>
        </w:r>
      </w:hyperlink>
      <w:r>
        <w:t xml:space="preserve"> ] </w:t>
      </w:r>
      <w:bookmarkEnd w:id="1400"/>
    </w:p>
    <w:p>
      <w:pPr>
        <w:pStyle w:val="Para 01"/>
      </w:pPr>
      <w:r>
        <w:t xml:space="preserve">James Waller, «Perpetrators of the Holocaust: Divided and Unitary Self-Conception of Evildoing», </w:t>
      </w:r>
      <w:r>
        <w:rPr>
          <w:rStyle w:val="Text0"/>
        </w:rPr>
        <w:t>Holocaust and Genocide Studies</w:t>
      </w:r>
      <w:r>
        <w:t xml:space="preserve"> 10, no.1 (Spring 1996), 11-33.</w:t>
        <w:t xml:space="preserve"> </w:t>
      </w:r>
    </w:p>
    <w:p>
      <w:bookmarkStart w:id="1401" w:name="__648"/>
      <w:pPr>
        <w:pStyle w:val="Normal"/>
      </w:pPr>
      <w:r>
        <w:t>[</w:t>
      </w:r>
      <w:hyperlink w:anchor="648">
        <w:r>
          <w:rPr>
            <w:rStyle w:val="Text1"/>
          </w:rPr>
          <w:t>←648</w:t>
        </w:r>
      </w:hyperlink>
      <w:r>
        <w:t xml:space="preserve"> ] </w:t>
      </w:r>
      <w:bookmarkEnd w:id="1401"/>
    </w:p>
    <w:p>
      <w:pPr>
        <w:pStyle w:val="Para 06"/>
      </w:pPr>
      <w:r>
        <w:rPr>
          <w:rStyle w:val="Text0"/>
        </w:rPr>
        <w:t xml:space="preserve">Голдхаген, </w:t>
      </w:r>
      <w:r>
        <w:t>Добровольные Палачи</w:t>
      </w:r>
      <w:r>
        <w:rPr>
          <w:rStyle w:val="Text0"/>
        </w:rPr>
        <w:t xml:space="preserve">, </w:t>
        <w:t>13.</w:t>
        <w:t xml:space="preserve"> </w:t>
      </w:r>
    </w:p>
    <w:p>
      <w:bookmarkStart w:id="1402" w:name="__649"/>
      <w:pPr>
        <w:pStyle w:val="Normal"/>
      </w:pPr>
      <w:r>
        <w:t>[</w:t>
      </w:r>
      <w:hyperlink w:anchor="649">
        <w:r>
          <w:rPr>
            <w:rStyle w:val="Text1"/>
          </w:rPr>
          <w:t>←649</w:t>
        </w:r>
      </w:hyperlink>
      <w:r>
        <w:t xml:space="preserve"> ] </w:t>
      </w:r>
      <w:bookmarkEnd w:id="1402"/>
    </w:p>
    <w:p>
      <w:pPr>
        <w:pStyle w:val="Para 06"/>
      </w:pPr>
      <w:r>
        <w:rPr>
          <w:rStyle w:val="Text0"/>
        </w:rPr>
        <w:t xml:space="preserve">Голдхаген, </w:t>
      </w:r>
      <w:r>
        <w:t>Добровольные Палачи</w:t>
      </w:r>
      <w:r>
        <w:rPr>
          <w:rStyle w:val="Text0"/>
        </w:rPr>
        <w:t xml:space="preserve">, </w:t>
        <w:t>383.</w:t>
        <w:t xml:space="preserve"> </w:t>
      </w:r>
    </w:p>
    <w:p>
      <w:bookmarkStart w:id="1403" w:name="__650"/>
      <w:pPr>
        <w:pStyle w:val="Normal"/>
      </w:pPr>
      <w:r>
        <w:t>[</w:t>
      </w:r>
      <w:hyperlink w:anchor="650">
        <w:r>
          <w:rPr>
            <w:rStyle w:val="Text1"/>
          </w:rPr>
          <w:t>←650</w:t>
        </w:r>
      </w:hyperlink>
      <w:r>
        <w:t xml:space="preserve"> ] </w:t>
      </w:r>
      <w:bookmarkEnd w:id="1403"/>
    </w:p>
    <w:p>
      <w:pPr>
        <w:pStyle w:val="Para 01"/>
      </w:pPr>
      <w:r>
        <w:t>Самая последняя техника предполагаемых опровержений («Письмо Редакторам», 5) Голдхагена достаточно необычна и оригинальна. Он изобретает или придумывает гипотетическое или контрфактическое стенографическое показание о социальном давлении. Затем объявляет, что отсутствие именно такого стенографического показания полностью доказывает отсутствие социального давления как фактора.</w:t>
      </w:r>
    </w:p>
    <w:p>
      <w:bookmarkStart w:id="1404" w:name="__651"/>
      <w:pPr>
        <w:pStyle w:val="Normal"/>
      </w:pPr>
      <w:r>
        <w:t>[</w:t>
      </w:r>
      <w:hyperlink w:anchor="651">
        <w:r>
          <w:rPr>
            <w:rStyle w:val="Text1"/>
          </w:rPr>
          <w:t>←651</w:t>
        </w:r>
      </w:hyperlink>
      <w:r>
        <w:t xml:space="preserve"> ] </w:t>
      </w:r>
      <w:bookmarkEnd w:id="1404"/>
    </w:p>
    <w:p>
      <w:pPr>
        <w:pStyle w:val="Para 01"/>
      </w:pPr>
      <w:r>
        <w:t xml:space="preserve">Голдхаген, «Ответ Моим Критикам», </w:t>
        <w:t xml:space="preserve">38-40. В своей книге Голдхаген делает такое же заявление: «Общепринятые объяснения ... отрицают человечность преступников, а именно того, что они были </w:t>
        <w:t>моральными агентами, существами с моралью, способными совершать моральный выбор.</w:t>
        <w:t xml:space="preserve"> </w:t>
      </w:r>
    </w:p>
    <w:p>
      <w:bookmarkStart w:id="1405" w:name="__652"/>
      <w:pPr>
        <w:pStyle w:val="Normal"/>
      </w:pPr>
      <w:r>
        <w:t>[</w:t>
      </w:r>
      <w:hyperlink w:anchor="652">
        <w:r>
          <w:rPr>
            <w:rStyle w:val="Text1"/>
          </w:rPr>
          <w:t>←652</w:t>
        </w:r>
      </w:hyperlink>
      <w:r>
        <w:t xml:space="preserve"> ] </w:t>
      </w:r>
      <w:bookmarkEnd w:id="1405"/>
    </w:p>
    <w:p>
      <w:pPr>
        <w:pStyle w:val="Para 01"/>
      </w:pPr>
      <w:r>
        <w:t>Стэнли Милгрэм не предполагал, а тестировал, является ли «подчинение авторитету» межкультурным феноменом, а так же эксплицитно признавал, что предубеждение перед и индоктринация против жертвой несомненно усилит готовность субъекта причинить боль жертве. Зимбардо же намеренно отсеял предубеждённых субъектов именно потому, что их участие исказит результат. Келман и Гамильтон подтверждают, что культурные факторы — такие как негативное отношение к жертвам — облегчают подчинение людям легитимной власти в политике санкционированных массовых убийств.</w:t>
      </w:r>
    </w:p>
    <w:p>
      <w:bookmarkStart w:id="1406" w:name="__653"/>
      <w:pPr>
        <w:pStyle w:val="Normal"/>
      </w:pPr>
      <w:r>
        <w:t>[</w:t>
      </w:r>
      <w:hyperlink w:anchor="653">
        <w:r>
          <w:rPr>
            <w:rStyle w:val="Text1"/>
          </w:rPr>
          <w:t>←653</w:t>
        </w:r>
      </w:hyperlink>
      <w:r>
        <w:t xml:space="preserve"> ] </w:t>
      </w:r>
      <w:bookmarkEnd w:id="1406"/>
    </w:p>
    <w:p>
      <w:pPr>
        <w:pStyle w:val="Para 06"/>
      </w:pPr>
      <w:r>
        <w:rPr>
          <w:rStyle w:val="Text0"/>
        </w:rPr>
        <w:t xml:space="preserve">Голдхаген, </w:t>
      </w:r>
      <w:r>
        <w:t>Добровольные Палачи</w:t>
      </w:r>
      <w:r>
        <w:rPr>
          <w:rStyle w:val="Text0"/>
        </w:rPr>
        <w:t xml:space="preserve">, </w:t>
        <w:t>389.</w:t>
        <w:t xml:space="preserve"> </w:t>
      </w:r>
    </w:p>
    <w:p>
      <w:bookmarkStart w:id="1407" w:name="__654"/>
      <w:pPr>
        <w:pStyle w:val="Normal"/>
      </w:pPr>
      <w:r>
        <w:t>[</w:t>
      </w:r>
      <w:hyperlink w:anchor="654">
        <w:r>
          <w:rPr>
            <w:rStyle w:val="Text1"/>
          </w:rPr>
          <w:t>←654</w:t>
        </w:r>
      </w:hyperlink>
      <w:r>
        <w:t xml:space="preserve"> ] </w:t>
      </w:r>
      <w:bookmarkEnd w:id="1407"/>
    </w:p>
    <w:p>
      <w:pPr>
        <w:pStyle w:val="Para 01"/>
      </w:pPr>
      <w:r>
        <w:t xml:space="preserve">Голдхаген, </w:t>
      </w:r>
      <w:r>
        <w:rPr>
          <w:rStyle w:val="Text0"/>
        </w:rPr>
        <w:t>Добровольные Палачи</w:t>
      </w:r>
      <w:r>
        <w:t xml:space="preserve">, </w:t>
        <w:t>27, 269.</w:t>
        <w:t xml:space="preserve"> </w:t>
      </w:r>
    </w:p>
    <w:p>
      <w:bookmarkStart w:id="1408" w:name="__655"/>
      <w:pPr>
        <w:pStyle w:val="Normal"/>
      </w:pPr>
      <w:r>
        <w:t>[</w:t>
      </w:r>
      <w:hyperlink w:anchor="655">
        <w:r>
          <w:rPr>
            <w:rStyle w:val="Text1"/>
          </w:rPr>
          <w:t>←655</w:t>
        </w:r>
      </w:hyperlink>
      <w:r>
        <w:t xml:space="preserve"> ] </w:t>
      </w:r>
      <w:bookmarkEnd w:id="1408"/>
    </w:p>
    <w:p>
      <w:pPr>
        <w:pStyle w:val="Para 06"/>
      </w:pPr>
      <w:r>
        <w:rPr>
          <w:rStyle w:val="Text0"/>
        </w:rPr>
        <w:t xml:space="preserve">Голдхаген, </w:t>
      </w:r>
      <w:r>
        <w:t>Добровольные Палачи</w:t>
      </w:r>
      <w:r>
        <w:rPr>
          <w:rStyle w:val="Text0"/>
        </w:rPr>
        <w:t xml:space="preserve">, </w:t>
        <w:t>34.</w:t>
        <w:t xml:space="preserve"> </w:t>
      </w:r>
    </w:p>
    <w:p>
      <w:bookmarkStart w:id="1409" w:name="__656"/>
      <w:pPr>
        <w:pStyle w:val="Normal"/>
      </w:pPr>
      <w:r>
        <w:t>[</w:t>
      </w:r>
      <w:hyperlink w:anchor="656">
        <w:r>
          <w:rPr>
            <w:rStyle w:val="Text1"/>
          </w:rPr>
          <w:t>←656</w:t>
        </w:r>
      </w:hyperlink>
      <w:r>
        <w:t xml:space="preserve"> ] </w:t>
      </w:r>
      <w:bookmarkEnd w:id="1409"/>
    </w:p>
    <w:p>
      <w:pPr>
        <w:pStyle w:val="Para 06"/>
      </w:pPr>
      <w:r>
        <w:rPr>
          <w:rStyle w:val="Text0"/>
        </w:rPr>
        <w:t xml:space="preserve">Голдхаген, </w:t>
      </w:r>
      <w:r>
        <w:t>Добровольные Палачи</w:t>
      </w:r>
      <w:r>
        <w:rPr>
          <w:rStyle w:val="Text0"/>
        </w:rPr>
        <w:t xml:space="preserve">, </w:t>
        <w:t>106.</w:t>
        <w:t xml:space="preserve"> </w:t>
      </w:r>
    </w:p>
    <w:p>
      <w:bookmarkStart w:id="1410" w:name="__657"/>
      <w:pPr>
        <w:pStyle w:val="Normal"/>
      </w:pPr>
      <w:r>
        <w:t>[</w:t>
      </w:r>
      <w:hyperlink w:anchor="657">
        <w:r>
          <w:rPr>
            <w:rStyle w:val="Text1"/>
          </w:rPr>
          <w:t>←657</w:t>
        </w:r>
      </w:hyperlink>
      <w:r>
        <w:t xml:space="preserve"> ] </w:t>
      </w:r>
      <w:bookmarkEnd w:id="1410"/>
    </w:p>
    <w:p>
      <w:pPr>
        <w:pStyle w:val="Para 01"/>
      </w:pPr>
      <w:r>
        <w:t xml:space="preserve">Голдхаген, </w:t>
      </w:r>
      <w:r>
        <w:rPr>
          <w:rStyle w:val="Text0"/>
        </w:rPr>
        <w:t>Добровольные Палачи</w:t>
      </w:r>
      <w:r>
        <w:t xml:space="preserve">, </w:t>
        <w:t>399, 85.</w:t>
        <w:t xml:space="preserve"> </w:t>
      </w:r>
    </w:p>
    <w:p>
      <w:bookmarkStart w:id="1411" w:name="__658"/>
      <w:pPr>
        <w:pStyle w:val="Normal"/>
      </w:pPr>
      <w:r>
        <w:t>[</w:t>
      </w:r>
      <w:hyperlink w:anchor="658">
        <w:r>
          <w:rPr>
            <w:rStyle w:val="Text1"/>
          </w:rPr>
          <w:t>←658</w:t>
        </w:r>
      </w:hyperlink>
      <w:r>
        <w:t xml:space="preserve"> ] </w:t>
      </w:r>
      <w:bookmarkEnd w:id="1411"/>
    </w:p>
    <w:p>
      <w:pPr>
        <w:keepNext/>
        <w:pStyle w:val="Para 06"/>
      </w:pPr>
      <w:r>
        <w:rPr>
          <w:rStyle w:val="Text0"/>
        </w:rPr>
        <w:t xml:space="preserve">Голдхаген, </w:t>
      </w:r>
      <w:r>
        <w:t>Добровольные Палачи</w:t>
      </w:r>
      <w:r>
        <w:rPr>
          <w:rStyle w:val="Text0"/>
        </w:rPr>
        <w:t xml:space="preserve">, </w:t>
        <w:t>443.</w:t>
        <w:t xml:space="preserve"> </w:t>
      </w:r>
    </w:p>
    <w:sectPr>
      <w:pgSz w:w="11905" w:h="16837"/>
      <w:pgMar w:left="1440" w:top="1440" w:right="1440" w:bottom="1440"/>
      <w:cols w:space="720"/>
      <w:docGrid w:linePitch="360"/>
    </w:sectPr>
  </w:body>
</w:document>
</file>

<file path=word/fontTable.xml><?xml version="1.0" encoding="utf-8"?>
<w:fonts xmlns:w="http://schemas.openxmlformats.org/wordprocessingml/2006/main" xmlns:r="http://schemas.openxmlformats.org/officeDocument/2006/relationships">
  <w:font w:name="C059">
    <w:embedRegular r:id="rId9" w:fontKey="{955862F6-A51B-4F73-8C1F-3D34A82F6D5E}" w:subsetted="true"/>
    <w:embedItalic r:id="rId10" w:fontKey="{3A8D6264-4202-42E3-BABB-5214D176E236}" w:subsetted="true"/>
    <w:embedBold r:id="rId16" w:fontKey="{7A512BB5-C5AD-42D4-9B85-E15EF12790B3}" w:subsetted="true"/>
  </w:font>
  <w:font w:name="Cambria"/>
  <w:font w:name="DejaVu Serif Condensed">
    <w:embedRegular r:id="rId11" w:fontKey="{ED261E9B-29F8-46C9-8586-3FCA288F31BB}" w:subsetted="true"/>
    <w:embedItalic r:id="rId13" w:fontKey="{55F0437D-4B52-4ECC-888E-FECCA8F2CCD7}" w:subsetted="true"/>
  </w:font>
  <w:font w:name="Liberation"/>
  <w:font w:name="Liberation Mono">
    <w:embedRegular r:id="rId8" w:fontKey="{E0654807-5AF4-4E4B-84EB-9C6E1CB7C9E6}" w:subsetted="true"/>
  </w:font>
  <w:font w:name="Liberation Sans">
    <w:embedRegular r:id="rId3" w:fontKey="{FFCB678B-9F8F-41AF-9D7B-96A5B5E24AA2}" w:subsetted="true"/>
    <w:embedBold r:id="rId5" w:fontKey="{13C0FD09-4B2B-4B35-A1E5-3E015A3EF4AC}" w:subsetted="true"/>
  </w:font>
  <w:font w:name="Liberation Serif">
    <w:embedBold r:id="rId2" w:fontKey="{A9BA4BC4-5064-49C9-BCBD-238E1724315F}" w:subsetted="true"/>
    <w:embedRegular r:id="rId6" w:fontKey="{3723FA12-1E94-4D07-91A4-C099D2E57A98}" w:subsetted="true"/>
    <w:embedItalic r:id="rId14" w:fontKey="{0F015108-D09B-4C61-9287-1D8795598320}" w:subsetted="true"/>
  </w:font>
  <w:font w:name="Nimbus Mono PS">
    <w:embedRegular r:id="rId15" w:fontKey="{402FC865-6981-4C0B-8CA9-C2527D7582C7}" w:subsetted="true"/>
  </w:font>
  <w:font w:name="Noto Serif">
    <w:embedRegular r:id="rId7" w:fontKey="{2802AF03-591B-4177-9B4C-4B5630EEC740}" w:subsetted="true"/>
  </w:font>
  <w:font w:name="URW Bookman">
    <w:embedRegular r:id="rId12" w:fontKey="{964DA327-0605-4743-93B7-70F290A30FEE}" w:subsetted="true"/>
    <w:embedItalic r:id="rId17" w:fontKey="{7386CB49-3EAB-4A7A-9142-247C2DFFCA8C}" w:subsetted="true"/>
  </w:font>
  <w:font w:name="UkrainianCompact">
    <w:embedBold r:id="rId1" w:fontKey="{B2831B5E-A491-40EA-9050-C4F842F55374}" w:subsetted="true"/>
    <w:embedRegular r:id="rId4" w:fontKey="{45D41493-8379-40A6-B92C-6790EA9ACEFD}" w:subsetted="true"/>
  </w:font>
  <w:font w:name="С059"/>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line="288" w:lineRule="atLeast"/>
      <w:jc w:val="both"/>
    </w:pPr>
    <w:rPr>
      <w:rFonts w:ascii="Cambria" w:cs="Cambria" w:eastAsia="Cambria" w:hAnsi="Cambria"/>
      <w:sz w:val="23"/>
      <w:szCs w:val="23"/>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288" w:line="207" w:lineRule="atLeast"/>
      <w:ind w:left="345" w:leftChars="0" w:hanging="345" w:hangingChars="0"/>
    </w:pPr>
    <w:rPr>
      <w:rFonts w:ascii="URW Bookman" w:cs="URW Bookman" w:eastAsia="URW Bookman" w:hAnsi="URW Bookman"/>
      <w:sz w:val="18"/>
      <w:szCs w:val="18"/>
    </w:rPr>
  </w:style>
  <w:style w:styleId="Para 02" w:type="paragraph">
    <w:name w:val="Para 02"/>
    <w:qFormat/>
    <w:basedOn w:val="Normal"/>
    <w:pPr>
      <w:spacing w:after="139" w:line="275" w:lineRule="atLeast"/>
    </w:pPr>
    <w:rPr>
      <w:rFonts w:ascii="C059" w:cs="C059" w:eastAsia="C059" w:hAnsi="C059"/>
    </w:rPr>
  </w:style>
  <w:style w:styleId="Para 03" w:type="paragraph">
    <w:name w:val="Para 03"/>
    <w:qFormat/>
    <w:basedOn w:val="Normal"/>
    <w:pPr>
      <w:spacing w:after="139" w:line="207" w:lineRule="atLeast"/>
    </w:pPr>
    <w:rPr>
      <w:rFonts w:ascii="URW Bookman" w:cs="URW Bookman" w:eastAsia="URW Bookman" w:hAnsi="URW Bookman"/>
      <w:sz w:val="18"/>
      <w:szCs w:val="18"/>
    </w:rPr>
  </w:style>
  <w:style w:styleId="Para 04" w:type="paragraph">
    <w:name w:val="Para 04"/>
    <w:qFormat/>
    <w:basedOn w:val="Normal"/>
    <w:pPr>
      <w:spacing w:after="139" w:line="275" w:lineRule="atLeast"/>
    </w:pPr>
    <w:rPr>
      <w:rFonts w:ascii="DejaVu Serif Condensed" w:cs="DejaVu Serif Condensed" w:eastAsia="DejaVu Serif Condensed" w:hAnsi="DejaVu Serif Condensed"/>
    </w:rPr>
  </w:style>
  <w:style w:styleId="Para 05" w:type="paragraph">
    <w:name w:val="Para 05"/>
    <w:qFormat/>
    <w:basedOn w:val="Normal"/>
    <w:pPr>
      <w:spacing w:after="139" w:line="207" w:lineRule="atLeast"/>
    </w:pPr>
    <w:rPr>
      <w:rFonts w:ascii="C059" w:cs="C059" w:eastAsia="C059" w:hAnsi="C059"/>
    </w:rPr>
  </w:style>
  <w:style w:styleId="Para 06" w:type="paragraph">
    <w:name w:val="Para 06"/>
    <w:qFormat/>
    <w:basedOn w:val="Normal"/>
    <w:pPr>
      <w:spacing w:after="288" w:line="207" w:lineRule="atLeast"/>
      <w:ind w:left="345" w:leftChars="0" w:hanging="345" w:hangingChars="0"/>
    </w:pPr>
    <w:rPr>
      <w:rFonts w:ascii="URW Bookman" w:cs="URW Bookman" w:eastAsia="URW Bookman" w:hAnsi="URW Bookman"/>
      <w:sz w:val="18"/>
      <w:szCs w:val="18"/>
      <w:i w:val="on"/>
      <w:iCs w:val="on"/>
    </w:rPr>
  </w:style>
  <w:style w:styleId="Para 07" w:type="paragraph">
    <w:name w:val="Para 07"/>
    <w:qFormat/>
    <w:basedOn w:val="Normal"/>
    <w:pPr>
      <w:spacing w:after="139" w:line="207" w:lineRule="atLeast"/>
    </w:pPr>
    <w:rPr>
      <w:rFonts w:ascii="Liberation" w:cs="Liberation" w:eastAsia="Liberation" w:hAnsi="Liberation"/>
      <w:sz w:val="18"/>
      <w:szCs w:val="18"/>
    </w:rPr>
  </w:style>
  <w:style w:styleId="Para 08" w:type="paragraph">
    <w:name w:val="Para 08"/>
    <w:qFormat/>
    <w:basedOn w:val="Normal"/>
    <w:pPr>
      <w:spacing w:after="139" w:line="207" w:lineRule="atLeast"/>
    </w:pPr>
    <w:rPr>
      <w:rFonts w:ascii="UkrainianCompact" w:cs="UkrainianCompact" w:eastAsia="UkrainianCompact" w:hAnsi="UkrainianCompact"/>
      <w:sz w:val="27"/>
      <w:szCs w:val="27"/>
      <w:color w:val="0000FF"/>
      <w:u w:val="single"/>
    </w:rPr>
  </w:style>
  <w:style w:styleId="Para 09" w:type="paragraph">
    <w:name w:val="Para 09"/>
    <w:qFormat/>
    <w:basedOn w:val="Normal"/>
    <w:pPr>
      <w:jc w:val="left"/>
    </w:pPr>
    <w:rPr>
      <w:rFonts w:ascii="Liberation Mono" w:cs="Liberation Mono" w:eastAsia="Liberation Mono" w:hAnsi="Liberation Mono"/>
      <w:sz w:val="18"/>
      <w:szCs w:val="18"/>
    </w:rPr>
  </w:style>
  <w:style w:styleId="Heading 2" w:type="paragraph">
    <w:name w:val="Heading 2"/>
    <w:qFormat/>
    <w:basedOn w:val="Normal"/>
    <w:pPr>
      <w:spacing w:before="200" w:after="120" w:line="324" w:lineRule="atLeast"/>
      <w:jc w:val="center"/>
      <w:outlineLvl w:val="2"/>
    </w:pPr>
    <w:rPr>
      <w:rFonts w:ascii="Liberation Sans" w:cs="Liberation Sans" w:eastAsia="Liberation Sans" w:hAnsi="Liberation Sans"/>
      <w:sz w:val="27"/>
      <w:szCs w:val="27"/>
      <w:b w:val="on"/>
      <w:bCs w:val="on"/>
      <w:u w:val="single"/>
    </w:rPr>
  </w:style>
  <w:style w:styleId="Para 11" w:type="paragraph">
    <w:name w:val="Para 11"/>
    <w:qFormat/>
    <w:basedOn w:val="Normal"/>
    <w:pPr>
      <w:spacing w:after="139" w:line="391" w:lineRule="atLeast"/>
      <w:jc w:val="center"/>
    </w:pPr>
    <w:rPr>
      <w:rFonts w:ascii="UkrainianCompact" w:cs="UkrainianCompact" w:eastAsia="UkrainianCompact" w:hAnsi="UkrainianCompact"/>
      <w:sz w:val="34"/>
      <w:szCs w:val="34"/>
    </w:rPr>
  </w:style>
  <w:style w:styleId="Para 12" w:type="paragraph">
    <w:name w:val="Para 12"/>
    <w:qFormat/>
    <w:basedOn w:val="Normal"/>
    <w:pPr>
      <w:spacing w:after="139" w:line="207" w:lineRule="atLeast"/>
      <w:jc w:val="center"/>
    </w:pPr>
    <w:rPr>
      <w:rFonts w:ascii="Nimbus Mono PS" w:cs="Nimbus Mono PS" w:eastAsia="Nimbus Mono PS" w:hAnsi="Nimbus Mono PS"/>
      <w:sz w:val="18"/>
      <w:szCs w:val="18"/>
    </w:rPr>
  </w:style>
  <w:style w:styleId="Para 13" w:type="paragraph">
    <w:name w:val="Para 13"/>
    <w:qFormat/>
    <w:basedOn w:val="Normal"/>
    <w:pPr>
      <w:spacing w:before="200" w:after="120" w:line="408" w:lineRule="atLeast"/>
      <w:jc w:val="center"/>
    </w:pPr>
    <w:rPr>
      <w:rFonts w:ascii="Liberation Sans" w:cs="Liberation Sans" w:eastAsia="Liberation Sans" w:hAnsi="Liberation Sans"/>
      <w:sz w:val="34"/>
      <w:szCs w:val="34"/>
    </w:rPr>
  </w:style>
  <w:style w:styleId="Para 14" w:type="paragraph">
    <w:name w:val="Para 14"/>
    <w:qFormat/>
    <w:basedOn w:val="Normal"/>
    <w:pPr>
      <w:spacing w:after="139" w:line="207" w:lineRule="atLeast"/>
      <w:jc w:val="center"/>
    </w:pPr>
    <w:rPr>
      <w:rFonts w:ascii="Liberation Serif" w:cs="Liberation Serif" w:eastAsia="Liberation Serif" w:hAnsi="Liberation Serif"/>
      <w:sz w:val="18"/>
      <w:szCs w:val="18"/>
    </w:rPr>
  </w:style>
  <w:style w:styleId="Para 15" w:type="paragraph">
    <w:name w:val="Para 15"/>
    <w:qFormat/>
    <w:basedOn w:val="Normal"/>
    <w:pPr>
      <w:spacing w:after="139" w:line="207" w:lineRule="atLeast"/>
    </w:pPr>
    <w:rPr>
      <w:rFonts w:ascii="DejaVu Serif Condensed" w:cs="DejaVu Serif Condensed" w:eastAsia="DejaVu Serif Condensed" w:hAnsi="DejaVu Serif Condensed"/>
    </w:rPr>
  </w:style>
  <w:style w:styleId="Para 16" w:type="paragraph">
    <w:name w:val="Para 16"/>
    <w:qFormat/>
    <w:basedOn w:val="Normal"/>
    <w:pPr>
      <w:spacing w:after="139" w:line="275" w:lineRule="atLeast"/>
      <w:jc w:val="center"/>
    </w:pPr>
    <w:rPr>
      <w:rFonts w:ascii="DejaVu Serif Condensed" w:cs="DejaVu Serif Condensed" w:eastAsia="DejaVu Serif Condensed" w:hAnsi="DejaVu Serif Condensed"/>
    </w:rPr>
  </w:style>
  <w:style w:styleId="Para 17" w:type="paragraph">
    <w:name w:val="Para 17"/>
    <w:qFormat/>
    <w:basedOn w:val="Normal"/>
    <w:pPr>
      <w:spacing w:line="207" w:lineRule="atLeast"/>
      <w:jc w:val="center"/>
    </w:pPr>
    <w:rPr>
      <w:rFonts w:ascii="Liberation" w:cs="Liberation" w:eastAsia="Liberation" w:hAnsi="Liberation"/>
      <w:sz w:val="18"/>
      <w:szCs w:val="18"/>
    </w:rPr>
  </w:style>
  <w:style w:styleId="Para 18" w:type="paragraph">
    <w:name w:val="Para 18"/>
    <w:qFormat/>
    <w:basedOn w:val="Normal"/>
    <w:pPr>
      <w:spacing w:after="139" w:line="391" w:lineRule="atLeast"/>
      <w:jc w:val="center"/>
    </w:pPr>
    <w:rPr>
      <w:rFonts w:ascii="UkrainianCompact" w:cs="UkrainianCompact" w:eastAsia="UkrainianCompact" w:hAnsi="UkrainianCompact"/>
      <w:sz w:val="34"/>
      <w:szCs w:val="34"/>
      <w:b w:val="on"/>
      <w:bCs w:val="on"/>
    </w:rPr>
  </w:style>
  <w:style w:styleId="Para 19" w:type="paragraph">
    <w:name w:val="Para 19"/>
    <w:qFormat/>
    <w:basedOn w:val="Normal"/>
    <w:pPr>
      <w:spacing w:line="391" w:lineRule="atLeast"/>
      <w:jc w:val="center"/>
    </w:pPr>
    <w:rPr>
      <w:rFonts w:ascii="Liberation" w:cs="Liberation" w:eastAsia="Liberation" w:hAnsi="Liberation"/>
      <w:sz w:val="17"/>
      <w:szCs w:val="17"/>
      <w:b w:val="on"/>
      <w:bCs w:val="on"/>
    </w:rPr>
  </w:style>
  <w:style w:styleId="Para 20" w:type="paragraph">
    <w:name w:val="Para 20"/>
    <w:qFormat/>
    <w:basedOn w:val="Normal"/>
    <w:pPr>
      <w:spacing w:after="139" w:line="408" w:lineRule="atLeast"/>
      <w:jc w:val="center"/>
    </w:pPr>
    <w:rPr>
      <w:rFonts w:ascii="UkrainianCompact" w:cs="UkrainianCompact" w:eastAsia="UkrainianCompact" w:hAnsi="UkrainianCompact"/>
      <w:sz w:val="34"/>
      <w:szCs w:val="34"/>
    </w:rPr>
  </w:style>
  <w:style w:styleId="Para 21" w:type="paragraph">
    <w:name w:val="Para 21"/>
    <w:qFormat/>
    <w:basedOn w:val="Normal"/>
    <w:pPr>
      <w:spacing w:after="139" w:line="324" w:lineRule="atLeast"/>
      <w:jc w:val="center"/>
    </w:pPr>
    <w:rPr>
      <w:sz w:val="27"/>
      <w:szCs w:val="27"/>
      <w:i w:val="on"/>
      <w:iCs w:val="on"/>
    </w:rPr>
  </w:style>
  <w:style w:styleId="Para 22" w:type="paragraph">
    <w:name w:val="Para 22"/>
    <w:qFormat/>
    <w:basedOn w:val="Normal"/>
    <w:pPr>
      <w:spacing w:after="139" w:line="207" w:lineRule="atLeast"/>
      <w:jc w:val="center"/>
    </w:pPr>
    <w:rPr>
      <w:sz w:val="18"/>
      <w:szCs w:val="18"/>
      <w:i w:val="on"/>
      <w:iCs w:val="on"/>
    </w:rPr>
  </w:style>
  <w:style w:styleId="Para 23" w:type="paragraph">
    <w:name w:val="Para 23"/>
    <w:qFormat/>
    <w:basedOn w:val="Normal"/>
    <w:pPr>
      <w:spacing w:before="239" w:after="120" w:line="408" w:lineRule="atLeast"/>
      <w:jc w:val="center"/>
    </w:pPr>
    <w:rPr>
      <w:rFonts w:ascii="Liberation Sans" w:cs="Liberation Sans" w:eastAsia="Liberation Sans" w:hAnsi="Liberation Sans"/>
      <w:sz w:val="34"/>
      <w:szCs w:val="34"/>
    </w:rPr>
  </w:style>
  <w:style w:styleId="Para 24" w:type="paragraph">
    <w:name w:val="Para 24"/>
    <w:qFormat/>
    <w:basedOn w:val="Normal"/>
    <w:pPr>
      <w:spacing w:line="324" w:lineRule="atLeast"/>
      <w:jc w:val="center"/>
    </w:pPr>
    <w:rPr>
      <w:rFonts w:ascii="Liberation" w:cs="Liberation" w:eastAsia="Liberation" w:hAnsi="Liberation"/>
      <w:sz w:val="18"/>
      <w:szCs w:val="18"/>
    </w:rPr>
  </w:style>
  <w:style w:styleId="Para 25" w:type="paragraph">
    <w:name w:val="Para 25"/>
    <w:qFormat/>
    <w:basedOn w:val="Normal"/>
    <w:pPr>
      <w:spacing w:after="139" w:line="324" w:lineRule="atLeast"/>
      <w:jc w:val="center"/>
    </w:pPr>
    <w:rPr>
      <w:rFonts w:ascii="UkrainianCompact" w:cs="UkrainianCompact" w:eastAsia="UkrainianCompact" w:hAnsi="UkrainianCompact"/>
      <w:sz w:val="27"/>
      <w:szCs w:val="27"/>
    </w:rPr>
  </w:style>
  <w:style w:styleId="Para 26" w:type="paragraph">
    <w:name w:val="Para 26"/>
    <w:qFormat/>
    <w:basedOn w:val="Normal"/>
    <w:pPr>
      <w:spacing w:line="576" w:lineRule="atLeast"/>
      <w:jc w:val="center"/>
    </w:pPr>
    <w:rPr>
      <w:rFonts w:ascii="Liberation" w:cs="Liberation" w:eastAsia="Liberation" w:hAnsi="Liberation"/>
      <w:sz w:val="18"/>
      <w:szCs w:val="18"/>
    </w:rPr>
  </w:style>
  <w:style w:styleId="Para 27" w:type="paragraph">
    <w:name w:val="Para 27"/>
    <w:qFormat/>
    <w:basedOn w:val="Normal"/>
    <w:pPr>
      <w:spacing w:before="200" w:after="120" w:line="576" w:lineRule="atLeast"/>
      <w:jc w:val="center"/>
    </w:pPr>
    <w:rPr>
      <w:rFonts w:ascii="Liberation Sans" w:cs="Liberation Sans" w:eastAsia="Liberation Sans" w:hAnsi="Liberation Sans"/>
      <w:sz w:val="48"/>
      <w:szCs w:val="48"/>
    </w:rPr>
  </w:style>
  <w:style w:styleId="Heading 1" w:type="paragraph">
    <w:name w:val="Heading 1"/>
    <w:qFormat/>
    <w:basedOn w:val="Normal"/>
    <w:pPr>
      <w:spacing w:before="239" w:after="120" w:line="408" w:lineRule="atLeast"/>
      <w:outlineLvl w:val="1"/>
    </w:pPr>
    <w:rPr>
      <w:rFonts w:ascii="Liberation Serif" w:cs="Liberation Serif" w:eastAsia="Liberation Serif" w:hAnsi="Liberation Serif"/>
      <w:sz w:val="34"/>
      <w:szCs w:val="34"/>
      <w:b w:val="on"/>
      <w:bCs w:val="on"/>
    </w:rPr>
  </w:style>
  <w:style w:styleId="Para 29" w:type="paragraph">
    <w:name w:val="Para 29"/>
    <w:qFormat/>
    <w:basedOn w:val="Normal"/>
    <w:pPr>
      <w:spacing w:after="288" w:line="207" w:lineRule="atLeast"/>
    </w:pPr>
    <w:rPr>
      <w:rFonts w:ascii="URW Bookman" w:cs="URW Bookman" w:eastAsia="URW Bookman" w:hAnsi="URW Bookman"/>
      <w:sz w:val="18"/>
      <w:szCs w:val="18"/>
      <w:i w:val="on"/>
      <w:iCs w:val="on"/>
    </w:rPr>
  </w:style>
  <w:style w:styleId="Para 30" w:type="paragraph">
    <w:name w:val="Para 30"/>
    <w:qFormat/>
    <w:basedOn w:val="Normal"/>
    <w:pPr>
      <w:spacing w:before="239" w:after="120" w:line="479" w:lineRule="atLeast"/>
      <w:jc w:val="center"/>
    </w:pPr>
    <w:rPr>
      <w:rFonts w:ascii="Liberation Sans" w:cs="Liberation Sans" w:eastAsia="Liberation Sans" w:hAnsi="Liberation Sans"/>
      <w:sz w:val="39"/>
      <w:szCs w:val="39"/>
      <w:b w:val="on"/>
      <w:bCs w:val="on"/>
    </w:rPr>
  </w:style>
  <w:style w:styleId="Para 31" w:type="paragraph">
    <w:name w:val="Para 31"/>
    <w:qFormat/>
    <w:basedOn w:val="Normal"/>
    <w:pPr>
      <w:spacing w:after="139" w:line="275" w:lineRule="atLeast"/>
    </w:pPr>
    <w:rPr>
      <w:rFonts w:ascii="Noto Serif" w:cs="Noto Serif" w:eastAsia="Noto Serif" w:hAnsi="Noto Serif"/>
    </w:rPr>
  </w:style>
  <w:style w:styleId="Para 32" w:type="paragraph">
    <w:name w:val="Para 32"/>
    <w:qFormat/>
    <w:basedOn w:val="Normal"/>
    <w:pPr>
      <w:jc w:val="center"/>
    </w:pPr>
    <w:rPr>
      <w:rFonts w:ascii="Liberation Mono" w:cs="Liberation Mono" w:eastAsia="Liberation Mono" w:hAnsi="Liberation Mono"/>
      <w:sz w:val="18"/>
      <w:szCs w:val="18"/>
    </w:rPr>
  </w:style>
  <w:style w:styleId="Para 33" w:type="paragraph">
    <w:name w:val="Para 33"/>
    <w:qFormat/>
    <w:basedOn w:val="Normal"/>
    <w:pPr>
      <w:spacing w:after="139" w:line="207" w:lineRule="atLeast"/>
    </w:pPr>
    <w:rPr>
      <w:rFonts w:ascii="Liberation Serif" w:cs="Liberation Serif" w:eastAsia="Liberation Serif" w:hAnsi="Liberation Serif"/>
      <w:sz w:val="18"/>
      <w:szCs w:val="18"/>
    </w:rPr>
  </w:style>
  <w:style w:styleId="Para 34" w:type="paragraph">
    <w:name w:val="Para 34"/>
    <w:qFormat/>
    <w:basedOn w:val="Normal"/>
    <w:pPr>
      <w:spacing w:after="139" w:line="207" w:lineRule="atLeast"/>
    </w:pPr>
    <w:rPr>
      <w:rFonts w:ascii="URW Bookman" w:cs="URW Bookman" w:eastAsia="URW Bookman" w:hAnsi="URW Bookman"/>
      <w:sz w:val="18"/>
      <w:szCs w:val="18"/>
    </w:rPr>
  </w:style>
  <w:style w:styleId="Para 35" w:type="paragraph">
    <w:name w:val="Para 35"/>
    <w:qFormat/>
    <w:basedOn w:val="Normal"/>
    <w:pPr>
      <w:spacing w:after="139" w:line="275" w:lineRule="atLeast"/>
    </w:pPr>
    <w:rPr>
      <w:rFonts w:ascii="Liberation" w:cs="Liberation" w:eastAsia="Liberation" w:hAnsi="Liberation"/>
    </w:rPr>
  </w:style>
  <w:style w:styleId="Para 36" w:type="paragraph">
    <w:name w:val="Para 36"/>
    <w:qFormat/>
    <w:basedOn w:val="Normal"/>
    <w:pPr>
      <w:spacing w:after="139" w:line="207" w:lineRule="atLeast"/>
      <w:jc w:val="center"/>
    </w:pPr>
    <w:rPr>
      <w:rFonts w:ascii="Liberation" w:cs="Liberation" w:eastAsia="Liberation" w:hAnsi="Liberation"/>
      <w:sz w:val="18"/>
      <w:szCs w:val="18"/>
      <w:i w:val="on"/>
      <w:iCs w:val="on"/>
    </w:rPr>
  </w:style>
  <w:style w:styleId="Para 37" w:type="paragraph">
    <w:name w:val="Para 37"/>
    <w:qFormat/>
    <w:basedOn w:val="Normal"/>
    <w:pPr>
      <w:spacing w:after="139" w:line="207" w:lineRule="atLeast"/>
      <w:jc w:val="center"/>
    </w:pPr>
    <w:rPr>
      <w:rFonts w:ascii="Liberation" w:cs="Liberation" w:eastAsia="Liberation" w:hAnsi="Liberation"/>
      <w:sz w:val="18"/>
      <w:szCs w:val="18"/>
    </w:rPr>
  </w:style>
  <w:style w:styleId="Para 38" w:type="paragraph">
    <w:name w:val="Para 38"/>
    <w:qFormat/>
    <w:basedOn w:val="Normal"/>
    <w:pPr>
      <w:spacing w:after="139" w:line="207" w:lineRule="atLeast"/>
    </w:pPr>
    <w:rPr>
      <w:rFonts w:ascii="C059" w:cs="C059" w:eastAsia="C059" w:hAnsi="C059"/>
      <w:sz w:val="18"/>
      <w:szCs w:val="18"/>
    </w:rPr>
  </w:style>
  <w:style w:styleId="Para 39" w:type="paragraph">
    <w:name w:val="Para 39"/>
    <w:qFormat/>
    <w:basedOn w:val="Normal"/>
    <w:pPr>
      <w:spacing w:after="139" w:line="207" w:lineRule="atLeast"/>
    </w:pPr>
    <w:rPr>
      <w:rFonts w:ascii="DejaVu Serif Condensed" w:cs="DejaVu Serif Condensed" w:eastAsia="DejaVu Serif Condensed" w:hAnsi="DejaVu Serif Condensed"/>
      <w:sz w:val="18"/>
      <w:szCs w:val="18"/>
    </w:rPr>
  </w:style>
  <w:style w:styleId="Para 40" w:type="paragraph">
    <w:name w:val="Para 40"/>
    <w:qFormat/>
    <w:basedOn w:val="Normal"/>
    <w:pPr>
      <w:spacing w:line="479" w:lineRule="atLeast"/>
    </w:pPr>
    <w:rPr>
      <w:rFonts w:ascii="Liberation Mono" w:cs="Liberation Mono" w:eastAsia="Liberation Mono" w:hAnsi="Liberation Mono"/>
      <w:sz w:val="39"/>
      <w:szCs w:val="39"/>
    </w:rPr>
  </w:style>
  <w:style w:styleId="Para 41" w:type="paragraph">
    <w:name w:val="Para 41"/>
    <w:qFormat/>
    <w:basedOn w:val="Normal"/>
    <w:pPr>
      <w:spacing w:line="288" w:lineRule="atLeast"/>
      <w:jc w:val="both"/>
    </w:pPr>
    <w:rPr>
      <w:rFonts w:ascii="Liberation Mono" w:cs="Liberation Mono" w:eastAsia="Liberation Mono" w:hAnsi="Liberation Mono"/>
      <w:sz w:val="18"/>
      <w:szCs w:val="18"/>
    </w:rPr>
  </w:style>
  <w:style w:styleId="Text0" w:type="character">
    <w:name w:val="00 Text"/>
    <w:rPr>
      <w:i w:val="on"/>
      <w:iCs w:val="on"/>
    </w:rPr>
  </w:style>
  <w:style w:styleId="Text1" w:type="character">
    <w:name w:val="01 Text"/>
    <w:rPr>
      <w:color w:val="0000FF"/>
      <w:u w:val="single"/>
    </w:rPr>
  </w:style>
  <w:style w:styleId="Text2" w:type="character">
    <w:name w:val="02 Text"/>
    <w:rPr>
      <w:sz w:val="17"/>
      <w:szCs w:val="17"/>
      <w:color w:val="0000FF"/>
      <w:u w:val="single"/>
      <w:vertAlign w:val="superscript"/>
    </w:rPr>
  </w:style>
  <w:style w:styleId="Text3" w:type="character">
    <w:name w:val="03 Text"/>
    <w:rPr>
      <w:sz w:val="17"/>
      <w:szCs w:val="17"/>
      <w:vertAlign w:val="superscript"/>
    </w:rPr>
  </w:style>
  <w:style w:styleId="Text4" w:type="character">
    <w:name w:val="04 Text"/>
    <w:rPr>
      <w:b w:val="on"/>
      <w:bCs w:val="on"/>
    </w:rPr>
  </w:style>
  <w:style w:styleId="Text5" w:type="character">
    <w:name w:val="05 Text"/>
    <w:rPr>
      <w:color w:val="000000"/>
      <w:u w:val="none"/>
    </w:rPr>
  </w:style>
  <w:style w:styleId="Text6" w:type="character">
    <w:name w:val="06 Text"/>
    <w:rPr>
      <w:rFonts w:eastAsia="Liberation Serif" w:cs="Liberation Serif" w:hAnsi="Liberation Serif" w:ascii="Liberation Serif"/>
      <w:sz w:val="18"/>
      <w:szCs w:val="18"/>
    </w:rPr>
  </w:style>
  <w:style w:styleId="Text7" w:type="character">
    <w:name w:val="07 Text"/>
    <w:rPr>
      <w:rFonts w:eastAsia="Liberation" w:hAnsi="Liberation" w:ascii="Liberation" w:cs="Liberation"/>
      <w:sz w:val="18"/>
      <w:szCs w:val="18"/>
    </w:rPr>
  </w:style>
  <w:style w:styleId="Text8" w:type="character">
    <w:name w:val="08 Text"/>
    <w:rPr>
      <w:rFonts w:eastAsia="Liberation Serif" w:cs="Liberation Serif" w:hAnsi="Liberation Serif" w:ascii="Liberation Serif"/>
      <w:sz w:val="18"/>
      <w:szCs w:val="18"/>
      <w:color w:val="000000"/>
      <w:u w:val="none"/>
    </w:rPr>
  </w:style>
  <w:style w:styleId="Text9" w:type="character">
    <w:name w:val="09 Text"/>
    <w:rPr>
      <w:rFonts w:eastAsia="Liberation" w:hAnsi="Liberation" w:ascii="Liberation" w:cs="Liberation"/>
    </w:rPr>
  </w:style>
  <w:style w:styleId="Text10" w:type="character">
    <w:name w:val="10 Text"/>
    <w:rPr>
      <w:sz w:val="18"/>
      <w:szCs w:val="18"/>
    </w:rPr>
  </w:style>
  <w:style w:styleId="Text11" w:type="character">
    <w:name w:val="11 Text"/>
    <w:rPr>
      <w:rFonts w:eastAsia="С059" w:hAnsi="С059" w:cs="С059" w:ascii="С059"/>
    </w:rPr>
  </w:style>
  <w:style w:styleId="Text12" w:type="character">
    <w:name w:val="12 Text"/>
    <w:rPr>
      <w:rFonts w:hAnsi="C059" w:ascii="C059" w:cs="C059" w:eastAsia="C059"/>
    </w:rPr>
  </w:style>
  <w:style w:styleId="Text13" w:type="character">
    <w:name w:val="13 Text"/>
    <w:rPr>
      <w:rFonts w:hAnsi="C059" w:ascii="C059" w:cs="C059" w:eastAsia="C059"/>
      <w:sz w:val="23"/>
      <w:szCs w:val="23"/>
    </w:rPr>
  </w:style>
  <w:style w:styleId="Text14" w:type="character">
    <w:name w:val="14 Text"/>
    <w:rPr>
      <w:sz w:val="24"/>
      <w:szCs w:val="24"/>
      <w:color w:val="0000FF"/>
      <w:u w:val="single"/>
      <w:vertAlign w:val="superscript"/>
    </w:rPr>
  </w:style>
  <w:style w:styleId="Text15" w:type="character">
    <w:name w:val="15 Text"/>
    <w:rPr>
      <w:sz w:val="24"/>
      <w:szCs w:val="24"/>
      <w:vertAlign w:val="superscript"/>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cover.jpeg"/><Relationship Id="rId6" Type="http://schemas.openxmlformats.org/officeDocument/2006/relationships/image" Target="media/1000000000000321000004B1023AE420F38A9465.png"/><Relationship Id="rId7" Type="http://schemas.openxmlformats.org/officeDocument/2006/relationships/image" Target="media/1000000000000321000004B1D55916B56EEF8DFA.png"/><Relationship Id="rId8" Type="http://schemas.openxmlformats.org/officeDocument/2006/relationships/image" Target="media/100000000000038000000258C06D9702B88E47A7.jpeg"/><Relationship Id="rId9" Type="http://schemas.openxmlformats.org/officeDocument/2006/relationships/image" Target="media/10000000000005DB000003CAB9CA153B3CDE9F19.jpeg"/><Relationship Id="rId10" Type="http://schemas.openxmlformats.org/officeDocument/2006/relationships/image" Target="media/1000000000000574000003A34CA9387FC195F74C.jpeg"/><Relationship Id="rId11" Type="http://schemas.openxmlformats.org/officeDocument/2006/relationships/image" Target="media/100000000000037E000002497528031E91EEE788.jpeg"/><Relationship Id="rId12" Type="http://schemas.openxmlformats.org/officeDocument/2006/relationships/image" Target="media/10000000000005E4000003E7F05F1447BB6E607B.jpeg"/><Relationship Id="rId13" Type="http://schemas.openxmlformats.org/officeDocument/2006/relationships/image" Target="media/10000000000005E80000042D434853D98477D335.jpeg"/><Relationship Id="rId14" Type="http://schemas.openxmlformats.org/officeDocument/2006/relationships/image" Target="media/1000000000000190000001056E5B6999FCB63C5B.jpeg"/><Relationship Id="rId15" Type="http://schemas.openxmlformats.org/officeDocument/2006/relationships/image" Target="media/10000000000005B5000003C1CB3D6D80182AF601.jpeg"/><Relationship Id="rId16" Type="http://schemas.openxmlformats.org/officeDocument/2006/relationships/image" Target="media/10000000000006F0000004AAE4D6347C5EF0E1CF.jpeg"/></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s>
</file>

<file path=docProps/app.xml><?xml version="1.0" encoding="utf-8"?>
<Properties xmlns="http://schemas.openxmlformats.org/officeDocument/2006/extended-properties">
  <Application>calibre</Application>
  <AppVersion>06.0009</AppVersion>
  <DocSecurity>0</DocSecurity>
  <HyperlinksChanged>false</HyperlinksChanged>
  <LinksUpToDate>true</LinksUpToDate>
  <ScaleCrop>false</ScaleCrop>
  <SharedDoc>false</SharedDoc>
  <Company>Пиратское Подполье</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2022-12-04T11:03:43Z</dcterms:created>
  <dcterms:modified xsi:type="dcterms:W3CDTF">2022-12-04T11:03:43Z</dcterms:modified>
  <dc:title>Обыкновенные Люди: Полицейский Резервный Батальон 101</dc:title>
  <dc:creator>Кристофер Р. Браунинг</dc:creator>
  <cp:keywords>Вторая Мировая, Евреи, Нацизм, Оккупация Польши, Переселение, Призывники из запаса, Холокост, Мобилизация, Геноцид, Исследование Холокоста.</cp:keywords>
  <dc:language>en</dc:language>
</cp:coreProperties>
</file>