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75B6"/>
          <w:sz w:val="24"/>
        </w:rPr>
        <w:t>US 11,158,096 B1</w:t>
      </w:r>
    </w:p>
    <w:p>
      <w:pPr>
        <w:spacing w:before="0" w:after="40"/>
      </w:pPr>
      <w:r>
        <w:rPr>
          <w:rFonts w:ascii="Calibri" w:hAnsi="Calibri"/>
          <w:b/>
          <w:color w:val="1F3864"/>
          <w:sz w:val="32"/>
        </w:rPr>
        <w:t>Topology Optimization Using Straight-Through Estimators (photonic inverse design)</w:t>
      </w: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X Development LLC (Google X)  -  Martin Schubert  -  2021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Background &amp; Problem Addressed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Inverse design of fabricable physical (photonic) devices: the material choice per region is discrete, which blocks gradients, and fabrication constraints must be respected.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What the Patent Actually Describes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A segmented design space where a 'paintbrush' assigns one of two materials to each segment to minimise a device loss.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Straight-through estimators (STE) to back-propagate gradients through the discrete material assignment.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Fabrication constraints (level-set) enforced during optimisation.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This is 'topology optimization' of a PHYSICAL DEVICE LAYOUT, not image reconstruction and not a neural-network graph.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Process Flow (Method Steps)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1.  Define the design as segments plus a loss.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2.  Compute touch-costs for each segment under each material pattern.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3.  Choose a segment + pattern by cost and assign material.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4.  Estimate the loss gradient via the straight-through estimator.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5.  Iterate until all segments are assigned and fabricable.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Relevance to US 12,124,779 B2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Shares the term 'topology optimization' but for a device layout, not an NN graph. The STE trick for differentiating through discrete choices could inform how candidate connections are relaxed/scored in the patent's additive phase.</w:t>
      </w:r>
    </w:p>
    <w:p>
      <w:r>
        <w:rPr>
          <w:rFonts w:ascii="Calibri" w:hAnsi="Calibri"/>
          <w:i/>
          <w:color w:val="555555"/>
          <w:sz w:val="16"/>
        </w:rPr>
        <w:t>Reference document for US 12,124,779 B2 (Bompard et al., ADAGOS, Oct. 2024)  -  US 11,158,096 B1  -  verified against actual patent text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