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2E75B6"/>
          <w:sz w:val="24"/>
        </w:rPr>
        <w:t>US 2018/0307983 A1</w:t>
      </w:r>
    </w:p>
    <w:p>
      <w:pPr>
        <w:spacing w:before="0" w:after="40"/>
      </w:pPr>
      <w:r>
        <w:rPr>
          <w:rFonts w:ascii="Calibri" w:hAnsi="Calibri"/>
          <w:b/>
          <w:color w:val="1F3864"/>
          <w:sz w:val="32"/>
        </w:rPr>
        <w:t>Neural Network Optimization (macro-layer topology)</w:t>
      </w: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Intel Corporation  -  Narayan Srinivasa et al.  -  2018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Background &amp; Problem Addressed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Define efficient NN topologies built from reusable building blocks.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What the Patent Actually Describes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Optimisation logic that defines a NN topology having one or more 'macro layers' (composable blocks).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GPU-oriented optimisation of the topology for accuracy / efficiency.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•  This is block-structured topology optimisation, NOT batch-norm-scaling channel pruning.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Process Flow (Method Steps)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1.  Define candidate macro layers.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2.  Compose a topology from macro layers.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3.  Train / evaluate.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4.  Adjust the macro-layer composition.</w:t>
      </w:r>
    </w:p>
    <w:p>
      <w:pPr>
        <w:spacing w:after="40" w:line="269" w:lineRule="auto"/>
        <w:ind w:left="360"/>
      </w:pPr>
      <w:r>
        <w:rPr>
          <w:rFonts w:ascii="Calibri" w:hAnsi="Calibri"/>
          <w:sz w:val="21"/>
        </w:rPr>
        <w:t>5.  Select the optimised topology.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3"/>
        </w:rPr>
        <w:t>Relevance to US 12,124,779 B2</w:t>
      </w:r>
    </w:p>
    <w:p>
      <w:pPr>
        <w:spacing w:after="80" w:line="269" w:lineRule="auto"/>
      </w:pPr>
      <w:r>
        <w:rPr>
          <w:rFonts w:ascii="Calibri" w:hAnsi="Calibri"/>
          <w:i w:val="0"/>
          <w:sz w:val="21"/>
        </w:rPr>
        <w:t>Another NN topology-optimisation method (coarse, block-structured). Contrast with the patent's fine-grained node / link search. NOTE: it is NOT the source of any 'BN-scaling pruner' improvement - that idea comes from external literature (Liu et al. 2017), not this patent.</w:t>
      </w:r>
    </w:p>
    <w:p>
      <w:r>
        <w:rPr>
          <w:rFonts w:ascii="Calibri" w:hAnsi="Calibri"/>
          <w:i/>
          <w:color w:val="555555"/>
          <w:sz w:val="16"/>
        </w:rPr>
        <w:t>Reference document for US 12,124,779 B2 (Bompard et al., ADAGOS, Oct. 2024)  -  US 2018/0307983 A1  -  verified against actual patent text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