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2E75B6"/>
          <w:sz w:val="24"/>
        </w:rPr>
        <w:t>US 2021/0357555 A1</w:t>
      </w:r>
    </w:p>
    <w:p>
      <w:pPr>
        <w:spacing w:before="0" w:after="40"/>
      </w:pPr>
      <w:r>
        <w:rPr>
          <w:rFonts w:ascii="Calibri" w:hAnsi="Calibri"/>
          <w:b/>
          <w:color w:val="1F3864"/>
          <w:sz w:val="32"/>
        </w:rPr>
        <w:t>Data-Driven Representation and Clustering-Discretization Method for Design Optimization / Performance Prediction of Material Systems</w:t>
      </w: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Northwestern University  -  Wing Kam Liu, Jiaying Gao, Cheng Yu, Orion L. Kafka  -  2021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Background &amp; Problem Addressed</w:t>
      </w:r>
    </w:p>
    <w:p>
      <w:pPr>
        <w:spacing w:after="80" w:line="269" w:lineRule="auto"/>
      </w:pPr>
      <w:r>
        <w:rPr>
          <w:rFonts w:ascii="Calibri" w:hAnsi="Calibri"/>
          <w:i w:val="0"/>
          <w:sz w:val="21"/>
        </w:rPr>
        <w:t>Multiscale material-system simulation is expensive; a fast reduced model was needed.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What the Patent Actually Describes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A data-driven representation of microstructure response fields at multiple scales.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Clustering of building blocks (microstructure volume elements) and computation of inter-cluster INTERACTION TENSORS.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Solving the governing PDE on the clustered (reduced) system for fast response prediction (self-consistent clustering analysis / mechanistic data science).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This is clustering reduced-order modelling for materials, NOT a generic CFD neural-network surrogate.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Process Flow (Method Steps)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1.  Sample MVE responses over material properties / boundary conditions.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2.  Cluster the building blocks.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3.  Compute inter-cluster interaction tensors.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4.  Solve the governing PDE on the clustered system.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5.  Predict the response; iterate in a multiscale scheme.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Relevance to US 12,124,779 B2</w:t>
      </w:r>
    </w:p>
    <w:p>
      <w:pPr>
        <w:spacing w:after="80" w:line="269" w:lineRule="auto"/>
      </w:pPr>
      <w:r>
        <w:rPr>
          <w:rFonts w:ascii="Calibri" w:hAnsi="Calibri"/>
          <w:i w:val="0"/>
          <w:sz w:val="21"/>
        </w:rPr>
        <w:t>A reduced-order, physics-aware modelling method for physical systems (materials) - the same goal as the patent (fast surrogate of a physical system) but via clustering reduced-order modelling rather than a parsimonious neural network.</w:t>
      </w:r>
    </w:p>
    <w:p>
      <w:r>
        <w:rPr>
          <w:rFonts w:ascii="Calibri" w:hAnsi="Calibri"/>
          <w:i/>
          <w:color w:val="555555"/>
          <w:sz w:val="16"/>
        </w:rPr>
        <w:t>Reference document for US 12,124,779 B2 (Bompard et al., ADAGOS, Oct. 2024)  -  US 2021/0357555 A1  -  verified against actual patent text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