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知行雷达困难与解决过程说明</w:t>
      </w:r>
    </w:p>
    <w:p>
      <w:pPr>
        <w:jc w:val="center"/>
      </w:pPr>
      <w:r>
        <w:rPr>
          <w:rFonts w:ascii="Microsoft YaHei" w:hAnsi="Microsoft YaHei"/>
          <w:sz w:val="22"/>
        </w:rPr>
        <w:t>企业要求材料</w:t>
      </w:r>
    </w:p>
    <w:p/>
    <w:p>
      <w:pPr>
        <w:pStyle w:val="Heading1"/>
      </w:pPr>
      <w:r>
        <w:t>核心困难</w:t>
      </w:r>
    </w:p>
    <w:p>
      <w:pPr>
        <w:pStyle w:val="ListBullet"/>
      </w:pPr>
      <w:r>
        <w:t>多源数据字段口径不一致，部分字段缺失值较多</w:t>
      </w:r>
    </w:p>
    <w:p>
      <w:pPr>
        <w:pStyle w:val="ListBullet"/>
      </w:pPr>
      <w:r>
        <w:t>BMI、图书馆、门禁、竞赛等字段容易把缺失值误处理成真实0</w:t>
      </w:r>
    </w:p>
    <w:p>
      <w:pPr>
        <w:pStyle w:val="ListBullet"/>
      </w:pPr>
      <w:r>
        <w:t>风险概率、风险标签与聚类画像之间存在口径不统一问题</w:t>
      </w:r>
    </w:p>
    <w:p>
      <w:pPr>
        <w:pStyle w:val="ListBullet"/>
      </w:pPr>
      <w:r>
        <w:t>移动端早期存在页面乱码、路由配置损坏、基座白屏与旧缓存干扰</w:t>
      </w:r>
    </w:p>
    <w:p>
      <w:pPr>
        <w:pStyle w:val="ListBullet"/>
      </w:pPr>
      <w:r>
        <w:t>Web端注册账号与移动端账号数据一度因为数据库路径错误而不一致</w:t>
      </w:r>
    </w:p>
    <w:p>
      <w:pPr>
        <w:pStyle w:val="ListBullet"/>
      </w:pPr>
      <w:r>
        <w:t>部分模型指标过高或过低，需要识别是否存在泄漏或指标口径不合理</w:t>
      </w:r>
    </w:p>
    <w:p>
      <w:pPr>
        <w:pStyle w:val="Heading1"/>
      </w:pPr>
      <w:r>
        <w:t>解决过程</w:t>
      </w:r>
    </w:p>
    <w:p>
      <w:pPr>
        <w:pStyle w:val="ListBullet"/>
      </w:pPr>
      <w:r>
        <w:t>对基本特征逐项回查原始数据表，建立数据审计脚本，识别真实缺失与错误填充</w:t>
      </w:r>
    </w:p>
    <w:p>
      <w:pPr>
        <w:pStyle w:val="ListBullet"/>
      </w:pPr>
      <w:r>
        <w:t>调整数据清洗逻辑，对关键字段不再一刀切填0，并在前后端明确显示“暂无原始记录”</w:t>
      </w:r>
    </w:p>
    <w:p>
      <w:pPr>
        <w:pStyle w:val="ListBullet"/>
      </w:pPr>
      <w:r>
        <w:t>重新梳理风险口径，在页面中区分风险等级、画像类别与细分子类的语义</w:t>
      </w:r>
    </w:p>
    <w:p>
      <w:pPr>
        <w:pStyle w:val="ListBullet"/>
      </w:pPr>
      <w:r>
        <w:t>重建移动端 pages.json、manifest.json、登录页与核心页面，统一为可运行 UTF-8 配置</w:t>
      </w:r>
    </w:p>
    <w:p>
      <w:pPr>
        <w:pStyle w:val="ListBullet"/>
      </w:pPr>
      <w:r>
        <w:t>统一后端数据库路径到根目录数据库，重置测试账号密码，保证Web与移动端数据一致</w:t>
      </w:r>
    </w:p>
    <w:p>
      <w:pPr>
        <w:pStyle w:val="ListBullet"/>
      </w:pPr>
      <w:r>
        <w:t>对多分类任务采用更合适的 Macro F1 / Accuracy 口径，并对高AUC任务说明类别不平衡背景</w:t>
      </w:r>
    </w:p>
    <w:p>
      <w:pPr>
        <w:pStyle w:val="Heading1"/>
      </w:pPr>
      <w:r>
        <w:t>最终效果</w:t>
      </w:r>
    </w:p>
    <w:p>
      <w:pPr/>
      <w:r>
        <w:t>经过上述修正，系统已形成可运行、可展示、可解释的完整项目形态，同时具备管理端、学生端、安卓端和智能助手模块，为答辩与演示提供稳定支撑。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