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44"/>
        </w:rPr>
        <w:t>知行雷达可运行 Demo 说明</w:t>
      </w:r>
    </w:p>
    <w:p>
      <w:pPr>
        <w:jc w:val="center"/>
      </w:pPr>
      <w:r>
        <w:rPr>
          <w:rFonts w:ascii="Microsoft YaHei" w:hAnsi="Microsoft YaHei"/>
          <w:sz w:val="22"/>
        </w:rPr>
        <w:t>企业要求材料</w:t>
      </w:r>
    </w:p>
    <w:p/>
    <w:p>
      <w:pPr>
        <w:pStyle w:val="Heading1"/>
      </w:pPr>
      <w:r>
        <w:t>Demo 运行内容</w:t>
      </w:r>
    </w:p>
    <w:p>
      <w:pPr>
        <w:pStyle w:val="ListBullet"/>
      </w:pPr>
      <w:r>
        <w:t>后端 Flask 服务</w:t>
      </w:r>
    </w:p>
    <w:p>
      <w:pPr>
        <w:pStyle w:val="ListBullet"/>
      </w:pPr>
      <w:r>
        <w:t>管理端 Web 页面</w:t>
      </w:r>
    </w:p>
    <w:p>
      <w:pPr>
        <w:pStyle w:val="ListBullet"/>
      </w:pPr>
      <w:r>
        <w:t>学生端 Web 页面</w:t>
      </w:r>
    </w:p>
    <w:p>
      <w:pPr>
        <w:pStyle w:val="ListBullet"/>
      </w:pPr>
      <w:r>
        <w:t>安卓移动端安装包</w:t>
      </w:r>
    </w:p>
    <w:p>
      <w:pPr>
        <w:pStyle w:val="ListBullet"/>
      </w:pPr>
      <w:r>
        <w:t>模型文件、图表文件与数据库文件</w:t>
      </w:r>
    </w:p>
    <w:p>
      <w:pPr>
        <w:pStyle w:val="Heading1"/>
      </w:pPr>
      <w:r>
        <w:t>运行方式</w:t>
      </w:r>
    </w:p>
    <w:p>
      <w:pPr>
        <w:pStyle w:val="ListBullet"/>
      </w:pPr>
      <w:r>
        <w:t>执行 Bootstrap-Dev.ps1 初始化环境</w:t>
      </w:r>
    </w:p>
    <w:p>
      <w:pPr>
        <w:pStyle w:val="ListBullet"/>
      </w:pPr>
      <w:r>
        <w:t>执行 Start-Dev.ps1 启动前后端</w:t>
      </w:r>
    </w:p>
    <w:p>
      <w:pPr>
        <w:pStyle w:val="ListBullet"/>
      </w:pPr>
      <w:r>
        <w:t>管理端访问 localhost:3200，学生端访问 localhost:3201，后端访问 localhost:5000</w:t>
      </w:r>
    </w:p>
    <w:p>
      <w:pPr>
        <w:pStyle w:val="ListBullet"/>
      </w:pPr>
      <w:r>
        <w:t>安卓端可通过最新打包的 apk 安装体验</w:t>
      </w:r>
    </w:p>
    <w:p>
      <w:pPr>
        <w:pStyle w:val="Heading1"/>
      </w:pPr>
      <w:r>
        <w:t>测试账号</w:t>
      </w:r>
    </w:p>
    <w:p>
      <w:pPr>
        <w:pStyle w:val="ListBullet"/>
      </w:pPr>
      <w:r>
        <w:t>管理员：admin001 / 123456</w:t>
      </w:r>
    </w:p>
    <w:p>
      <w:pPr>
        <w:pStyle w:val="ListBullet"/>
      </w:pPr>
      <w:r>
        <w:t>学生：200307700011 / 123456</w:t>
      </w:r>
    </w:p>
    <w:p>
      <w:pPr>
        <w:pStyle w:val="Heading1"/>
      </w:pPr>
      <w:r>
        <w:t>提交建议</w:t>
      </w:r>
    </w:p>
    <w:p>
      <w:pPr/>
      <w:r>
        <w:t>最终提交时建议保留源码、数据库、模型文件、图表资源、环境说明和测试账号清单，确保评审可快速运行。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