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B5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rFonts w:hint="eastAsia" w:ascii="楷体" w:hAnsi="楷体" w:eastAsia="楷体" w:cs="楷体"/>
          <w:sz w:val="36"/>
          <w:szCs w:val="36"/>
        </w:rPr>
      </w:pPr>
      <w:r>
        <w:rPr>
          <w:rFonts w:hint="eastAsia" w:ascii="楷体" w:hAnsi="楷体" w:eastAsia="楷体" w:cs="楷体"/>
          <w:b/>
          <w:sz w:val="36"/>
          <w:szCs w:val="36"/>
        </w:rPr>
        <w:t>知行雷达系统使用说明</w:t>
      </w:r>
    </w:p>
    <w:p w14:paraId="0B1E8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504D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1. 文档说明</w:t>
      </w:r>
    </w:p>
    <w:p w14:paraId="4EB47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本文档面向企业客户、项目验收人员及系统运维人员，说明“知行雷达”系统当前服务器部署版本的组成、访问方式、核心功能、日常使用流程及运维要点。</w:t>
      </w:r>
    </w:p>
    <w:p w14:paraId="38CBA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本文档对应的是已经部署在服务器上的可访问版本，不包含本地开发环境搭建、移动端打包流程或源码调试说明。</w:t>
      </w:r>
    </w:p>
    <w:p w14:paraId="0095F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A15E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2. 系统简介</w:t>
      </w:r>
    </w:p>
    <w:p w14:paraId="03AB4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知行雷达是一套面向高校学生管理场景的数据分析与风险预警系统。系统基于学生行为数据、分析结果文件和模型资源，对学生群体进行画像划分、风险识别、趋势分析和报告展示，为学校管理部门提供辅助决策支持。</w:t>
      </w:r>
    </w:p>
    <w:p w14:paraId="1EEE1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当前交付版本已经完成服务器部署，具备以下能力：</w:t>
      </w:r>
    </w:p>
    <w:p w14:paraId="20C6413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管理端在线访问与登录</w:t>
      </w:r>
    </w:p>
    <w:p w14:paraId="33A7EA3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学生端在线访问与登录</w:t>
      </w:r>
    </w:p>
    <w:p w14:paraId="07D7F9C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风险名单与重点学生筛查</w:t>
      </w:r>
    </w:p>
    <w:p w14:paraId="33FF951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学生画像、趋势分析与图表展示</w:t>
      </w:r>
    </w:p>
    <w:p w14:paraId="6C9F835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学生详情页与完整报告查看</w:t>
      </w:r>
    </w:p>
    <w:p w14:paraId="7FDCE6B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预测模块与手动输入再预测</w:t>
      </w:r>
    </w:p>
    <w:p w14:paraId="22E4C92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数据库账号体系与日志记录</w:t>
      </w:r>
    </w:p>
    <w:p w14:paraId="0F582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73C4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3. 当前部署架构</w:t>
      </w:r>
    </w:p>
    <w:p w14:paraId="2A3D1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服务器端采用容器化部署，主要组成如下：</w:t>
      </w:r>
    </w:p>
    <w:p w14:paraId="3477DA1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后端服务：Flask + Gunicorn</w:t>
      </w:r>
    </w:p>
    <w:p w14:paraId="647483D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数据库：PostgreSQL</w:t>
      </w:r>
    </w:p>
    <w:p w14:paraId="668995A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网关与静态资源服务：Nginx</w:t>
      </w:r>
    </w:p>
    <w:p w14:paraId="1F3C6C4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管理端前端：Web Admin</w:t>
      </w:r>
    </w:p>
    <w:p w14:paraId="2A9A39E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学生端前端：Web Student</w:t>
      </w:r>
    </w:p>
    <w:p w14:paraId="0DC4333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模型与资源文件：</w:t>
      </w:r>
    </w:p>
    <w:p w14:paraId="3FD80D2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`ml/saved_models`</w:t>
      </w:r>
    </w:p>
    <w:p w14:paraId="5D9D6CF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`our project/analysis_master.csv`</w:t>
      </w:r>
    </w:p>
    <w:p w14:paraId="3DFC82C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`our project/train_features_final.csv`</w:t>
      </w:r>
    </w:p>
    <w:p w14:paraId="71B4B7F0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`our project/model_outputs`</w:t>
      </w:r>
    </w:p>
    <w:p w14:paraId="57159CA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`our project/analysis`</w:t>
      </w:r>
    </w:p>
    <w:p w14:paraId="03E33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0585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系统通过 Nginx 对外统一提供访问入口，浏览器和移动端均通过 HTTP 接口访问后端能力。</w:t>
      </w:r>
    </w:p>
    <w:p w14:paraId="51D26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2C73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4. 服务器访问地址</w:t>
      </w:r>
    </w:p>
    <w:p w14:paraId="66F8D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当前演示环境访问地址如下：</w:t>
      </w:r>
    </w:p>
    <w:p w14:paraId="362B7BF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管理端：`http://150.158.131.93/admin/`</w:t>
      </w:r>
    </w:p>
    <w:p w14:paraId="606C08E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学生端：`http://150.158.131.93/student/`</w:t>
      </w:r>
    </w:p>
    <w:p w14:paraId="4769B58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API 入口：`http://150.158.131.93/api`</w:t>
      </w:r>
    </w:p>
    <w:p w14:paraId="35FA343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健康检查：`http://150.158.131.93/healthz`</w:t>
      </w:r>
    </w:p>
    <w:p w14:paraId="5C00D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如后续绑定正式域名，可将以上地址替换为企业正式访问域名。</w:t>
      </w:r>
    </w:p>
    <w:p w14:paraId="65071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50EC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5. 默认测试账号</w:t>
      </w:r>
    </w:p>
    <w:p w14:paraId="3BFEB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5.1 管理员账号</w:t>
      </w:r>
    </w:p>
    <w:p w14:paraId="4AFEBED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用户名：`admin001`</w:t>
      </w:r>
    </w:p>
    <w:p w14:paraId="674A91D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密码：`123456`</w:t>
      </w:r>
    </w:p>
    <w:p w14:paraId="7B94C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5.2 学生账号</w:t>
      </w:r>
    </w:p>
    <w:p w14:paraId="1BB4E9E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用户名：`</w:t>
      </w:r>
      <w:r>
        <w:rPr>
          <w:rFonts w:hint="eastAsia" w:ascii="楷体" w:hAnsi="楷体" w:eastAsia="楷体" w:cs="楷体"/>
          <w:sz w:val="24"/>
          <w:szCs w:val="24"/>
        </w:rPr>
        <w:t>pjwtqxbj965</w:t>
      </w:r>
      <w:r>
        <w:rPr>
          <w:rFonts w:hint="eastAsia" w:ascii="楷体" w:hAnsi="楷体" w:eastAsia="楷体" w:cs="楷体"/>
          <w:sz w:val="24"/>
          <w:szCs w:val="24"/>
        </w:rPr>
        <w:t>`</w:t>
      </w:r>
    </w:p>
    <w:p w14:paraId="7553D69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密码：`123456`</w:t>
      </w:r>
    </w:p>
    <w:p w14:paraId="29581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说明：</w:t>
      </w:r>
    </w:p>
    <w:p w14:paraId="379DEF6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当前数据库中已存在管理员账号与多条学生账号数据，可用于演示注册状态、学生端登录及画像查看流程。</w:t>
      </w:r>
    </w:p>
    <w:p w14:paraId="7673F5C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如需新增正式账号，可通过后台管理逻辑或数据库初始化脚本继续扩展。</w:t>
      </w:r>
    </w:p>
    <w:p w14:paraId="71794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E0A9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6. 核心功能说明</w:t>
      </w:r>
    </w:p>
    <w:p w14:paraId="58D74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6.1 管理端</w:t>
      </w:r>
    </w:p>
    <w:p w14:paraId="351F4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管理端用于学校管理人员查看全局概览、风险名单、分析结果及学生详情，主要包含以下模块：</w:t>
      </w:r>
    </w:p>
    <w:p w14:paraId="5519C0E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总览首页</w:t>
      </w:r>
    </w:p>
    <w:p w14:paraId="1D0BE87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查看样本总量、风险等级分布、注册覆盖情况</w:t>
      </w:r>
    </w:p>
    <w:p w14:paraId="0D4FF36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查看分析模块摘要与重点学生概览</w:t>
      </w:r>
    </w:p>
    <w:p w14:paraId="0D5DA59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风险名单</w:t>
      </w:r>
    </w:p>
    <w:p w14:paraId="2599578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筛选已注册与未注册学生</w:t>
      </w:r>
    </w:p>
    <w:p w14:paraId="4A904AB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按学院、专业、风险等级、画像类别进行检索</w:t>
      </w:r>
    </w:p>
    <w:p w14:paraId="0BF72C9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进入学生详情页与完整报告</w:t>
      </w:r>
    </w:p>
    <w:p w14:paraId="0A28377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院系对比</w:t>
      </w:r>
    </w:p>
    <w:p w14:paraId="785FFAE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查看不同学院和专业之间的画像与风险差异</w:t>
      </w:r>
    </w:p>
    <w:p w14:paraId="7013C5F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干预工作台</w:t>
      </w:r>
    </w:p>
    <w:p w14:paraId="5392F06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辅助识别需要重点跟进的学生对象</w:t>
      </w:r>
    </w:p>
    <w:p w14:paraId="2012F5D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预测模块</w:t>
      </w:r>
    </w:p>
    <w:p w14:paraId="051FA5E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基于已有特征和模型进行预测展示</w:t>
      </w:r>
    </w:p>
    <w:p w14:paraId="7CAED79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分析成果</w:t>
      </w:r>
    </w:p>
    <w:p w14:paraId="0FA7167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查看全样本分析图表、关键结论及图表详情</w:t>
      </w:r>
    </w:p>
    <w:p w14:paraId="1A5B360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设置中心</w:t>
      </w:r>
    </w:p>
    <w:p w14:paraId="52F303E4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查看系统基本配置与状态信息</w:t>
      </w:r>
    </w:p>
    <w:p w14:paraId="35F93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6.2 学生端</w:t>
      </w:r>
    </w:p>
    <w:p w14:paraId="3080C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学生端用于展示学生个人画像、分析结果和报告内容，主要包含以下能力：</w:t>
      </w:r>
    </w:p>
    <w:p w14:paraId="4401945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学生个人概览</w:t>
      </w:r>
    </w:p>
    <w:p w14:paraId="69D9E5D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画像结果与标签说明</w:t>
      </w:r>
    </w:p>
    <w:p w14:paraId="2E1500E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趋势分析</w:t>
      </w:r>
    </w:p>
    <w:p w14:paraId="650A92C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报告查看</w:t>
      </w:r>
    </w:p>
    <w:p w14:paraId="3D538F3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预测结果查看与手动输入再预测</w:t>
      </w:r>
    </w:p>
    <w:p w14:paraId="0470D3D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接口地址设置（移动端场景）</w:t>
      </w:r>
    </w:p>
    <w:p w14:paraId="2CE27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9E31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7. 推荐使用流程</w:t>
      </w:r>
    </w:p>
    <w:p w14:paraId="693D2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7.1 管理员使用流程</w:t>
      </w:r>
    </w:p>
    <w:p w14:paraId="03B312B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打开管理端登录页。</w:t>
      </w:r>
    </w:p>
    <w:p w14:paraId="032D676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使用管理员账号登录系统。</w:t>
      </w:r>
    </w:p>
    <w:p w14:paraId="377DD20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在首页查看样本总量、风险分布和注册覆盖情况。</w:t>
      </w:r>
    </w:p>
    <w:p w14:paraId="5492332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进入风险名单，筛选重点学生。</w:t>
      </w:r>
    </w:p>
    <w:p w14:paraId="45F5A4B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点击学生详情或完整报告，查看个体画像与解释结果。</w:t>
      </w:r>
    </w:p>
    <w:p w14:paraId="2FAF9A3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进入分析成果页，查看图表和关键结论。</w:t>
      </w:r>
    </w:p>
    <w:p w14:paraId="6EB8560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根据需要进入预测模块或干预工作台，进行进一步分析。</w:t>
      </w:r>
    </w:p>
    <w:p w14:paraId="55536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7.2 学生使用流程</w:t>
      </w:r>
    </w:p>
    <w:p w14:paraId="2AD1B6F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打开学生端登录页。</w:t>
      </w:r>
    </w:p>
    <w:p w14:paraId="6B5E7A1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使用学生账号登录。</w:t>
      </w:r>
    </w:p>
    <w:p w14:paraId="7B76D72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查看个人画像、标签、趋势和报告。</w:t>
      </w:r>
    </w:p>
    <w:p w14:paraId="4E7F6D2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如需展示预测能力，可进入预测模块修改输入项并重新预测。</w:t>
      </w:r>
    </w:p>
    <w:p w14:paraId="06D68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8. 部署目录与核心文件</w:t>
      </w:r>
    </w:p>
    <w:p w14:paraId="709D7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服务器运行时建议保留以下内容：</w:t>
      </w:r>
    </w:p>
    <w:p w14:paraId="1AD80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934422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`app.py`</w:t>
      </w:r>
    </w:p>
    <w:p w14:paraId="4A29E54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`models.py`</w:t>
      </w:r>
    </w:p>
    <w:p w14:paraId="30B0886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`run_backend.py`</w:t>
      </w:r>
    </w:p>
    <w:p w14:paraId="72CE536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`requirements.txt`</w:t>
      </w:r>
    </w:p>
    <w:p w14:paraId="3A0277B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`docker-compose.prod.yml`</w:t>
      </w:r>
    </w:p>
    <w:p w14:paraId="0763086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`Dockerfile.prod.backend`</w:t>
      </w:r>
    </w:p>
    <w:p w14:paraId="1BC7E87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`gunicorn.conf.py`</w:t>
      </w:r>
    </w:p>
    <w:p w14:paraId="7A8B147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`front/web-admin`</w:t>
      </w:r>
    </w:p>
    <w:p w14:paraId="6093283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`front/web-student`</w:t>
      </w:r>
    </w:p>
    <w:p w14:paraId="49B6B85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`ml/saved_models`</w:t>
      </w:r>
    </w:p>
    <w:p w14:paraId="48E3C76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`our project`</w:t>
      </w:r>
    </w:p>
    <w:p w14:paraId="6345E58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`.env.production`</w:t>
      </w:r>
    </w:p>
    <w:p w14:paraId="678D4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如需要重新部署或迁移服务器，上述目录应一并保留。</w:t>
      </w:r>
    </w:p>
    <w:p w14:paraId="3647C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EE0A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 启动与检查方式</w:t>
      </w:r>
    </w:p>
    <w:p w14:paraId="2C9D6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9.1 启动服务</w:t>
      </w:r>
    </w:p>
    <w:p w14:paraId="1F217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在服务器项目目录执行：</w:t>
      </w:r>
    </w:p>
    <w:p w14:paraId="53A0A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cd /home/ubuntu/fuchuang</w:t>
      </w:r>
    </w:p>
    <w:p w14:paraId="5725D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up -d --build</w:t>
      </w:r>
    </w:p>
    <w:p w14:paraId="7A1D4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9.2 旧版 Docker Compose 异常处理</w:t>
      </w:r>
    </w:p>
    <w:p w14:paraId="0C100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若旧版 `docker-compose` 在重建容器时出现 `ContainerConfig` 相关报错，可先删除旧容器后再启动：</w:t>
      </w:r>
    </w:p>
    <w:p w14:paraId="041CA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cd /home/ubuntu/fuchuang</w:t>
      </w:r>
    </w:p>
    <w:p w14:paraId="7CE50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rm -sf backend web-admin web-student nginx</w:t>
      </w:r>
    </w:p>
    <w:p w14:paraId="7F30C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up -d backend web-admin web-student nginx</w:t>
      </w:r>
    </w:p>
    <w:p w14:paraId="5731C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9.3 查看容器状态</w:t>
      </w:r>
    </w:p>
    <w:p w14:paraId="2C8FA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ps</w:t>
      </w:r>
    </w:p>
    <w:p w14:paraId="00A12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正常情况下应看到：</w:t>
      </w:r>
    </w:p>
    <w:p w14:paraId="5D5C7CD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`fuchuang_backend_1` 为 `Up (healthy)`</w:t>
      </w:r>
    </w:p>
    <w:p w14:paraId="2D39872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`fuchuang_postgres_1` 为 `Up (healthy)`</w:t>
      </w:r>
    </w:p>
    <w:p w14:paraId="074B13A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`fuchuang_nginx_1` 为 `Up`</w:t>
      </w:r>
    </w:p>
    <w:p w14:paraId="0191A3D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`fuchuang_web-admin_1` 为 `Up`</w:t>
      </w:r>
    </w:p>
    <w:p w14:paraId="4885D90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`fuchuang_web-student_1` 为 `Up`</w:t>
      </w:r>
    </w:p>
    <w:p w14:paraId="2B3BC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FF08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9.4 健康检查</w:t>
      </w:r>
    </w:p>
    <w:p w14:paraId="5D945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curl http://127.0.0.1/healthz</w:t>
      </w:r>
    </w:p>
    <w:p w14:paraId="5EA48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curl http://127.0.0.1/api/health</w:t>
      </w:r>
    </w:p>
    <w:p w14:paraId="22E83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若返回状态正常，即表示 Nginx、后端与数据库链路可用。</w:t>
      </w:r>
    </w:p>
    <w:p w14:paraId="1919B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9.5 查看后端日志</w:t>
      </w:r>
    </w:p>
    <w:p w14:paraId="7BB67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logs --tail=120 backend</w:t>
      </w:r>
    </w:p>
    <w:p w14:paraId="33384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0ED3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10. 日常运维建议</w:t>
      </w:r>
    </w:p>
    <w:p w14:paraId="3C84D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10.1 数据或模型更新后页面未及时变化</w:t>
      </w:r>
    </w:p>
    <w:p w14:paraId="11E50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如替换了模型文件、更新了分析数据、迁移了账号数据，但页面未立即体现，建议重启后端容器以刷新运行时缓存：</w:t>
      </w:r>
    </w:p>
    <w:p w14:paraId="4D9E3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sudo docker-compose -f docker-compose.prod.yml --env-file .env.production restart backend</w:t>
      </w:r>
    </w:p>
    <w:p w14:paraId="6E9F6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10.2 图表或前端页面异常</w:t>
      </w:r>
    </w:p>
    <w:p w14:paraId="2DC36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若前端页面出现资源缓存导致的错页、旧页面残留、学生端与管理端资源串用等现象，建议：</w:t>
      </w:r>
    </w:p>
    <w:p w14:paraId="2ED09D1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先重建对应前端容器</w:t>
      </w:r>
    </w:p>
    <w:p w14:paraId="75B14BC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再使用无痕窗口访问</w:t>
      </w:r>
    </w:p>
    <w:p w14:paraId="6DB4A03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必要时同时重建 `nginx`</w:t>
      </w:r>
    </w:p>
    <w:p w14:paraId="6B7B7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10.3 账号数据迁移</w:t>
      </w:r>
    </w:p>
    <w:p w14:paraId="36699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如需将历史 SQLite 账号数据迁入 PostgreSQL，可将历史数据库文件上传至服务器后执行迁移脚本。当前项目已完成一次迁移验证，账号和日志均可正常迁入。</w:t>
      </w:r>
    </w:p>
    <w:p w14:paraId="30233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b/>
          <w:sz w:val="24"/>
          <w:szCs w:val="24"/>
        </w:rPr>
      </w:pPr>
    </w:p>
    <w:p w14:paraId="51AF7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11. 已交付的服务器端成果</w:t>
      </w:r>
    </w:p>
    <w:p w14:paraId="6CC59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当前服务器版本已经完成以下交付内容：</w:t>
      </w:r>
    </w:p>
    <w:p w14:paraId="60EEEAF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服务器端完整部署</w:t>
      </w:r>
    </w:p>
    <w:p w14:paraId="5E5335C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Web 管理端上线</w:t>
      </w:r>
    </w:p>
    <w:p w14:paraId="0254D3F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Web 学生端上线</w:t>
      </w:r>
    </w:p>
    <w:p w14:paraId="6692C17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PostgreSQL 数据库接入</w:t>
      </w:r>
    </w:p>
    <w:p w14:paraId="778F816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历史账号数据迁移</w:t>
      </w:r>
    </w:p>
    <w:p w14:paraId="719AA2C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模型文件补齐与加载</w:t>
      </w:r>
    </w:p>
    <w:p w14:paraId="4600EE4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风险名单、分析结果、学生详情与图表功能恢复</w:t>
      </w:r>
    </w:p>
    <w:p w14:paraId="540922A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线上访问地址可直接使用</w:t>
      </w:r>
    </w:p>
    <w:p w14:paraId="1C227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0D30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12. 使用注意事项</w:t>
      </w:r>
    </w:p>
    <w:p w14:paraId="124CCB9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服务器安全组需放行 `80` 端口。</w:t>
      </w:r>
    </w:p>
    <w:p w14:paraId="56429DA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若后续接入 HTTPS，需额外放行 `443` 端口。</w:t>
      </w:r>
    </w:p>
    <w:p w14:paraId="4E11B0A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建议企业正式上线前配置独立域名与 HTTPS 证书，以提升访问稳定性与安全性。</w:t>
      </w:r>
    </w:p>
    <w:p w14:paraId="14E440B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如移动端继续作为正式交付内容，建议统一使用域名 API 地址，而非公网 IP。</w:t>
      </w:r>
    </w:p>
    <w:p w14:paraId="558D440F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/>
        <w:textAlignment w:val="auto"/>
        <w:rPr>
          <w:rFonts w:hint="eastAsia" w:ascii="楷体" w:hAnsi="楷体" w:eastAsia="楷体" w:cs="楷体"/>
          <w:sz w:val="24"/>
          <w:szCs w:val="24"/>
        </w:rPr>
      </w:pPr>
      <w:bookmarkStart w:id="0" w:name="_GoBack"/>
      <w:bookmarkEnd w:id="0"/>
    </w:p>
    <w:p w14:paraId="436B0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13. 结语</w:t>
      </w:r>
    </w:p>
    <w:p w14:paraId="0EFC3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当前“知行雷达”系统已完成服务器部署并具备对外演示与业务展示能力。企业侧可基于现有部署环境继续开展试运行、功能验收、业务接入与后续扩展工作。本文档可作为当前服务器版本的交付使用说明。</w:t>
      </w:r>
    </w:p>
    <w:sectPr>
      <w:pgSz w:w="12240" w:h="15840"/>
      <w:pgMar w:top="1134" w:right="1134" w:bottom="1134" w:left="1134" w:header="720" w:footer="720" w:gutter="567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EC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1961</Words>
  <Characters>3319</Characters>
  <Lines>0</Lines>
  <Paragraphs>0</Paragraphs>
  <TotalTime>4</TotalTime>
  <ScaleCrop>false</ScaleCrop>
  <LinksUpToDate>false</LinksUpToDate>
  <CharactersWithSpaces>3452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WPS_1719028582</cp:lastModifiedBy>
  <dcterms:modified xsi:type="dcterms:W3CDTF">2026-04-22T05:28:49Z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eyJoZGlkIjoiZjljYTliYWM2YzMwYmIzZTFmYzJjNWIxNWNkYzYyNDciLCJ1c2VySWQiOiIxNjA5NjMxMTk4In0=</vt:lpwstr>
  </property>
  <property fmtid="{D5CDD505-2E9C-101B-9397-08002B2CF9AE}" pid="3" name="KSOProductBuildVer">
    <vt:lpwstr>2052-12.1.0.25865</vt:lpwstr>
  </property>
  <property fmtid="{D5CDD505-2E9C-101B-9397-08002B2CF9AE}" pid="4" name="ICV">
    <vt:lpwstr>C3808ACE851D4EEDBCC7AD8ED3663CF3_12</vt:lpwstr>
  </property>
</Properties>
</file>