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A"/>
  <w:body>
    <w:p w:rsidR="00D353C4" w:rsidRDefault="00D353C4" w:rsidP="00D353C4">
      <w:pPr>
        <w:widowControl/>
        <w:spacing w:afterLines="50" w:after="163" w:line="240" w:lineRule="auto"/>
        <w:ind w:firstLineChars="0" w:firstLine="0"/>
        <w:rPr>
          <w:rFonts w:cs="Times New Roman"/>
          <w:b/>
          <w:kern w:val="0"/>
          <w:szCs w:val="22"/>
          <w:lang w:eastAsia="de-DE" w:bidi="en-US"/>
        </w:rPr>
      </w:pPr>
      <w:r w:rsidRPr="00BA4C7D">
        <w:rPr>
          <w:rFonts w:cs="Times New Roman"/>
          <w:b/>
          <w:kern w:val="0"/>
          <w:szCs w:val="22"/>
          <w:lang w:eastAsia="de-DE" w:bidi="en-US"/>
        </w:rPr>
        <w:t xml:space="preserve">Supplementary </w:t>
      </w:r>
      <w:r w:rsidRPr="003F6CF2">
        <w:rPr>
          <w:rFonts w:cs="Times New Roman"/>
          <w:b/>
          <w:kern w:val="0"/>
          <w:szCs w:val="22"/>
          <w:lang w:eastAsia="de-DE" w:bidi="en-US"/>
        </w:rPr>
        <w:t>Table 1. Matrix of correlation coefficients of all variables</w:t>
      </w:r>
      <w:r w:rsidR="003F6CF2" w:rsidRPr="003F6CF2">
        <w:rPr>
          <w:rFonts w:cs="Times New Roman"/>
          <w:b/>
          <w:kern w:val="0"/>
          <w:szCs w:val="22"/>
          <w:lang w:eastAsia="de-DE" w:bidi="en-US"/>
        </w:rPr>
        <w:t xml:space="preserve"> </w:t>
      </w:r>
      <w:r w:rsidR="003F6CF2" w:rsidRPr="003F6CF2">
        <w:rPr>
          <w:rFonts w:cs="Times New Roman" w:hint="eastAsia"/>
          <w:b/>
          <w:kern w:val="0"/>
          <w:szCs w:val="22"/>
          <w:lang w:bidi="en-US"/>
        </w:rPr>
        <w:t>in</w:t>
      </w:r>
      <w:r w:rsidR="003F6CF2" w:rsidRPr="003F6CF2">
        <w:rPr>
          <w:rFonts w:cs="Times New Roman"/>
          <w:b/>
          <w:kern w:val="0"/>
          <w:szCs w:val="22"/>
          <w:lang w:eastAsia="de-DE" w:bidi="en-US"/>
        </w:rPr>
        <w:t xml:space="preserve"> all participants</w:t>
      </w:r>
      <w:r w:rsidRPr="003F6CF2">
        <w:rPr>
          <w:rFonts w:cs="Times New Roman"/>
          <w:b/>
          <w:kern w:val="0"/>
          <w:szCs w:val="22"/>
          <w:lang w:eastAsia="de-DE" w:bidi="en-US"/>
        </w:rPr>
        <w:t>.</w:t>
      </w:r>
    </w:p>
    <w:tbl>
      <w:tblPr>
        <w:tblStyle w:val="af0"/>
        <w:tblW w:w="16818" w:type="dxa"/>
        <w:tblInd w:w="-141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902"/>
        <w:gridCol w:w="590"/>
        <w:gridCol w:w="591"/>
        <w:gridCol w:w="630"/>
        <w:gridCol w:w="630"/>
        <w:gridCol w:w="630"/>
        <w:gridCol w:w="630"/>
        <w:gridCol w:w="591"/>
        <w:gridCol w:w="591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573"/>
        <w:gridCol w:w="591"/>
        <w:gridCol w:w="460"/>
        <w:gridCol w:w="421"/>
        <w:gridCol w:w="346"/>
      </w:tblGrid>
      <w:tr w:rsidR="003B2C07" w:rsidRPr="003F6CF2" w:rsidTr="003B2C07">
        <w:trPr>
          <w:trHeight w:val="23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proofErr w:type="spellStart"/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Mean±SD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B2C07" w:rsidRPr="00D353C4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2</w:t>
            </w:r>
            <w:r>
              <w:rPr>
                <w:rFonts w:cs="Times New Roman"/>
                <w:b/>
                <w:bCs/>
                <w:kern w:val="0"/>
                <w:sz w:val="13"/>
                <w:szCs w:val="15"/>
              </w:rPr>
              <w:t>2</w:t>
            </w: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 Locomotion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2 OI navigation legibility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3 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bookmarkStart w:id="0" w:name="_Hlk160607189"/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4 Age</w:t>
            </w:r>
            <w:r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 </w:t>
            </w:r>
            <w:r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46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bookmarkEnd w:id="0"/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5 Education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3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6 Digital experience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4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7 Egocentric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5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8 Allocentric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4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9 Cardinal directions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3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10 Use of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4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ascii="等线" w:eastAsia="等线" w:hAnsi="等线" w:hint="eastAsia"/>
                <w:color w:val="000000"/>
                <w:sz w:val="11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11 Possession of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3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B2C07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12 Rotation 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17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F6CF2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13 Wayfinding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147.3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81.59s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14 Number of </w:t>
            </w:r>
            <w:proofErr w:type="gramStart"/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hesitation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10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15 Number of turn errors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16 Mobile navigation usage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25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ascii="等线" w:eastAsia="等线" w:hAnsi="等线" w:hint="eastAsia"/>
                <w:color w:val="000000"/>
                <w:sz w:val="11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17 Mobile navigation usage 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65.2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42.52s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18 Mobile navigation usage duration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44.9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18.95%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eastAsia="Times New Roman" w:cs="Times New Roman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19 Regression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7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spacing w:line="240" w:lineRule="exact"/>
              <w:ind w:firstLine="220"/>
              <w:rPr>
                <w:rFonts w:ascii="等线" w:eastAsia="等线" w:hAnsi="等线" w:hint="eastAsia"/>
                <w:color w:val="000000"/>
                <w:sz w:val="11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Default="003B2C07" w:rsidP="003B2C07">
            <w:pPr>
              <w:spacing w:line="240" w:lineRule="exact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20 Average regression </w:t>
            </w:r>
            <w:proofErr w:type="gramStart"/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angle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72.7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22.32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3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3"/>
                <w:szCs w:val="15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21 Time of cognitive map drawing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172.2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82.52s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</w:tr>
      <w:tr w:rsidR="003B2C07" w:rsidRPr="003F6CF2" w:rsidTr="00331721">
        <w:trPr>
          <w:trHeight w:val="233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22 Accuracy of cognitive map drawing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60.5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20.91%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0.26***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0.25***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-0.63***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0.32***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0.56***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0.56***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0.43***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3B2C07" w:rsidRPr="00331721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331721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0.27***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-0.42***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-0.22**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-0.26***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-0.2**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-0.38***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0.28***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2C07" w:rsidRPr="003B2C07" w:rsidRDefault="003B2C07" w:rsidP="003B2C07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3B2C07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</w:tr>
    </w:tbl>
    <w:p w:rsidR="00D353C4" w:rsidRPr="00BA4C7D" w:rsidRDefault="00D353C4" w:rsidP="00D353C4">
      <w:pPr>
        <w:widowControl/>
        <w:spacing w:afterLines="50" w:after="163" w:line="240" w:lineRule="auto"/>
        <w:ind w:firstLineChars="0" w:firstLine="0"/>
        <w:rPr>
          <w:rFonts w:cs="Times New Roman"/>
          <w:kern w:val="0"/>
        </w:rPr>
      </w:pPr>
    </w:p>
    <w:p w:rsidR="00D353C4" w:rsidRDefault="00D353C4" w:rsidP="00D353C4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The variables 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Locomotion methods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, 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OI navigation legibility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>,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>G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ender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and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>E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ducation level were all nominal variables represented by numerical values in the correlation analysis. Specifically, 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in 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Locomotion methods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, 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0 and 1 represented </w:t>
      </w:r>
      <w:r w:rsidR="00B63776"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 xml:space="preserve">discontinuous teleportation 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and </w:t>
      </w:r>
      <w:r w:rsidR="00B63776"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continuous teleportation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, respectively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>. I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n OI navigation legibility, 0 and 1 represented </w:t>
      </w:r>
      <w:r w:rsidR="00B63776"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unenhanced legibility and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 w:rsidR="00B63776"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enhanced legibility</w:t>
      </w:r>
      <w:r w:rsidR="00B63776"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, respectively.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I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n Gender, 0 and 1 represented 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>m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ale and 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>f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emale, respectively. In </w:t>
      </w:r>
      <w:r w:rsidR="00B63776">
        <w:rPr>
          <w:rFonts w:eastAsia="Times New Roman" w:cs="Times New Roman"/>
          <w:kern w:val="0"/>
          <w:sz w:val="22"/>
          <w:szCs w:val="22"/>
          <w:lang w:eastAsia="de-DE" w:bidi="en-US"/>
        </w:rPr>
        <w:t>E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ducation level, 1, 2, 3, and 4 represented primary school and below, junior high school, senior high school, and undergraduate or associate degree, respectively.</w:t>
      </w:r>
    </w:p>
    <w:p w:rsidR="00D353C4" w:rsidRPr="008362EF" w:rsidRDefault="00D353C4" w:rsidP="00D353C4">
      <w:pPr>
        <w:widowControl/>
        <w:adjustRightInd w:val="0"/>
        <w:snapToGrid w:val="0"/>
        <w:spacing w:beforeLines="50" w:before="163" w:line="228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The significance levels were indicated as *p&lt;.05, **p&lt;.01, and ***p&lt;.001.</w:t>
      </w:r>
    </w:p>
    <w:p w:rsidR="00D353C4" w:rsidRPr="008432E4" w:rsidRDefault="00B63776" w:rsidP="00D353C4">
      <w:pPr>
        <w:widowControl/>
        <w:spacing w:afterLines="50" w:after="163" w:line="240" w:lineRule="auto"/>
        <w:ind w:firstLineChars="0" w:firstLine="0"/>
        <w:rPr>
          <w:rFonts w:cs="Times New Roman"/>
          <w:b/>
          <w:kern w:val="0"/>
          <w:szCs w:val="22"/>
          <w:lang w:eastAsia="de-DE" w:bidi="en-US"/>
        </w:rPr>
      </w:pPr>
      <w:r>
        <w:rPr>
          <w:rFonts w:cs="Times New Roman"/>
          <w:b/>
          <w:kern w:val="0"/>
          <w:szCs w:val="22"/>
          <w:lang w:eastAsia="de-DE" w:bidi="en-US"/>
        </w:rPr>
        <w:br w:type="page"/>
      </w:r>
      <w:r w:rsidR="00D353C4" w:rsidRPr="00BA4C7D">
        <w:rPr>
          <w:rFonts w:cs="Times New Roman"/>
          <w:b/>
          <w:kern w:val="0"/>
          <w:szCs w:val="22"/>
          <w:lang w:eastAsia="de-DE" w:bidi="en-US"/>
        </w:rPr>
        <w:lastRenderedPageBreak/>
        <w:t xml:space="preserve">Supplementary Table </w:t>
      </w:r>
      <w:r w:rsidR="00D353C4">
        <w:rPr>
          <w:rFonts w:cs="Times New Roman"/>
          <w:b/>
          <w:kern w:val="0"/>
          <w:szCs w:val="22"/>
          <w:lang w:eastAsia="de-DE" w:bidi="en-US"/>
        </w:rPr>
        <w:t>2</w:t>
      </w:r>
      <w:r w:rsidR="00D353C4" w:rsidRPr="00BA4C7D">
        <w:rPr>
          <w:rFonts w:cs="Times New Roman"/>
          <w:b/>
          <w:kern w:val="0"/>
          <w:szCs w:val="22"/>
          <w:lang w:eastAsia="de-DE" w:bidi="en-US"/>
        </w:rPr>
        <w:t xml:space="preserve">. </w:t>
      </w:r>
      <w:r w:rsidR="00D353C4" w:rsidRPr="008432E4">
        <w:rPr>
          <w:rFonts w:cs="Times New Roman"/>
          <w:b/>
          <w:kern w:val="0"/>
          <w:szCs w:val="22"/>
          <w:lang w:eastAsia="de-DE" w:bidi="en-US"/>
        </w:rPr>
        <w:t>Matrix of correlation coefficients of all variables in older adults.</w:t>
      </w:r>
    </w:p>
    <w:tbl>
      <w:tblPr>
        <w:tblStyle w:val="af0"/>
        <w:tblW w:w="16818" w:type="dxa"/>
        <w:tblInd w:w="-141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8"/>
        <w:gridCol w:w="922"/>
        <w:gridCol w:w="604"/>
        <w:gridCol w:w="604"/>
        <w:gridCol w:w="643"/>
        <w:gridCol w:w="546"/>
        <w:gridCol w:w="605"/>
        <w:gridCol w:w="644"/>
        <w:gridCol w:w="644"/>
        <w:gridCol w:w="528"/>
        <w:gridCol w:w="644"/>
        <w:gridCol w:w="644"/>
        <w:gridCol w:w="644"/>
        <w:gridCol w:w="644"/>
        <w:gridCol w:w="605"/>
        <w:gridCol w:w="644"/>
        <w:gridCol w:w="644"/>
        <w:gridCol w:w="644"/>
        <w:gridCol w:w="605"/>
        <w:gridCol w:w="470"/>
        <w:gridCol w:w="605"/>
        <w:gridCol w:w="470"/>
        <w:gridCol w:w="431"/>
        <w:gridCol w:w="346"/>
      </w:tblGrid>
      <w:tr w:rsidR="001A724C" w:rsidRPr="003F6CF2" w:rsidTr="001A724C">
        <w:trPr>
          <w:trHeight w:val="23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proofErr w:type="spellStart"/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Mean±SD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75F0C" w:rsidRPr="00D353C4" w:rsidRDefault="00175F0C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2</w:t>
            </w:r>
            <w:r>
              <w:rPr>
                <w:rFonts w:cs="Times New Roman"/>
                <w:b/>
                <w:bCs/>
                <w:kern w:val="0"/>
                <w:sz w:val="13"/>
                <w:szCs w:val="15"/>
              </w:rPr>
              <w:t>2</w:t>
            </w: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 Locomotion methods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2 OI navigation legibility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3 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4 Age</w:t>
            </w:r>
            <w:r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 </w:t>
            </w:r>
            <w:r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68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5 Education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3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6 Digital experience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2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7 Egocentric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5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8 Allocentric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5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9 Cardinal directions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3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10 Use of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3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11 Possession of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2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9E4EA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12 Rotation 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16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3F6CF2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13 Wayfinding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196.7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81.92s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14 Number of </w:t>
            </w:r>
            <w:proofErr w:type="gramStart"/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hesitation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13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15 Number of turn errors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2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16 Mobile navigation usage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29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17 Mobile navigation usage 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91.2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42.2s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18 Mobile navigation usage duration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47.8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16.81%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19 Regression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6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20 Average regression </w:t>
            </w:r>
            <w:proofErr w:type="gramStart"/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angle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68.3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28.54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21 Time of cognitive map drawing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172.7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83.9s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</w:tr>
      <w:tr w:rsidR="001A724C" w:rsidRPr="003F6CF2" w:rsidTr="001A724C">
        <w:trPr>
          <w:trHeight w:val="233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A724C" w:rsidRPr="003B2C07" w:rsidRDefault="001A724C" w:rsidP="001A724C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22 Accuracy of cognitive map drawing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47.3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16.69%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0.43***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0.40***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-0.26**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724C" w:rsidRPr="001A724C" w:rsidRDefault="001A724C" w:rsidP="001A724C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1A724C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</w:tr>
    </w:tbl>
    <w:p w:rsidR="00B63776" w:rsidRDefault="00B63776" w:rsidP="00B63776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The variables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Locomotion methods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,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OI navigation legibility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,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G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ender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and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E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ducation level were all nominal variables represented by numerical values in the correlation analysis. Specifically,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in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Locomotion methods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,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0 and 1 represented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 xml:space="preserve">discontinuous teleportation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and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continuous teleportation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, respectively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. I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n OI navigation legibility, 0 and 1 represented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unenhanced legibility and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enhanced legibility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, respectively.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I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n Gender, 0 and 1 represented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m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ale and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f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emale, respectively. In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E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ducation level, 1, 2, 3, and 4 represented primary school and below, junior high school, senior high school, and undergraduate or associate degree, respectively.</w:t>
      </w:r>
    </w:p>
    <w:p w:rsidR="00B63776" w:rsidRPr="008362EF" w:rsidRDefault="00B63776" w:rsidP="00B63776">
      <w:pPr>
        <w:widowControl/>
        <w:adjustRightInd w:val="0"/>
        <w:snapToGrid w:val="0"/>
        <w:spacing w:beforeLines="50" w:before="163" w:line="228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The significance levels were indicated as *p&lt;.05, **p&lt;.01, and ***p&lt;.001.</w:t>
      </w:r>
    </w:p>
    <w:p w:rsidR="00B63776" w:rsidRDefault="00B63776" w:rsidP="00D353C4">
      <w:pPr>
        <w:widowControl/>
        <w:spacing w:afterLines="50" w:after="163" w:line="240" w:lineRule="auto"/>
        <w:ind w:firstLineChars="0" w:firstLine="0"/>
        <w:rPr>
          <w:rFonts w:cs="Times New Roman"/>
          <w:b/>
          <w:kern w:val="0"/>
          <w:szCs w:val="22"/>
          <w:lang w:eastAsia="de-DE" w:bidi="en-US"/>
        </w:rPr>
      </w:pPr>
      <w:r>
        <w:rPr>
          <w:rFonts w:cs="Times New Roman"/>
          <w:b/>
          <w:kern w:val="0"/>
          <w:szCs w:val="22"/>
          <w:lang w:eastAsia="de-DE" w:bidi="en-US"/>
        </w:rPr>
        <w:br w:type="page"/>
      </w:r>
    </w:p>
    <w:p w:rsidR="00D353C4" w:rsidRPr="00145532" w:rsidRDefault="00D353C4" w:rsidP="00D353C4">
      <w:pPr>
        <w:widowControl/>
        <w:spacing w:afterLines="50" w:after="163" w:line="240" w:lineRule="auto"/>
        <w:ind w:firstLineChars="0" w:firstLine="0"/>
        <w:rPr>
          <w:rFonts w:cs="Times New Roman"/>
          <w:b/>
          <w:kern w:val="0"/>
          <w:szCs w:val="22"/>
          <w:lang w:eastAsia="de-DE" w:bidi="en-US"/>
        </w:rPr>
      </w:pPr>
      <w:r w:rsidRPr="00145532">
        <w:rPr>
          <w:rFonts w:cs="Times New Roman"/>
          <w:b/>
          <w:kern w:val="0"/>
          <w:szCs w:val="22"/>
          <w:lang w:eastAsia="de-DE" w:bidi="en-US"/>
        </w:rPr>
        <w:lastRenderedPageBreak/>
        <w:t xml:space="preserve">Supplementary Table </w:t>
      </w:r>
      <w:r>
        <w:rPr>
          <w:rFonts w:cs="Times New Roman"/>
          <w:b/>
          <w:kern w:val="0"/>
          <w:szCs w:val="22"/>
          <w:lang w:eastAsia="de-DE" w:bidi="en-US"/>
        </w:rPr>
        <w:t>3</w:t>
      </w:r>
      <w:r w:rsidRPr="00145532">
        <w:rPr>
          <w:rFonts w:cs="Times New Roman"/>
          <w:b/>
          <w:kern w:val="0"/>
          <w:szCs w:val="22"/>
          <w:lang w:eastAsia="de-DE" w:bidi="en-US"/>
        </w:rPr>
        <w:t xml:space="preserve">. Matrix of correlation coefficients of all variables in </w:t>
      </w:r>
      <w:r>
        <w:rPr>
          <w:rFonts w:cs="Times New Roman"/>
          <w:b/>
          <w:kern w:val="0"/>
          <w:szCs w:val="22"/>
          <w:lang w:eastAsia="de-DE" w:bidi="en-US"/>
        </w:rPr>
        <w:t>young</w:t>
      </w:r>
      <w:r w:rsidRPr="00145532">
        <w:rPr>
          <w:rFonts w:cs="Times New Roman"/>
          <w:b/>
          <w:kern w:val="0"/>
          <w:szCs w:val="22"/>
          <w:lang w:eastAsia="de-DE" w:bidi="en-US"/>
        </w:rPr>
        <w:t>er adults.</w:t>
      </w:r>
    </w:p>
    <w:tbl>
      <w:tblPr>
        <w:tblStyle w:val="af0"/>
        <w:tblW w:w="16818" w:type="dxa"/>
        <w:tblInd w:w="-141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943"/>
        <w:gridCol w:w="529"/>
        <w:gridCol w:w="500"/>
        <w:gridCol w:w="658"/>
        <w:gridCol w:w="658"/>
        <w:gridCol w:w="657"/>
        <w:gridCol w:w="617"/>
        <w:gridCol w:w="617"/>
        <w:gridCol w:w="617"/>
        <w:gridCol w:w="617"/>
        <w:gridCol w:w="617"/>
        <w:gridCol w:w="558"/>
        <w:gridCol w:w="657"/>
        <w:gridCol w:w="617"/>
        <w:gridCol w:w="657"/>
        <w:gridCol w:w="657"/>
        <w:gridCol w:w="499"/>
        <w:gridCol w:w="617"/>
        <w:gridCol w:w="539"/>
        <w:gridCol w:w="558"/>
        <w:gridCol w:w="480"/>
        <w:gridCol w:w="499"/>
        <w:gridCol w:w="346"/>
      </w:tblGrid>
      <w:tr w:rsidR="006C7652" w:rsidRPr="003F6CF2" w:rsidTr="00ED10B2">
        <w:trPr>
          <w:trHeight w:val="23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proofErr w:type="spellStart"/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Mean±SD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D353C4">
              <w:rPr>
                <w:rFonts w:cs="Times New Roman"/>
                <w:b/>
                <w:bCs/>
                <w:kern w:val="0"/>
                <w:sz w:val="13"/>
                <w:szCs w:val="15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C7652" w:rsidRPr="00D353C4" w:rsidRDefault="006C7652" w:rsidP="004963B0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2</w:t>
            </w:r>
            <w:r>
              <w:rPr>
                <w:rFonts w:cs="Times New Roman"/>
                <w:b/>
                <w:bCs/>
                <w:kern w:val="0"/>
                <w:sz w:val="13"/>
                <w:szCs w:val="15"/>
              </w:rPr>
              <w:t>2</w:t>
            </w: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 Locomotion methods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spacing w:line="240" w:lineRule="exact"/>
              <w:ind w:firstLine="22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2 OI navigation legibility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3 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4 Age</w:t>
            </w:r>
            <w:r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 </w:t>
            </w:r>
            <w:r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23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5 Education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4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6 Digital experience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5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7 Egocentric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4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8 Allocentric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4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9 Cardinal directions 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3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10 Use of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5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11 Possession of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4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4963B0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12 Rotation 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18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3F6CF2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F6CF2">
              <w:rPr>
                <w:rFonts w:cs="Times New Roman" w:hint="eastAsia"/>
                <w:b/>
                <w:bCs/>
                <w:kern w:val="0"/>
                <w:sz w:val="13"/>
                <w:szCs w:val="15"/>
              </w:rPr>
              <w:t>13 Wayfinding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97.8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41.63s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14 Number of </w:t>
            </w:r>
            <w:proofErr w:type="gramStart"/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hesitation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7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15 Number of turn errors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bookmarkStart w:id="1" w:name="_GoBack" w:colFirst="12" w:colLast="12"/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16 Mobile navigation usage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20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bookmarkEnd w:id="1"/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17 Mobile navigation usage 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39.2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22.05s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18 Mobile navigation usage duration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41.9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20.53%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19 Regression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9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 xml:space="preserve">20 Average regression </w:t>
            </w:r>
            <w:proofErr w:type="gramStart"/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angle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77.0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12.20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21 Time of cognitive map drawing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171.6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81.55s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</w:p>
        </w:tc>
      </w:tr>
      <w:tr w:rsidR="00ED10B2" w:rsidRPr="003F6CF2" w:rsidTr="00ED10B2">
        <w:trPr>
          <w:trHeight w:val="233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D10B2" w:rsidRPr="003B2C07" w:rsidRDefault="00ED10B2" w:rsidP="00ED10B2">
            <w:pPr>
              <w:widowControl/>
              <w:spacing w:line="240" w:lineRule="exact"/>
              <w:ind w:firstLineChars="0" w:firstLine="0"/>
              <w:jc w:val="left"/>
              <w:rPr>
                <w:rFonts w:cs="Times New Roman"/>
                <w:b/>
                <w:bCs/>
                <w:kern w:val="0"/>
                <w:sz w:val="13"/>
                <w:szCs w:val="15"/>
              </w:rPr>
            </w:pPr>
            <w:r w:rsidRPr="003B2C07">
              <w:rPr>
                <w:rFonts w:cs="Times New Roman"/>
                <w:b/>
                <w:bCs/>
                <w:kern w:val="0"/>
                <w:sz w:val="13"/>
                <w:szCs w:val="15"/>
              </w:rPr>
              <w:t>22 Accuracy of cognitive map drawing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73.7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±</w:t>
            </w: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15.75%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0.25*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-0.34***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-0.37***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0.30**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0.43***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/>
                <w:bCs/>
                <w:kern w:val="0"/>
                <w:sz w:val="11"/>
                <w:szCs w:val="15"/>
              </w:rPr>
              <w:t>0.34***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-0.27**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0.33**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0.23*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D10B2" w:rsidRPr="00ED10B2" w:rsidRDefault="00ED10B2" w:rsidP="00ED10B2">
            <w:pPr>
              <w:widowControl/>
              <w:spacing w:line="240" w:lineRule="exact"/>
              <w:ind w:firstLineChars="0" w:firstLine="0"/>
              <w:jc w:val="center"/>
              <w:rPr>
                <w:rFonts w:cs="Times New Roman" w:hint="eastAsia"/>
                <w:bCs/>
                <w:kern w:val="0"/>
                <w:sz w:val="11"/>
                <w:szCs w:val="15"/>
              </w:rPr>
            </w:pPr>
            <w:r w:rsidRPr="00ED10B2">
              <w:rPr>
                <w:rFonts w:cs="Times New Roman" w:hint="eastAsia"/>
                <w:bCs/>
                <w:kern w:val="0"/>
                <w:sz w:val="11"/>
                <w:szCs w:val="15"/>
              </w:rPr>
              <w:t>1</w:t>
            </w:r>
          </w:p>
        </w:tc>
      </w:tr>
    </w:tbl>
    <w:p w:rsidR="00B63776" w:rsidRDefault="00B63776" w:rsidP="00B63776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The variables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Locomotion methods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,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OI navigation legibility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,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G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ender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and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E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ducation level were all nominal variables represented by numerical values in the correlation analysis. Specifically,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in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Locomotion methods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,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0 and 1 represented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 xml:space="preserve">discontinuous teleportation 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and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continuous teleportation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, respectively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. I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n OI navigation legibility, 0 and 1 represented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unenhanced legibility and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</w:t>
      </w:r>
      <w:r w:rsidRPr="00B63776">
        <w:rPr>
          <w:rFonts w:eastAsia="Times New Roman" w:cs="Times New Roman" w:hint="eastAsia"/>
          <w:kern w:val="0"/>
          <w:sz w:val="22"/>
          <w:szCs w:val="22"/>
          <w:lang w:eastAsia="de-DE" w:bidi="en-US"/>
        </w:rPr>
        <w:t>enhanced legibility</w:t>
      </w:r>
      <w:r w:rsidRPr="00B63776">
        <w:rPr>
          <w:rFonts w:eastAsia="Times New Roman" w:cs="Times New Roman"/>
          <w:kern w:val="0"/>
          <w:sz w:val="22"/>
          <w:szCs w:val="22"/>
          <w:lang w:eastAsia="de-DE" w:bidi="en-US"/>
        </w:rPr>
        <w:t>, respectively.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 I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n Gender, 0 and 1 represented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m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ale and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f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emale, respectively. In </w:t>
      </w:r>
      <w:r>
        <w:rPr>
          <w:rFonts w:eastAsia="Times New Roman" w:cs="Times New Roman"/>
          <w:kern w:val="0"/>
          <w:sz w:val="22"/>
          <w:szCs w:val="22"/>
          <w:lang w:eastAsia="de-DE" w:bidi="en-US"/>
        </w:rPr>
        <w:t>E</w:t>
      </w: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ducation level, 1, 2, 3, and 4 represented primary school and below, junior high school, senior high school, and undergraduate or associate degree, respectively.</w:t>
      </w:r>
    </w:p>
    <w:p w:rsidR="00D353C4" w:rsidRPr="00D353C4" w:rsidRDefault="00B63776" w:rsidP="00B63776">
      <w:pPr>
        <w:widowControl/>
        <w:adjustRightInd w:val="0"/>
        <w:snapToGrid w:val="0"/>
        <w:spacing w:beforeLines="50" w:before="163" w:line="228" w:lineRule="auto"/>
        <w:ind w:firstLineChars="0" w:firstLine="0"/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The significance levels were indicated as *p&lt;.05, **p&lt;.01, and ***p&lt;.001.</w:t>
      </w:r>
    </w:p>
    <w:sectPr w:rsidR="00D353C4" w:rsidRPr="00D353C4" w:rsidSect="00D353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699" w:rsidRDefault="00903699">
      <w:pPr>
        <w:spacing w:line="240" w:lineRule="auto"/>
        <w:ind w:firstLine="480"/>
      </w:pPr>
      <w:r>
        <w:separator/>
      </w:r>
    </w:p>
  </w:endnote>
  <w:endnote w:type="continuationSeparator" w:id="0">
    <w:p w:rsidR="00903699" w:rsidRDefault="0090369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1" w:rsidRDefault="00376B5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1" w:rsidRDefault="00376B5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1" w:rsidRDefault="00376B5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699" w:rsidRDefault="00903699">
      <w:pPr>
        <w:spacing w:line="240" w:lineRule="auto"/>
        <w:ind w:firstLine="480"/>
      </w:pPr>
      <w:r>
        <w:separator/>
      </w:r>
    </w:p>
  </w:footnote>
  <w:footnote w:type="continuationSeparator" w:id="0">
    <w:p w:rsidR="00903699" w:rsidRDefault="0090369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1" w:rsidRDefault="00376B5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1" w:rsidRDefault="00376B5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51" w:rsidRDefault="00376B5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1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5B1D50"/>
    <w:multiLevelType w:val="multilevel"/>
    <w:tmpl w:val="36FCB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8406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5656FB"/>
    <w:multiLevelType w:val="multilevel"/>
    <w:tmpl w:val="A2B0EB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2A96265"/>
    <w:multiLevelType w:val="hybridMultilevel"/>
    <w:tmpl w:val="EC02BFE2"/>
    <w:lvl w:ilvl="0" w:tplc="D02E0C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1176D2"/>
    <w:multiLevelType w:val="multilevel"/>
    <w:tmpl w:val="27B00C5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ru v:ext="edit" colors="#ceeaca,#ca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C4"/>
    <w:rsid w:val="000063D5"/>
    <w:rsid w:val="000E058D"/>
    <w:rsid w:val="00100017"/>
    <w:rsid w:val="00175F0C"/>
    <w:rsid w:val="001A724C"/>
    <w:rsid w:val="001A7EED"/>
    <w:rsid w:val="001D07F9"/>
    <w:rsid w:val="002349A1"/>
    <w:rsid w:val="0026762C"/>
    <w:rsid w:val="00323CE1"/>
    <w:rsid w:val="00324EFF"/>
    <w:rsid w:val="00330D02"/>
    <w:rsid w:val="00331721"/>
    <w:rsid w:val="00376B51"/>
    <w:rsid w:val="00376EDF"/>
    <w:rsid w:val="003B2C07"/>
    <w:rsid w:val="003F6CF2"/>
    <w:rsid w:val="0040071F"/>
    <w:rsid w:val="005264C3"/>
    <w:rsid w:val="00551E14"/>
    <w:rsid w:val="006B1027"/>
    <w:rsid w:val="006C7652"/>
    <w:rsid w:val="006D48D1"/>
    <w:rsid w:val="006F32CB"/>
    <w:rsid w:val="00783C67"/>
    <w:rsid w:val="00856E0D"/>
    <w:rsid w:val="00903699"/>
    <w:rsid w:val="00982E47"/>
    <w:rsid w:val="00990DD3"/>
    <w:rsid w:val="00B20B00"/>
    <w:rsid w:val="00B54F07"/>
    <w:rsid w:val="00B63776"/>
    <w:rsid w:val="00BB3737"/>
    <w:rsid w:val="00BC29D2"/>
    <w:rsid w:val="00CB13CD"/>
    <w:rsid w:val="00CD08CE"/>
    <w:rsid w:val="00D353C4"/>
    <w:rsid w:val="00E2307A"/>
    <w:rsid w:val="00E5035D"/>
    <w:rsid w:val="00ED10B2"/>
    <w:rsid w:val="00EE0A36"/>
    <w:rsid w:val="00F32F8E"/>
    <w:rsid w:val="00F65A68"/>
    <w:rsid w:val="00F91946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eeaca,#caeaca"/>
    </o:shapedefaults>
    <o:shapelayout v:ext="edit">
      <o:idmap v:ext="edit" data="1"/>
    </o:shapelayout>
  </w:shapeDefaults>
  <w:decimalSymbol w:val="."/>
  <w:listSeparator w:val=","/>
  <w14:docId w14:val="45F6ADD6"/>
  <w15:chartTrackingRefBased/>
  <w15:docId w15:val="{E3DEEB13-BED4-40E5-8231-2446967D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3C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F65A68"/>
    <w:pPr>
      <w:numPr>
        <w:numId w:val="6"/>
      </w:numPr>
      <w:ind w:left="0" w:firstLineChars="0" w:firstLine="0"/>
      <w:jc w:val="center"/>
      <w:outlineLvl w:val="0"/>
    </w:pPr>
    <w:rPr>
      <w:rFonts w:eastAsia="黑体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65A68"/>
    <w:pPr>
      <w:numPr>
        <w:ilvl w:val="1"/>
        <w:numId w:val="6"/>
      </w:numPr>
      <w:ind w:left="0" w:firstLineChars="0" w:firstLine="0"/>
      <w:outlineLvl w:val="1"/>
    </w:pPr>
    <w:rPr>
      <w:rFonts w:eastAsia="黑体"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F65A68"/>
    <w:pPr>
      <w:numPr>
        <w:ilvl w:val="2"/>
        <w:numId w:val="6"/>
      </w:numPr>
      <w:ind w:left="0" w:firstLineChars="0" w:firstLine="0"/>
      <w:outlineLvl w:val="2"/>
    </w:pPr>
    <w:rPr>
      <w:rFonts w:eastAsia="黑体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65A68"/>
    <w:rPr>
      <w:rFonts w:ascii="Times New Roman" w:eastAsia="黑体" w:hAnsi="Times New Roman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65A68"/>
    <w:rPr>
      <w:rFonts w:ascii="Times New Roman" w:eastAsia="黑体" w:hAnsi="Times New Roman"/>
      <w:sz w:val="30"/>
      <w:szCs w:val="30"/>
    </w:rPr>
  </w:style>
  <w:style w:type="character" w:customStyle="1" w:styleId="30">
    <w:name w:val="标题 3 字符"/>
    <w:basedOn w:val="a1"/>
    <w:link w:val="3"/>
    <w:uiPriority w:val="9"/>
    <w:rsid w:val="00F65A68"/>
    <w:rPr>
      <w:rFonts w:ascii="Times New Roman" w:eastAsia="黑体" w:hAnsi="Times New Roman"/>
      <w:sz w:val="28"/>
      <w:szCs w:val="28"/>
    </w:rPr>
  </w:style>
  <w:style w:type="paragraph" w:styleId="a4">
    <w:name w:val="No Spacing"/>
    <w:aliases w:val="图表名"/>
    <w:basedOn w:val="a"/>
    <w:uiPriority w:val="1"/>
    <w:qFormat/>
    <w:rsid w:val="001A7EED"/>
    <w:pPr>
      <w:ind w:firstLineChars="0" w:firstLine="0"/>
      <w:jc w:val="center"/>
    </w:pPr>
    <w:rPr>
      <w:sz w:val="21"/>
      <w:szCs w:val="21"/>
    </w:rPr>
  </w:style>
  <w:style w:type="paragraph" w:styleId="a0">
    <w:name w:val="List Paragraph"/>
    <w:basedOn w:val="a"/>
    <w:uiPriority w:val="34"/>
    <w:qFormat/>
    <w:rsid w:val="00783C67"/>
    <w:pPr>
      <w:ind w:firstLine="420"/>
    </w:pPr>
  </w:style>
  <w:style w:type="character" w:styleId="a5">
    <w:name w:val="annotation reference"/>
    <w:basedOn w:val="a1"/>
    <w:uiPriority w:val="99"/>
    <w:semiHidden/>
    <w:unhideWhenUsed/>
    <w:rsid w:val="00D353C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353C4"/>
    <w:pPr>
      <w:jc w:val="left"/>
    </w:pPr>
  </w:style>
  <w:style w:type="character" w:customStyle="1" w:styleId="a7">
    <w:name w:val="批注文字 字符"/>
    <w:basedOn w:val="a1"/>
    <w:link w:val="a6"/>
    <w:uiPriority w:val="99"/>
    <w:semiHidden/>
    <w:rsid w:val="00D353C4"/>
    <w:rPr>
      <w:rFonts w:ascii="Times New Roman" w:eastAsia="宋体" w:hAnsi="Times New Roman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353C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353C4"/>
    <w:rPr>
      <w:rFonts w:ascii="Times New Roman" w:eastAsia="宋体" w:hAnsi="Times New Roman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353C4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D353C4"/>
    <w:rPr>
      <w:rFonts w:ascii="Times New Roman" w:eastAsia="宋体" w:hAnsi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35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D353C4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353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D353C4"/>
    <w:rPr>
      <w:rFonts w:ascii="Times New Roman" w:eastAsia="宋体" w:hAnsi="Times New Roman"/>
      <w:sz w:val="18"/>
      <w:szCs w:val="18"/>
    </w:rPr>
  </w:style>
  <w:style w:type="table" w:styleId="af0">
    <w:name w:val="Table Grid"/>
    <w:basedOn w:val="a2"/>
    <w:uiPriority w:val="39"/>
    <w:rsid w:val="00D35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9B8D5-4C0F-4B6F-BECB-26050774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So</cp:lastModifiedBy>
  <cp:revision>15</cp:revision>
  <dcterms:created xsi:type="dcterms:W3CDTF">2024-03-01T04:54:00Z</dcterms:created>
  <dcterms:modified xsi:type="dcterms:W3CDTF">2024-03-13T03:22:00Z</dcterms:modified>
</cp:coreProperties>
</file>