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For FD001: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Comparison between RUL_real and RUL_Predict,   Residual Plot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Residual and sMAPE distribution: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223838</wp:posOffset>
            </wp:positionV>
            <wp:extent cx="3826348" cy="241935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348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277988</wp:posOffset>
            </wp:positionV>
            <wp:extent cx="3438273" cy="2317651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58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273" cy="23176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Example Unit Prediction (step size 10):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471988" cy="2701826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701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For FD002: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Comparison between RUL_real and RUL_Predict,   Residual Plot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Residual and sMAPE distribution: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180975</wp:posOffset>
            </wp:positionV>
            <wp:extent cx="3333750" cy="2137019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37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181975</wp:posOffset>
            </wp:positionV>
            <wp:extent cx="3328988" cy="2133966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1339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Example Unit Prediction (step size 10):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200025</wp:posOffset>
            </wp:positionV>
            <wp:extent cx="4976813" cy="2960065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960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For FD003: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Comparison between RUL_real and RUL_Predict,   Residual Plot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Residual and sMAPE distribution: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165450</wp:posOffset>
            </wp:positionV>
            <wp:extent cx="3230803" cy="2117626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803" cy="2117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161925</wp:posOffset>
            </wp:positionV>
            <wp:extent cx="3709988" cy="2281297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2812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Example Unit Prediction (step size 10):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180975</wp:posOffset>
            </wp:positionV>
            <wp:extent cx="4691063" cy="2738943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738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For FD004: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