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Georgia" w:cs="Georgia" w:eastAsia="Georgia" w:hAnsi="Georgi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1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110"/>
        <w:gridCol w:w="857"/>
        <w:gridCol w:w="1023"/>
        <w:gridCol w:w="954"/>
        <w:gridCol w:w="2968"/>
        <w:gridCol w:w="854"/>
        <w:gridCol w:w="181"/>
        <w:gridCol w:w="944"/>
        <w:tblGridChange w:id="0">
          <w:tblGrid>
            <w:gridCol w:w="2110"/>
            <w:gridCol w:w="857"/>
            <w:gridCol w:w="1023"/>
            <w:gridCol w:w="954"/>
            <w:gridCol w:w="2968"/>
            <w:gridCol w:w="854"/>
            <w:gridCol w:w="181"/>
            <w:gridCol w:w="944"/>
          </w:tblGrid>
        </w:tblGridChange>
      </w:tblGrid>
      <w:tr>
        <w:trPr>
          <w:cantSplit w:val="0"/>
          <w:trHeight w:val="160" w:hRule="atLeast"/>
          <w:tblHeader w:val="0"/>
        </w:trPr>
        <w:tc>
          <w:tcPr>
            <w:gridSpan w:val="4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Georgia" w:cs="Georgia" w:eastAsia="Georgia" w:hAnsi="Georgia"/>
              </w:rPr>
            </w:pPr>
            <w:r/>
            <w:r>
              <w:drawing>
                <wp:inline>
                  <wp:extent cx="3200400" cy="2105863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210586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6">
            <w:pPr>
              <w:jc w:val="right"/>
              <w:rPr>
                <w:rFonts w:ascii="Georgia" w:cs="Georgia" w:eastAsia="Georgia" w:hAnsi="Georgia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№ об’єкту: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Назва Об’єкту (Житлового комплексу): РОМАШКА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Адреса: проспект 50-летия ВЛКСМ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Район: Приближенный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Мікрорайон: Балашовка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GPS Координати: 1231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Сегмент комфортності: Премиум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Georgia" w:cs="Georgia" w:eastAsia="Georgia" w:hAnsi="Georgia"/>
              </w:rPr>
            </w:pPr>
            <w:r/>
            <w:r>
              <w:drawing>
                <wp:inline>
                  <wp:extent cx="3200400" cy="2105863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210586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Сайт: None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Девелопер: Zurarose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Контакт: (380)935-1520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Центр продажу: 1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E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Стан готовності на вересень 2021: (%)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Генеральний підрядник: РУКУ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Тип нерухомості: 14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Початок будівництва: 2005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Завершення будівництва: 2009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A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Вартість: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На початок будівництва: ____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На жовтень 2021р: ____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Паркінгу: ????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Комірок: ____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Не житлових приміщень: ____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Середня вартість: ____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A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Фінансування: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Перший внесок: 1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Знижка при оплаті 100%: 4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Розтермінування: 2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Знижки: 5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Іпотека: 3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Банк: 6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A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Техніко – економічні показники: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Загальна площа комплексу: 0.0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Загальна площа квартир: 0.0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Кількість будинків: 3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Площа вбудовано- прибудованих: 0.0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Кількість секцій: 18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Поверховість: 0-0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Комерційні приміщення: 1.0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Паркінг / к-ть місць: 213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Гостьовий паркінг/ к-ть місць: None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2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Кількість квартир: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Кількість 1-кім.: 6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Кількість 3-кім.: 6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Кількість 2-кім.: 6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Кількість 4-кім. і більше: 6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A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Площа квартир: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Площа 1-кім.: 0.0-1.0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Площа 3-кім.: 0.0-2.0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Площа 2-кім.: 0.0-2.0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Площа 4-кім. і більше: 0.0-4.0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2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Земля: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Титул: fin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Цільове призначення: 4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Площа земельної ділянки: fin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Відсоток забудови ділянки: ТЕСТ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Кадастровий номер: ТЕСТ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2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Технічні параметри: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Технологія каркасу: fin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Конструкційний матеріал: 10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Міжповерхове перекриття: fin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Зовнішні стіни: 11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Міжквартирні перегородки: 3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Утеплення: 12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Фасад: 4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Вікна: 13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Профіль та склопакет: 5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Виробник вікон: 14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Тип опалення: 6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Марка котла: 15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Тип даху: 7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Покрівля: 16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Наявність терас: 8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Наявність балконів: 17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Висота стель: 9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Комплектність квартири: 18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Призначення та інфраструктура: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Типи соціальних об’єктів комплексу: fin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Дитячий майданчик: fin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Комфорт: 3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Безпека: 4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Внутрішня інфраструктура: 5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Відпочинкові зони: 6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Хол /гостьові зони: 7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ІТ рішення/Розумний дім/Розумний ЖК: 8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Вело паркінги: 9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Місця для вигулу тварин: 10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Доступ на територію комплексу: 11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Місця для зберігання: 12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Консьєрж сервіс: 13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2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Зовнішня інфраструктура: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Розваги: fin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Транспорт: fin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Школа: 3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Садок: 4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Магазини: 5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2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Система продажу: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Рейтинг ЖК покупців: у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Оцінка Центру продажу: 1выф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Канали продажу:  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Рекламні активності:  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A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Додатково: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Юридична схема продажу: fin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Сильні сторони проекту: fin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Слабкі сторони проекту: 3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Додатковий опис: 4</w:t>
            </w:r>
          </w:p>
        </w:tc>
      </w:tr>
    </w:tbl>
    <w:p w:rsidR="00000000" w:rsidDel="00000000" w:rsidP="00000000" w:rsidRDefault="00000000" w:rsidRPr="00000000" w14:paraId="0000028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284" w:top="567" w:left="1418" w:right="567" w:header="113" w:footer="51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3">
    <w:name w:val="heading 3"/>
    <w:basedOn w:val="a"/>
    <w:link w:val="30"/>
    <w:uiPriority w:val="9"/>
    <w:qFormat w:val="1"/>
    <w:rsid w:val="000D0E83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01651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No Spacing"/>
    <w:uiPriority w:val="1"/>
    <w:qFormat w:val="1"/>
    <w:rsid w:val="00323961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 w:val="1"/>
    <w:rsid w:val="00DF73FC"/>
    <w:pPr>
      <w:tabs>
        <w:tab w:val="center" w:pos="4819"/>
        <w:tab w:val="right" w:pos="9639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DF73FC"/>
  </w:style>
  <w:style w:type="paragraph" w:styleId="a7">
    <w:name w:val="footer"/>
    <w:basedOn w:val="a"/>
    <w:link w:val="a8"/>
    <w:uiPriority w:val="99"/>
    <w:unhideWhenUsed w:val="1"/>
    <w:rsid w:val="00DF73FC"/>
    <w:pPr>
      <w:tabs>
        <w:tab w:val="center" w:pos="4819"/>
        <w:tab w:val="right" w:pos="9639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DF73FC"/>
  </w:style>
  <w:style w:type="character" w:styleId="30" w:customStyle="1">
    <w:name w:val="Заголовок 3 Знак"/>
    <w:basedOn w:val="a0"/>
    <w:link w:val="3"/>
    <w:uiPriority w:val="9"/>
    <w:rsid w:val="000D0E83"/>
    <w:rPr>
      <w:rFonts w:ascii="Times New Roman" w:cs="Times New Roman" w:eastAsia="Times New Roman" w:hAnsi="Times New Roman"/>
      <w:b w:val="1"/>
      <w:bCs w:val="1"/>
      <w:sz w:val="27"/>
      <w:szCs w:val="27"/>
      <w:lang w:eastAsia="uk-UA"/>
    </w:rPr>
  </w:style>
  <w:style w:type="paragraph" w:styleId="LO-normal" w:customStyle="1">
    <w:name w:val="LO-normal"/>
    <w:qFormat w:val="1"/>
    <w:rsid w:val="00F02C91"/>
    <w:pPr>
      <w:spacing w:after="0" w:line="240" w:lineRule="auto"/>
    </w:pPr>
    <w:rPr>
      <w:rFonts w:ascii="Calibri" w:cs="Calibri" w:eastAsia="Calibri" w:hAnsi="Calibri"/>
      <w:sz w:val="20"/>
      <w:szCs w:val="20"/>
      <w:lang w:bidi="hi-IN" w:eastAsia="zh-CN"/>
    </w:rPr>
  </w:style>
  <w:style w:type="paragraph" w:styleId="a9" w:customStyle="1">
    <w:name w:val="Покажчик"/>
    <w:basedOn w:val="a"/>
    <w:qFormat w:val="1"/>
    <w:rsid w:val="00F02C91"/>
    <w:pPr>
      <w:suppressLineNumbers w:val="1"/>
      <w:spacing w:after="0" w:line="240" w:lineRule="auto"/>
    </w:pPr>
    <w:rPr>
      <w:rFonts w:ascii="Calibri" w:cs="Arial" w:eastAsia="Calibri" w:hAnsi="Calibri"/>
      <w:sz w:val="20"/>
      <w:szCs w:val="20"/>
      <w:lang w:bidi="hi-IN" w:eastAsia="zh-CN"/>
    </w:rPr>
  </w:style>
  <w:style w:type="paragraph" w:styleId="aa">
    <w:name w:val="Balloon Text"/>
    <w:basedOn w:val="a"/>
    <w:link w:val="ab"/>
    <w:uiPriority w:val="99"/>
    <w:semiHidden w:val="1"/>
    <w:unhideWhenUsed w:val="1"/>
    <w:rsid w:val="00F2155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b" w:customStyle="1">
    <w:name w:val="Текст выноски Знак"/>
    <w:basedOn w:val="a0"/>
    <w:link w:val="aa"/>
    <w:uiPriority w:val="99"/>
    <w:semiHidden w:val="1"/>
    <w:rsid w:val="00F21555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zcuG8m5cq3V3gPHWFnQj2QvuXA==">AMUW2mWLir8tbHGw/iWSi9A+/vTD8gTxjfGaIPCCRQwGBdsyBhFLoW/mD+oLCdedzBD8VHpxoMfP/vF01HGXkoZOABx7abSA7ZAl24b4hVyQj+coi0jNqKhrNYe3RzK+F1irptDR53qLfx/+y7GedFUMcBeyqwhAzA==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2021-11-04T10:08:00Z</dcterms:created>
  <dc:creator>P.R. Development</dc:creator>
</cp:coreProperties>
</file>