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00401-0320446-4.-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 objeción para renovación de contrato-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los presentes actuados la Dirección Provincial de Educación Hospitalaria y Domiciliaria solicita la renovación del contrato del agente Técnico electromecánico Agustín Romang - DNI 36.481.053, desde el 01/01/22 al 31/12/22, para desempeñarse como Administrativo en el marco del Plan Educativo Anual Jurisdiccional 2022 – Programa 29.-
Cabe mencionar, que la dedicación horaria será de 40 hs semanales y el monto mensual de $ 60000.
Teniendo en cuenta que en autos consta la documentación y antecedentes del consultor mencionado; y la No Objeción para dicha contratación por parte del Ministerio de Educación de la Nación, esta Secretaría brinda su conformidad para la continuidad del trámite. Remítase a la Dirección General de Administración.-
		Oficie de atenta nota.--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General de Administración – Codigo: 004010302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