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2"/>
        <w:gridCol w:w="2211"/>
        <w:gridCol w:w="1475"/>
        <w:gridCol w:w="3690"/>
        <w:tblGridChange w:id="0">
          <w:tblGrid>
            <w:gridCol w:w="2262"/>
            <w:gridCol w:w="2211"/>
            <w:gridCol w:w="1475"/>
            <w:gridCol w:w="3690"/>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1467e"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DOCUMENT - ARCHITECTURE DECISION RECORD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Destinataire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STS SIO 2</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Spécialité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Modification</w:t>
            </w:r>
          </w:p>
        </w:tc>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01-2024</w:t>
            </w:r>
          </w:p>
        </w:tc>
        <w:tc>
          <w:tcPr>
            <w:tcBorders>
              <w:left w:color="000000" w:space="0" w:sz="4" w:val="single"/>
              <w:bottom w:color="000000"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Version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r>
    </w:tbl>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Mode d’emploi</w:t>
      </w:r>
    </w:p>
    <w:tbl>
      <w:tblPr>
        <w:tblStyle w:val="Table2"/>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724"/>
        <w:gridCol w:w="6914"/>
        <w:tblGridChange w:id="0">
          <w:tblGrid>
            <w:gridCol w:w="2724"/>
            <w:gridCol w:w="691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Numéro d’ADR (ou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Identifiant, il est repris dans le nom du fichier.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Titre ou Sujet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 bref résumé de la décision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Auteur(s)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Nom et prénom du ou des auteurs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Contexte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Description de la situation ou du problème qui a conduit à la prise de décision (par exemple : Notre équipe travail actuellement sur la mise en place de … … et nous avons rencontré le problème... / ou nous établissons le document de référence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Statut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Le statut actuel de l’ADR (par exemple, proposé, accepté, rejeté, abandonné, remplacé, etc.).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Conséquences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Les conséquences positives et négatives de la décision, ainsi que les implications pour le projet (par exemple : cette solution a l’avantage de … … mais implique que ... / ou il ne sera donc pas possible de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Références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Liens vers des ressources externes, telles que la documentation, les articles de blog ou les discussions pertinentes pour la décision.</w:t>
            </w:r>
          </w:p>
        </w:tc>
      </w:tr>
    </w:tbl>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pStyle w:val="Heading2"/>
        <w:spacing w:after="57" w:before="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Pourquoi utiliser des ADR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ADR offrent de nombreux avantages pour les équipes de conception lorsqu’il s’agit de documenter les décisions techniques importantes. Voici quelques-unes des raisons pour lesquelles il est bénéfique d’utiliser des ADR :</w:t>
      </w:r>
    </w:p>
    <w:p w:rsidR="00000000" w:rsidDel="00000000" w:rsidP="00000000" w:rsidRDefault="00000000" w:rsidRPr="00000000" w14:paraId="00000024">
      <w:pPr>
        <w:pStyle w:val="Heading3"/>
        <w:rPr/>
      </w:pPr>
      <w:r w:rsidDel="00000000" w:rsidR="00000000" w:rsidRPr="00000000">
        <w:rPr>
          <w:rtl w:val="0"/>
        </w:rPr>
        <w:t xml:space="preserve">La transparence et communication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ADR fournissent un moyen clair et structuré de communiquer les décisions techniques au sein de l’équipe. Elles favorisent la concertation et documentent les raisons derrière une décision et/ou les alternatives envisagées.</w:t>
      </w:r>
    </w:p>
    <w:p w:rsidR="00000000" w:rsidDel="00000000" w:rsidP="00000000" w:rsidRDefault="00000000" w:rsidRPr="00000000" w14:paraId="00000026">
      <w:pPr>
        <w:pStyle w:val="Heading3"/>
        <w:rPr/>
      </w:pPr>
      <w:r w:rsidDel="00000000" w:rsidR="00000000" w:rsidRPr="00000000">
        <w:rPr>
          <w:rtl w:val="0"/>
        </w:rPr>
        <w:t xml:space="preserve">Traçabilité des décisions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ADR permettent de garder une trace des décisions techniques prises au fil du temps. Cela facilite la compréhension de l’évolution du projet et de son architecture, ainsi que l’identification des décisions qui peuvent nécessiter une réévaluation ou une mise à jour.</w:t>
      </w:r>
    </w:p>
    <w:p w:rsidR="00000000" w:rsidDel="00000000" w:rsidP="00000000" w:rsidRDefault="00000000" w:rsidRPr="00000000" w14:paraId="00000028">
      <w:pPr>
        <w:pStyle w:val="Heading3"/>
        <w:rPr/>
      </w:pPr>
      <w:r w:rsidDel="00000000" w:rsidR="00000000" w:rsidRPr="00000000">
        <w:rPr>
          <w:rtl w:val="0"/>
        </w:rPr>
        <w:t xml:space="preserve">Apprentissage et amélioration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documentant les décisions, les ADR encouragent la réflexion et l’analyse approfondie des choix techniques. Cela favorise un apprentissage continu au sein de l’équipe et peut conduire à des améliorations dans la prise de décision et les processus de développement.</w:t>
      </w:r>
    </w:p>
    <w:p w:rsidR="00000000" w:rsidDel="00000000" w:rsidP="00000000" w:rsidRDefault="00000000" w:rsidRPr="00000000" w14:paraId="0000002A">
      <w:pPr>
        <w:pStyle w:val="Heading3"/>
        <w:rPr/>
      </w:pPr>
      <w:r w:rsidDel="00000000" w:rsidR="00000000" w:rsidRPr="00000000">
        <w:rPr>
          <w:rtl w:val="0"/>
        </w:rPr>
        <w:t xml:space="preserve">Accueil des nouveaux membres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Lorsqu’un nouveau membre rejoint l’équipe, les ADR servent de ressource précieuse pour comprendre l’histoire et la logique derrière les choix techniques du projet. Cela facilite leur intégration et leur permet de mieux comprendre et contribuer au projet.</w:t>
      </w:r>
    </w:p>
    <w:p w:rsidR="00000000" w:rsidDel="00000000" w:rsidP="00000000" w:rsidRDefault="00000000" w:rsidRPr="00000000" w14:paraId="0000002C">
      <w:pPr>
        <w:pStyle w:val="Heading3"/>
        <w:rPr/>
      </w:pPr>
      <w:r w:rsidDel="00000000" w:rsidR="00000000" w:rsidRPr="00000000">
        <w:rPr>
          <w:rtl w:val="0"/>
        </w:rPr>
        <w:t xml:space="preserve">Responsabilisation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ADR aident à responsabiliser les membres de l’équipe en documentant les décisions et en identifiant les personnes impliquées dans la prise de ces décisions. Cela favorise une culture de responsabilité et d’engagement envers les choix techniques.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57" w:before="0"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Votre ADR</w:t>
      </w:r>
    </w:p>
    <w:p w:rsidR="00000000" w:rsidDel="00000000" w:rsidP="00000000" w:rsidRDefault="00000000" w:rsidRPr="00000000" w14:paraId="0000003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Vous pouvez utilisez ce document tel quel ou mettre en place un document à votre convenance, dans ce cas les informations listées ci-dessous doivent apparaître clairement (par exemple, un format Markdown peut-être d’une approche plus intuitive et simple).</w:t>
      </w:r>
    </w:p>
    <w:p w:rsidR="00000000" w:rsidDel="00000000" w:rsidP="00000000" w:rsidRDefault="00000000" w:rsidRPr="00000000" w14:paraId="00000031">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Ou stocker vos ADR</w:t>
      </w:r>
    </w:p>
    <w:p w:rsidR="00000000" w:rsidDel="00000000" w:rsidP="00000000" w:rsidRDefault="00000000" w:rsidRPr="00000000" w14:paraId="0000003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Vous stocker vos ADR dans un dossier partagé et bien identifié de tous les membres de l’équipe (par exemple un dossier « projet » ).</w:t>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tl w:val="0"/>
        </w:rPr>
      </w:r>
    </w:p>
    <w:tbl>
      <w:tblPr>
        <w:tblStyle w:val="Table3"/>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724"/>
        <w:gridCol w:w="6914"/>
        <w:tblGridChange w:id="0">
          <w:tblGrid>
            <w:gridCol w:w="2724"/>
            <w:gridCol w:w="691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Numéro d’ADR (ou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Titre ou Sujet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Auteur(s)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Contexte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Statut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Conséquences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Références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footerReference r:id="rId6" w:type="default"/>
      <w:pgSz w:h="16838" w:w="11906" w:orient="portrait"/>
      <w:pgMar w:bottom="938" w:top="1134" w:left="1134" w:right="1134" w:header="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Auteur : Clovis LEMPEREUR</w:t>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