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4"/>
              <w:left w:val="single" w:color="00338D" w:sz="4"/>
              <w:bottom w:val="single" w:color="00338D" w:sz="4"/>
              <w:right w:val="single" w:color="00338D" w:sz="4"/>
            </w:tcBorders>
            <w:shd w:fill="00338D" w:val="clear"/>
            <w:tcMar>
              <w:top w:type="dxa" w:w="80"/>
              <w:left w:type="dxa" w:w="140"/>
              <w:bottom w:type="dxa" w:w="80"/>
              <w:right w:type="dxa" w:w="140"/>
            </w:tcMar>
          </w:tcPr>
          <w:p>
            <w:pPr>
              <w:spacing w:after="0" w:before="0"/>
              <w:jc w:val="left"/>
            </w:pPr>
            <w:r>
              <w:rPr>
                <w:rFonts w:ascii="Arial" w:cs="Arial" w:eastAsia="Arial" w:hAnsi="Arial"/>
                <w:b/>
                <w:bCs/>
                <w:i w:val="false"/>
                <w:iCs w:val="false"/>
                <w:color w:val="FFFFFF"/>
                <w:sz w:val="20"/>
                <w:szCs w:val="20"/>
              </w:rPr>
              <w:t xml:space="preserve">Observation: SAML Assertion Uses Correct Exclusive XML Canonicalization (exc-c14n) — Positive Finding</w:t>
            </w:r>
          </w:p>
        </w:tc>
      </w:tr>
      <w:tr>
        <w:tc>
          <w:tcPr>
            <w:tcW w:type="dxa" w:w="9360"/>
            <w:tcBorders>
              <w:top w:val="single" w:color="00B050" w:sz="4"/>
              <w:left w:val="single" w:color="00B050" w:sz="4"/>
              <w:bottom w:val="single" w:color="00B050" w:sz="4"/>
              <w:right w:val="single" w:color="00B050" w:sz="4"/>
            </w:tcBorders>
            <w:shd w:fill="00B050" w:val="clear"/>
            <w:tcMar>
              <w:top w:type="dxa" w:w="60"/>
              <w:left w:type="dxa" w:w="140"/>
              <w:bottom w:type="dxa" w:w="60"/>
              <w:right w:type="dxa" w:w="140"/>
            </w:tcMar>
          </w:tcPr>
          <w:p>
            <w:pPr>
              <w:spacing w:after="0" w:before="0"/>
              <w:jc w:val="left"/>
            </w:pPr>
            <w:r>
              <w:rPr>
                <w:rFonts w:ascii="Arial" w:cs="Arial" w:eastAsia="Arial" w:hAnsi="Arial"/>
                <w:b/>
                <w:bCs/>
                <w:i w:val="false"/>
                <w:iCs w:val="false"/>
                <w:color w:val="FFFFFF"/>
                <w:sz w:val="18"/>
                <w:szCs w:val="18"/>
              </w:rPr>
              <w:t xml:space="preserve">Result: </w:t>
            </w:r>
            <w:r>
              <w:rPr>
                <w:rFonts w:ascii="Arial" w:cs="Arial" w:eastAsia="Arial" w:hAnsi="Arial"/>
                <w:b w:val="false"/>
                <w:bCs w:val="false"/>
                <w:i w:val="false"/>
                <w:iCs w:val="false"/>
                <w:color w:val="FFFFFF"/>
                <w:sz w:val="18"/>
                <w:szCs w:val="18"/>
              </w:rPr>
              <w:t xml:space="preserve">No Vulnerability — Positive Observation</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Status: </w:t>
            </w:r>
            <w:r>
              <w:rPr>
                <w:rFonts w:ascii="Arial" w:cs="Arial" w:eastAsia="Arial" w:hAnsi="Arial"/>
                <w:b w:val="false"/>
                <w:bCs w:val="false"/>
                <w:i w:val="false"/>
                <w:iCs w:val="false"/>
                <w:color w:val="FFFFFF"/>
                <w:sz w:val="18"/>
                <w:szCs w:val="18"/>
              </w:rPr>
              <w:t xml:space="preserve">Closed</w:t>
            </w:r>
            <w:r>
              <w:rPr>
                <w:rFonts w:ascii="Arial" w:cs="Arial" w:eastAsia="Arial" w:hAnsi="Arial"/>
                <w:b w:val="false"/>
                <w:bCs w:val="false"/>
                <w:i w:val="false"/>
                <w:iCs w:val="false"/>
                <w:color w:val="FFFFFF"/>
                <w:sz w:val="18"/>
                <w:szCs w:val="18"/>
              </w:rPr>
              <w:t xml:space="preserve">     |     </w:t>
            </w:r>
            <w:r>
              <w:rPr>
                <w:rFonts w:ascii="Arial" w:cs="Arial" w:eastAsia="Arial" w:hAnsi="Arial"/>
                <w:b/>
                <w:bCs/>
                <w:i w:val="false"/>
                <w:iCs w:val="false"/>
                <w:color w:val="FFFFFF"/>
                <w:sz w:val="18"/>
                <w:szCs w:val="18"/>
              </w:rPr>
              <w:t xml:space="preserve">Dependency: </w:t>
            </w:r>
            <w:r>
              <w:rPr>
                <w:rFonts w:ascii="Arial" w:cs="Arial" w:eastAsia="Arial" w:hAnsi="Arial"/>
                <w:b w:val="false"/>
                <w:bCs w:val="false"/>
                <w:i w:val="false"/>
                <w:iCs w:val="false"/>
                <w:color w:val="FFFFFF"/>
                <w:sz w:val="18"/>
                <w:szCs w:val="18"/>
              </w:rPr>
              <w:t xml:space="preserve">Microsoft Entra ID</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Description</w:t>
            </w:r>
          </w:p>
          <w:p>
            <w:pPr>
              <w:spacing w:after="60" w:before="0"/>
              <w:jc w:val="left"/>
            </w:pPr>
            <w:r>
              <w:rPr>
                <w:rFonts w:ascii="Arial" w:cs="Arial" w:eastAsia="Arial" w:hAnsi="Arial"/>
                <w:b w:val="false"/>
                <w:bCs w:val="false"/>
                <w:i w:val="false"/>
                <w:iCs w:val="false"/>
                <w:color w:val="000000"/>
                <w:sz w:val="18"/>
                <w:szCs w:val="18"/>
              </w:rPr>
              <w:t xml:space="preserve">Testing included a review of the XML canonicalization algorithm used within SAML assertions issued by Microsoft Entra ID during the SSO authentication flow. Canonicalization in SAML refers to the process of converting an XML document to a standard form before computing its digital signature — the choice of algorithm directly determines resistance to XML Signature Wrapping (XSW) attacks.</w:t>
            </w:r>
          </w:p>
          <w:p>
            <w:pPr>
              <w:spacing w:after="40" w:before="0"/>
              <w:jc w:val="left"/>
            </w:pPr>
            <w:r>
              <w:rPr>
                <w:rFonts w:ascii="Arial" w:cs="Arial" w:eastAsia="Arial" w:hAnsi="Arial"/>
                <w:b w:val="false"/>
                <w:bCs w:val="false"/>
                <w:i w:val="false"/>
                <w:iCs w:val="false"/>
                <w:color w:val="000000"/>
                <w:sz w:val="18"/>
                <w:szCs w:val="18"/>
              </w:rPr>
              <w:t xml:space="preserve">The Burp Suite Inspector panel confirmed that the SAML assertion uses Exclusive XML Canonicalization (exc-c14n):</w:t>
            </w:r>
          </w:p>
          <w:p>
            <w:pPr>
              <w:spacing w:after="40" w:before="0"/>
              <w:ind w:left="720"/>
              <w:jc w:val="left"/>
            </w:pPr>
            <w:r>
              <w:rPr>
                <w:rFonts w:ascii="Arial" w:cs="Arial" w:eastAsia="Arial" w:hAnsi="Arial"/>
                <w:b w:val="false"/>
                <w:bCs w:val="false"/>
                <w:i w:val="false"/>
                <w:iCs w:val="false"/>
                <w:color w:val="00338D"/>
                <w:sz w:val="18"/>
                <w:szCs w:val="18"/>
              </w:rPr>
              <w:t xml:space="preserve">http://www.w3.org/2001/10/xml-exc-c14n#</w:t>
            </w:r>
          </w:p>
          <w:p>
            <w:pPr>
              <w:spacing w:after="40" w:before="0"/>
              <w:jc w:val="left"/>
            </w:pPr>
            <w:r>
              <w:rPr>
                <w:rFonts w:ascii="Arial" w:cs="Arial" w:eastAsia="Arial" w:hAnsi="Arial"/>
                <w:b w:val="false"/>
                <w:bCs w:val="false"/>
                <w:i w:val="false"/>
                <w:iCs w:val="false"/>
                <w:color w:val="000000"/>
                <w:sz w:val="18"/>
                <w:szCs w:val="18"/>
              </w:rPr>
              <w:t xml:space="preserve">This is the correct and recommended algorithm per the SAML 2.0 specification and NIST SP 800-63C. The table below explains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Algorithm</w:t>
                  </w:r>
                </w:p>
              </w:tc>
              <w:tc>
                <w:tcPr>
                  <w:tcW w:type="dxa" w:w="256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Type</w:t>
                  </w:r>
                </w:p>
              </w:tc>
              <w:tc>
                <w:tcPr>
                  <w:tcW w:type="dxa" w:w="360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Security Assessment</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xml-c14n#  (Inclusive C14N)</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C00000"/>
                      <w:sz w:val="18"/>
                      <w:szCs w:val="18"/>
                    </w:rPr>
                    <w:t xml:space="preserve">Weak / Avoid</w:t>
                  </w:r>
                </w:p>
              </w:tc>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C00000"/>
                      <w:sz w:val="18"/>
                      <w:szCs w:val="18"/>
                    </w:rPr>
                    <w:t xml:space="preserve">Includes parent namespace declarations — susceptible to XML Signature Wrapping (XSW) attacks</w:t>
                  </w:r>
                </w:p>
              </w:tc>
            </w:tr>
            <w:tr>
              <w:tc>
                <w:tcPr>
                  <w:tcW w:type="dxa" w:w="32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000000"/>
                      <w:sz w:val="18"/>
                      <w:szCs w:val="18"/>
                    </w:rPr>
                    <w:t xml:space="preserve">xml-exc-c14n#  (Exclusive C14N)</w:t>
                  </w:r>
                </w:p>
              </w:tc>
              <w:tc>
                <w:tcPr>
                  <w:tcW w:type="dxa" w:w="25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00B050"/>
                      <w:sz w:val="18"/>
                      <w:szCs w:val="18"/>
                    </w:rPr>
                    <w:t xml:space="preserve">✅  Correct — Observed</w:t>
                  </w:r>
                </w:p>
              </w:tc>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bCs/>
                      <w:i w:val="false"/>
                      <w:iCs w:val="false"/>
                      <w:color w:val="00B050"/>
                      <w:sz w:val="18"/>
                      <w:szCs w:val="18"/>
                    </w:rPr>
                    <w:t xml:space="preserve">Excludes unnecessary namespace context — SAML 2.0 spec recommended, XSW-resistant</w:t>
                  </w:r>
                </w:p>
              </w:tc>
            </w:tr>
          </w:tbl>
          <w:p/>
          <w:p>
            <w:pPr>
              <w:spacing w:after="40" w:before="40"/>
              <w:jc w:val="left"/>
            </w:pPr>
            <w:r>
              <w:rPr>
                <w:rFonts w:ascii="Arial" w:cs="Arial" w:eastAsia="Arial" w:hAnsi="Arial"/>
                <w:b w:val="false"/>
                <w:bCs w:val="false"/>
                <w:i w:val="false"/>
                <w:iCs w:val="false"/>
                <w:color w:val="000000"/>
                <w:sz w:val="18"/>
                <w:szCs w:val="18"/>
              </w:rPr>
              <w:t xml:space="preserve">The full set of cryptographic elements observed in the SAML assertion are all correctly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SAML Element</w:t>
                  </w:r>
                </w:p>
              </w:tc>
              <w:tc>
                <w:tcPr>
                  <w:tcW w:type="dxa" w:w="5760"/>
                  <w:tcBorders>
                    <w:top w:val="single" w:color="CCCCCC" w:sz="4"/>
                    <w:left w:val="single" w:color="CCCCCC" w:sz="4"/>
                    <w:bottom w:val="single" w:color="CCCCCC" w:sz="4"/>
                    <w:right w:val="single" w:color="CCCCCC" w:sz="4"/>
                  </w:tcBorders>
                  <w:shd w:fill="E8EEF7" w:val="clear"/>
                  <w:tcMar>
                    <w:top w:type="dxa" w:w="60"/>
                    <w:left w:type="dxa" w:w="120"/>
                    <w:bottom w:type="dxa" w:w="60"/>
                    <w:right w:type="dxa" w:w="120"/>
                  </w:tcMar>
                </w:tcPr>
                <w:p>
                  <w:pPr>
                    <w:spacing w:after="0" w:before="0"/>
                    <w:jc w:val="left"/>
                  </w:pPr>
                  <w:r>
                    <w:rPr>
                      <w:rFonts w:ascii="Arial" w:cs="Arial" w:eastAsia="Arial" w:hAnsi="Arial"/>
                      <w:b/>
                      <w:bCs/>
                      <w:i w:val="false"/>
                      <w:iCs w:val="false"/>
                      <w:color w:val="00338D"/>
                      <w:sz w:val="18"/>
                      <w:szCs w:val="18"/>
                    </w:rPr>
                    <w:t xml:space="preserve">Value Observed</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CanonicalizationMethod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http://www.w3.org/2001/10/xml-exc-c14n#</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SignatureMethod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http://www.w3.org/2001/04/xmldsig-more#rsa-sha256</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Transform Algorithm</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http://www.w3.org/2000/09/xmldsig#enveloped-signature</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Transform Algorithm (C14N)</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http://www.w3.org/2001/10/xml-exc-c14n#</w:t>
                  </w:r>
                </w:p>
              </w:tc>
            </w:tr>
            <w:tr>
              <w:tc>
                <w:tcPr>
                  <w:tcW w:type="dxa" w:w="360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0000"/>
                      <w:sz w:val="18"/>
                      <w:szCs w:val="18"/>
                    </w:rPr>
                    <w:t xml:space="preserve">DigestMethod</w:t>
                  </w:r>
                </w:p>
              </w:tc>
              <w:tc>
                <w:tcPr>
                  <w:tcW w:type="dxa" w:w="5760"/>
                  <w:tcBorders>
                    <w:top w:val="single" w:color="CCCCCC" w:sz="4"/>
                    <w:left w:val="single" w:color="CCCCCC" w:sz="4"/>
                    <w:bottom w:val="single" w:color="CCCCCC" w:sz="4"/>
                    <w:right w:val="single" w:color="CCCCCC" w:sz="4"/>
                  </w:tcBorders>
                  <w:tcMar>
                    <w:top w:type="dxa" w:w="60"/>
                    <w:left w:type="dxa" w:w="120"/>
                    <w:bottom w:type="dxa" w:w="60"/>
                    <w:right w:type="dxa" w:w="120"/>
                  </w:tcMar>
                </w:tcPr>
                <w:p>
                  <w:pPr>
                    <w:spacing w:after="0" w:before="0"/>
                    <w:jc w:val="left"/>
                  </w:pPr>
                  <w:r>
                    <w:rPr>
                      <w:rFonts w:ascii="Arial" w:cs="Arial" w:eastAsia="Arial" w:hAnsi="Arial"/>
                      <w:b w:val="false"/>
                      <w:bCs w:val="false"/>
                      <w:i w:val="false"/>
                      <w:iCs w:val="false"/>
                      <w:color w:val="00B050"/>
                      <w:sz w:val="18"/>
                      <w:szCs w:val="18"/>
                    </w:rPr>
                    <w:t xml:space="preserve">http://www.w3.org/2001/04/xmlenc#sha256</w:t>
                  </w:r>
                </w:p>
              </w:tc>
            </w:tr>
          </w:tbl>
          <w:p/>
          <w:p>
            <w:pPr>
              <w:spacing w:after="60" w:before="0"/>
              <w:jc w:val="left"/>
            </w:pPr>
            <w:r>
              <w:rPr>
                <w:rFonts w:ascii="Arial" w:cs="Arial" w:eastAsia="Arial" w:hAnsi="Arial"/>
                <w:b/>
                <w:bCs/>
                <w:i w:val="false"/>
                <w:iCs w:val="false"/>
                <w:color w:val="000000"/>
                <w:sz w:val="18"/>
                <w:szCs w:val="18"/>
              </w:rPr>
              <w:t xml:space="preserve">Why This Matters: </w:t>
            </w:r>
            <w:r>
              <w:rPr>
                <w:rFonts w:ascii="Arial" w:cs="Arial" w:eastAsia="Arial" w:hAnsi="Arial"/>
                <w:b w:val="false"/>
                <w:bCs w:val="false"/>
                <w:i w:val="false"/>
                <w:iCs w:val="false"/>
                <w:color w:val="000000"/>
                <w:sz w:val="18"/>
                <w:szCs w:val="18"/>
              </w:rPr>
              <w:t xml:space="preserve">Inclusive C14N (the weaker alternative) includes parent namespace declarations when computing the signature. An attacker can exploit this by wrapping the signed element inside a new parent with a different namespace, causing the signature to remain valid while the assertion content has been tampered with — a classic XML Signature Wrapping (XSW) attack. Exclusive C14N eliminates this attack vector by only including namespaces that are directly referenced.</w:t>
            </w:r>
          </w:p>
          <w:p>
            <w:pPr>
              <w:spacing w:after="40" w:before="0"/>
              <w:jc w:val="left"/>
            </w:pPr>
            <w:r>
              <w:rPr>
                <w:rFonts w:ascii="Arial" w:cs="Arial" w:eastAsia="Arial" w:hAnsi="Arial"/>
                <w:b/>
                <w:bCs/>
                <w:i w:val="false"/>
                <w:iCs w:val="false"/>
                <w:color w:val="000000"/>
                <w:sz w:val="18"/>
                <w:szCs w:val="18"/>
              </w:rPr>
              <w:t xml:space="preserve">Replay Testing Result: </w:t>
            </w:r>
            <w:r>
              <w:rPr>
                <w:rFonts w:ascii="Arial" w:cs="Arial" w:eastAsia="Arial" w:hAnsi="Arial"/>
                <w:b w:val="false"/>
                <w:bCs w:val="false"/>
                <w:i w:val="false"/>
                <w:iCs w:val="false"/>
                <w:color w:val="000000"/>
                <w:sz w:val="18"/>
                <w:szCs w:val="18"/>
              </w:rPr>
              <w:t xml:space="preserve">SAML replay was also tested (Finding 2) and confirmed blocked by Okta's one-time-use enforcement. Combined with the correct exc-c14n canonicalization, the SAML signature implementation is robust against both wrapping and replay attacks.</w:t>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Tested Systems &amp; Locations</w:t>
            </w:r>
          </w:p>
          <w:p>
            <w:pPr>
              <w:spacing w:after="20" w:before="0"/>
              <w:jc w:val="left"/>
            </w:pPr>
            <w:r>
              <w:rPr>
                <w:rFonts w:ascii="Arial" w:cs="Arial" w:eastAsia="Arial" w:hAnsi="Arial"/>
                <w:b w:val="false"/>
                <w:bCs w:val="false"/>
                <w:i w:val="false"/>
                <w:iCs w:val="false"/>
                <w:color w:val="000000"/>
                <w:sz w:val="18"/>
                <w:szCs w:val="18"/>
              </w:rPr>
              <w:t xml:space="preserve">https://login.microsoftonline.us/f9724c3f-5875-41b3-b99a-b6eee358ee32/saml2  (Microsoft Entra ID GovCloud SAML endpoint)</w:t>
            </w:r>
          </w:p>
          <w:p>
            <w:pPr>
              <w:spacing w:after="40" w:before="0"/>
              <w:jc w:val="left"/>
            </w:pPr>
            <w:r>
              <w:rPr>
                <w:rFonts w:ascii="Arial" w:cs="Arial" w:eastAsia="Arial" w:hAnsi="Arial"/>
                <w:b w:val="false"/>
                <w:bCs w:val="false"/>
                <w:i w:val="false"/>
                <w:iCs w:val="false"/>
                <w:color w:val="000000"/>
                <w:sz w:val="18"/>
                <w:szCs w:val="18"/>
              </w:rPr>
              <w:t xml:space="preserve">https://snyk-fedramp.okta.com/sso/saml2/  (Okta SP SAML endpoint)</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Verification Steps</w:t>
            </w:r>
          </w:p>
          <w:p>
            <w:pPr>
              <w:spacing w:after="40" w:before="0"/>
              <w:jc w:val="left"/>
            </w:pPr>
            <w:r>
              <w:rPr>
                <w:rFonts w:ascii="Arial" w:cs="Arial" w:eastAsia="Arial" w:hAnsi="Arial"/>
                <w:b/>
                <w:bCs/>
                <w:i w:val="false"/>
                <w:iCs w:val="false"/>
                <w:color w:val="000000"/>
                <w:sz w:val="18"/>
                <w:szCs w:val="18"/>
              </w:rPr>
              <w:t xml:space="preserve">1.  </w:t>
            </w:r>
            <w:r>
              <w:rPr>
                <w:rFonts w:ascii="Arial" w:cs="Arial" w:eastAsia="Arial" w:hAnsi="Arial"/>
                <w:b w:val="false"/>
                <w:bCs w:val="false"/>
                <w:i w:val="false"/>
                <w:iCs w:val="false"/>
                <w:color w:val="000000"/>
                <w:sz w:val="18"/>
                <w:szCs w:val="18"/>
              </w:rPr>
              <w:t xml:space="preserve">Configure Burp Suite to intercept all SSO traffic and complete a full login flow to app.snykgov.io.</w:t>
            </w:r>
          </w:p>
          <w:p>
            <w:pPr>
              <w:spacing w:after="40" w:before="0"/>
              <w:jc w:val="left"/>
            </w:pPr>
            <w:r>
              <w:rPr>
                <w:rFonts w:ascii="Arial" w:cs="Arial" w:eastAsia="Arial" w:hAnsi="Arial"/>
                <w:b/>
                <w:bCs/>
                <w:i w:val="false"/>
                <w:iCs w:val="false"/>
                <w:color w:val="000000"/>
                <w:sz w:val="18"/>
                <w:szCs w:val="18"/>
              </w:rPr>
              <w:t xml:space="preserve">2.  </w:t>
            </w:r>
            <w:r>
              <w:rPr>
                <w:rFonts w:ascii="Arial" w:cs="Arial" w:eastAsia="Arial" w:hAnsi="Arial"/>
                <w:b w:val="false"/>
                <w:bCs w:val="false"/>
                <w:i w:val="false"/>
                <w:iCs w:val="false"/>
                <w:color w:val="000000"/>
                <w:sz w:val="18"/>
                <w:szCs w:val="18"/>
              </w:rPr>
              <w:t xml:space="preserve">In Burp HTTP History, locate the POST to login.microsoftonline.us returning HTTP 200 (row 37 in the screenshot).</w:t>
            </w:r>
          </w:p>
          <w:p>
            <w:pPr>
              <w:spacing w:after="40" w:before="0"/>
              <w:jc w:val="left"/>
            </w:pPr>
            <w:r>
              <w:rPr>
                <w:rFonts w:ascii="Arial" w:cs="Arial" w:eastAsia="Arial" w:hAnsi="Arial"/>
                <w:b/>
                <w:bCs/>
                <w:i w:val="false"/>
                <w:iCs w:val="false"/>
                <w:color w:val="000000"/>
                <w:sz w:val="18"/>
                <w:szCs w:val="18"/>
              </w:rPr>
              <w:t xml:space="preserve">3.  </w:t>
            </w:r>
            <w:r>
              <w:rPr>
                <w:rFonts w:ascii="Arial" w:cs="Arial" w:eastAsia="Arial" w:hAnsi="Arial"/>
                <w:b w:val="false"/>
                <w:bCs w:val="false"/>
                <w:i w:val="false"/>
                <w:iCs w:val="false"/>
                <w:color w:val="000000"/>
                <w:sz w:val="18"/>
                <w:szCs w:val="18"/>
              </w:rPr>
              <w:t xml:space="preserve">Click the Response tab → Inspector panel → JSON Web Token tab.</w:t>
            </w:r>
          </w:p>
          <w:p>
            <w:pPr>
              <w:spacing w:after="40" w:before="0"/>
              <w:jc w:val="left"/>
            </w:pPr>
            <w:r>
              <w:rPr>
                <w:rFonts w:ascii="Arial" w:cs="Arial" w:eastAsia="Arial" w:hAnsi="Arial"/>
                <w:b/>
                <w:bCs/>
                <w:i w:val="false"/>
                <w:iCs w:val="false"/>
                <w:color w:val="000000"/>
                <w:sz w:val="18"/>
                <w:szCs w:val="18"/>
              </w:rPr>
              <w:t xml:space="preserve">4.  </w:t>
            </w:r>
            <w:r>
              <w:rPr>
                <w:rFonts w:ascii="Arial" w:cs="Arial" w:eastAsia="Arial" w:hAnsi="Arial"/>
                <w:b w:val="false"/>
                <w:bCs w:val="false"/>
                <w:i w:val="false"/>
                <w:iCs w:val="false"/>
                <w:color w:val="000000"/>
                <w:sz w:val="18"/>
                <w:szCs w:val="18"/>
              </w:rPr>
              <w:t xml:space="preserve">In the Inspector panel on the right, locate the ds:CanonicalizationMethod element.</w:t>
            </w:r>
          </w:p>
          <w:p>
            <w:pPr>
              <w:spacing w:after="40" w:before="0"/>
              <w:jc w:val="left"/>
            </w:pPr>
            <w:r>
              <w:rPr>
                <w:rFonts w:ascii="Arial" w:cs="Arial" w:eastAsia="Arial" w:hAnsi="Arial"/>
                <w:b/>
                <w:bCs/>
                <w:i w:val="false"/>
                <w:iCs w:val="false"/>
                <w:color w:val="000000"/>
                <w:sz w:val="18"/>
                <w:szCs w:val="18"/>
              </w:rPr>
              <w:t xml:space="preserve">5.  </w:t>
            </w:r>
            <w:r>
              <w:rPr>
                <w:rFonts w:ascii="Arial" w:cs="Arial" w:eastAsia="Arial" w:hAnsi="Arial"/>
                <w:b w:val="false"/>
                <w:bCs w:val="false"/>
                <w:i w:val="false"/>
                <w:iCs w:val="false"/>
                <w:color w:val="000000"/>
                <w:sz w:val="18"/>
                <w:szCs w:val="18"/>
              </w:rPr>
              <w:t xml:space="preserve">Confirm the Algorithm attribute reads: http://www.w3.org/2001/10/xml-exc-c14n# (highlighted in yellow in Figure 1).</w:t>
            </w:r>
          </w:p>
          <w:p>
            <w:pPr>
              <w:spacing w:after="60" w:before="0"/>
              <w:jc w:val="left"/>
            </w:pPr>
            <w:r>
              <w:rPr>
                <w:rFonts w:ascii="Arial" w:cs="Arial" w:eastAsia="Arial" w:hAnsi="Arial"/>
                <w:b/>
                <w:bCs/>
                <w:i w:val="false"/>
                <w:iCs w:val="false"/>
                <w:color w:val="000000"/>
                <w:sz w:val="18"/>
                <w:szCs w:val="18"/>
              </w:rPr>
              <w:t xml:space="preserve">6.  </w:t>
            </w:r>
            <w:r>
              <w:rPr>
                <w:rFonts w:ascii="Arial" w:cs="Arial" w:eastAsia="Arial" w:hAnsi="Arial"/>
                <w:b w:val="false"/>
                <w:bCs w:val="false"/>
                <w:i w:val="false"/>
                <w:iCs w:val="false"/>
                <w:color w:val="000000"/>
                <w:sz w:val="18"/>
                <w:szCs w:val="18"/>
              </w:rPr>
              <w:t xml:space="preserve">Confirm SignatureMethod uses rsa-sha256 and DigestMethod uses xmlenc#sha256 — both strong algorithms.</w:t>
            </w:r>
          </w:p>
          <w:p>
            <w:pPr>
              <w:spacing w:after="40" w:before="0"/>
              <w:jc w:val="left"/>
            </w:pPr>
            <w:r>
              <w:rPr>
                <w:rFonts w:ascii="Arial" w:cs="Arial" w:eastAsia="Arial" w:hAnsi="Arial"/>
                <w:b/>
                <w:bCs/>
                <w:i/>
                <w:iCs/>
                <w:color w:val="666666"/>
                <w:sz w:val="18"/>
                <w:szCs w:val="18"/>
              </w:rPr>
              <w:t xml:space="preserve">Figure 1 — Burp Suite Inspector showing xml-exc-c14n# canonicalization algorithm (highlighted in yellow) within the SAML assertion</w:t>
            </w:r>
          </w:p>
          <w:p>
            <w:pPr>
              <w:spacing w:after="80" w:before="0"/>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95500"/>
                          </a:xfrm>
                          <a:prstGeom prst="rect">
                            <a:avLst/>
                          </a:prstGeom>
                        </pic:spPr>
                      </pic:pic>
                    </a:graphicData>
                  </a:graphic>
                </wp:inline>
              </w:drawing>
            </w:r>
          </w:p>
        </w:tc>
      </w:tr>
      <w:tr>
        <w:tc>
          <w:tcPr>
            <w:tcW w:type="dxa" w:w="9360"/>
            <w:tcBorders>
              <w:top w:val="single" w:color="CCCCCC" w:sz="4"/>
              <w:left w:val="single" w:color="CCCCCC" w:sz="4"/>
              <w:bottom w:val="single" w:color="CCCCCC" w:sz="4"/>
              <w:right w:val="single" w:color="CCCCCC" w:sz="4"/>
            </w:tcBorders>
            <w:shd w:fill="F9FAFB" w:val="clear"/>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Recommendation</w:t>
            </w:r>
          </w:p>
          <w:p>
            <w:pPr>
              <w:spacing w:after="40" w:before="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No remediation required. The correct exc-c14n algorithm is in use and no change is needed.</w:t>
            </w:r>
          </w:p>
          <w:p>
            <w:pPr>
              <w:spacing w:after="40" w:before="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Include this as a positive control observation in the FedRAMP SSP — document that SAML canonicalization has been verified as exc-c14n and is resistant to XSW attacks.</w:t>
            </w:r>
          </w:p>
          <w:p>
            <w:pPr>
              <w:spacing w:after="40" w:before="0"/>
              <w:jc w:val="left"/>
            </w:pPr>
            <w:r>
              <w:rPr>
                <w:rFonts w:ascii="Arial" w:cs="Arial" w:eastAsia="Arial" w:hAnsi="Arial"/>
                <w:b/>
                <w:bCs/>
                <w:i w:val="false"/>
                <w:iCs w:val="false"/>
                <w:color w:val="000000"/>
                <w:sz w:val="18"/>
                <w:szCs w:val="18"/>
              </w:rPr>
              <w:t xml:space="preserve">• </w:t>
            </w:r>
            <w:r>
              <w:rPr>
                <w:rFonts w:ascii="Arial" w:cs="Arial" w:eastAsia="Arial" w:hAnsi="Arial"/>
                <w:b w:val="false"/>
                <w:bCs w:val="false"/>
                <w:i w:val="false"/>
                <w:iCs w:val="false"/>
                <w:color w:val="000000"/>
                <w:sz w:val="18"/>
                <w:szCs w:val="18"/>
              </w:rPr>
              <w:t xml:space="preserve">If the SAML configuration is ever changed or the IdP is migrated, re-verify the CanonicalizationMethod to ensure exc-c14n is retained.</w:t>
            </w:r>
          </w:p>
        </w:tc>
      </w:tr>
      <w:tr>
        <w:tc>
          <w:tcPr>
            <w:tcW w:type="dxa" w:w="93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40" w:before="40"/>
              <w:jc w:val="left"/>
            </w:pPr>
            <w:r>
              <w:rPr>
                <w:rFonts w:ascii="Arial" w:cs="Arial" w:eastAsia="Arial" w:hAnsi="Arial"/>
                <w:b/>
                <w:bCs/>
                <w:i w:val="false"/>
                <w:iCs w:val="false"/>
                <w:color w:val="00338D"/>
                <w:sz w:val="18"/>
                <w:szCs w:val="18"/>
              </w:rPr>
              <w:t xml:space="preserve">Closing Justification</w:t>
            </w:r>
          </w:p>
          <w:p>
            <w:pPr>
              <w:spacing w:after="40" w:before="0"/>
              <w:jc w:val="left"/>
            </w:pPr>
            <w:r>
              <w:rPr>
                <w:rFonts w:ascii="Arial" w:cs="Arial" w:eastAsia="Arial" w:hAnsi="Arial"/>
                <w:b w:val="false"/>
                <w:bCs w:val="false"/>
                <w:i/>
                <w:iCs/>
                <w:color w:val="666666"/>
                <w:sz w:val="18"/>
                <w:szCs w:val="18"/>
              </w:rPr>
              <w:t xml:space="preserve">Closed — positive observation. The SAML implementation correctly uses Exclusive XML Canonicalization (exc-c14n) with RSA-SHA256 signatures and SHA-256 digest, meeting SAML 2.0 specification requirements and NIST SP 800-63C guidance. No vulnerability exists. This observation is documented to confirm that XML Signature Wrapping attack vectors were tested and found to be mitigated by the correct algorithm selection.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2" w:space="4"/>
      </w:pBdr>
      <w:spacing w:after="0" w:before="120"/>
    </w:pPr>
    <w:r>
      <w:rPr>
        <w:rFonts w:ascii="Arial" w:cs="Arial" w:eastAsia="Arial" w:hAnsi="Arial"/>
        <w:b w:val="false"/>
        <w:bCs w:val="false"/>
        <w:i w:val="false"/>
        <w:iCs w:val="false"/>
        <w:color w:val="666666"/>
        <w:sz w:val="14"/>
        <w:szCs w:val="14"/>
      </w:rPr>
      <w:t xml:space="preserve">KPMG Internal Use Only  |  Authorized Security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4" w:space="4"/>
      </w:pBdr>
      <w:spacing w:after="120" w:before="0"/>
    </w:pPr>
    <w:r>
      <w:rPr>
        <w:rFonts w:ascii="Arial" w:cs="Arial" w:eastAsia="Arial" w:hAnsi="Arial"/>
        <w:b/>
        <w:bCs/>
        <w:i w:val="false"/>
        <w:iCs w:val="false"/>
        <w:color w:val="00338D"/>
        <w:sz w:val="16"/>
        <w:szCs w:val="16"/>
      </w:rPr>
      <w:t xml:space="preserve">SSO Penetration Test</w:t>
    </w:r>
    <w:r>
      <w:rPr>
        <w:rFonts w:ascii="Arial" w:cs="Arial" w:eastAsia="Arial" w:hAnsi="Arial"/>
        <w:b w:val="false"/>
        <w:bCs w:val="false"/>
        <w:i w:val="false"/>
        <w:iCs w:val="false"/>
        <w:color w:val="666666"/>
        <w:sz w:val="16"/>
        <w:szCs w:val="16"/>
      </w:rPr>
      <w:t xml:space="preserve">  |  app.snykgov.io  |  DSG Adversarial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9244c37117cd6115448490f480bdadbfc683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2026-04-16T16:20:29.740Z</dcterms:created>
  <dcterms:modified xsi:type="dcterms:W3CDTF">2026-04-16T16:20:29.741Z</dcterms:modified>
</cp:coreProperties>
</file>

<file path=docProps/custom.xml><?xml version="1.0" encoding="utf-8"?>
<Properties xmlns="http://schemas.openxmlformats.org/officeDocument/2006/custom-properties" xmlns:vt="http://schemas.openxmlformats.org/officeDocument/2006/docPropsVTypes"/>
</file>