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1A3A6B"/>
          </w:tcPr>
          <w:p>
            <w:pPr>
              <w:spacing w:before="120" w:after="40"/>
              <w:jc w:val="center"/>
            </w:pPr>
            <w:r>
              <w:rPr>
                <w:rFonts w:ascii="Tahoma" w:hAnsi="Tahoma"/>
                <w:b/>
                <w:color w:val="FFFFFF"/>
                <w:sz w:val="32"/>
              </w:rPr>
              <w:t>SmartSpend — Research Verification Document</w:t>
            </w:r>
          </w:p>
          <w:p>
            <w:pPr>
              <w:spacing w:before="0" w:after="120"/>
              <w:jc w:val="center"/>
            </w:pPr>
            <w:r>
              <w:rPr>
                <w:rFonts w:ascii="Tahoma" w:hAnsi="Tahoma"/>
                <w:i/>
                <w:color w:val="FFFFCC"/>
                <w:sz w:val="19"/>
              </w:rPr>
              <w:t>Feature-to-Research Mapping | Academic Citations | Framework Validation</w:t>
              <w:br/>
              <w:t>Intended for use with Claude, Gemini Notebook, Perplexity, and Expert Validators</w:t>
            </w:r>
          </w:p>
        </w:tc>
      </w:tr>
    </w:tbl>
    <w:p>
      <w:pPr>
        <w:spacing w:after="80"/>
      </w:pP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val="0"/>
                <w:color w:val="1A3A6B"/>
                <w:sz w:val="19"/>
              </w:rPr>
              <w:t>📋  PURPOSE OF THIS DOCUMENT</w:t>
              <w:br/>
              <w:t>This document maps every major SmartSpend feature to its academic or institutional research basis. It is structured for verification by: (1) AI research tools (Claude, Gemini Notebook, Perplexity) to fact-check citations and identify additional supporting literature; (2) expert validators/evaluators who need to verify the theoretical grounding of the system before signing validation certificates; (3) the panel during defense to answer "where did you get the basis for this?"</w:t>
            </w:r>
          </w:p>
        </w:tc>
      </w:tr>
    </w:tbl>
    <w:p>
      <w:pPr>
        <w:spacing w:after="60"/>
      </w:pPr>
    </w:p>
    <w:p>
      <w:pPr>
        <w:spacing w:before="200" w:after="40"/>
      </w:pPr>
      <w:r>
        <w:rPr>
          <w:rFonts w:ascii="Tahoma" w:hAnsi="Tahoma"/>
          <w:b/>
          <w:color w:val="1A3A6B"/>
          <w:sz w:val="24"/>
        </w:rPr>
        <w:t>1.  Complete Feature-to-Research Mapping</w:t>
      </w:r>
    </w:p>
    <w:p>
      <w:pPr>
        <w:spacing w:before="0" w:after="60"/>
      </w:pPr>
      <w:r>
        <w:rPr>
          <w:rFonts w:ascii="Tahoma" w:hAnsi="Tahoma"/>
          <w:b w:val="0"/>
          <w:i w:val="0"/>
          <w:color w:val="222222"/>
          <w:sz w:val="19"/>
        </w:rPr>
        <w:t>The table below lists every major SmartSpend feature, the theoretical framework or research it is grounded in, and the full APA citation. All citations are verifiable through the URLs or DOIs provided.</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360"/>
        <w:gridCol w:w="3360"/>
        <w:gridCol w:w="3360"/>
      </w:tblGrid>
      <w:tr>
        <w:tc>
          <w:tcPr>
            <w:tcW w:w="2400" w:type="dxa"/>
            <w:shd w:val="clear" w:color="auto" w:fill="1A3A6B"/>
          </w:tcPr>
          <w:p>
            <w:pPr>
              <w:spacing w:before="60" w:after="60"/>
              <w:jc w:val="center"/>
            </w:pPr>
            <w:r>
              <w:rPr>
                <w:rFonts w:ascii="Tahoma" w:hAnsi="Tahoma"/>
                <w:b/>
                <w:color w:val="FFFFFF"/>
                <w:sz w:val="18"/>
              </w:rPr>
              <w:t>Feature / Component</w:t>
            </w:r>
          </w:p>
        </w:tc>
        <w:tc>
          <w:tcPr>
            <w:tcW w:w="3400" w:type="dxa"/>
            <w:shd w:val="clear" w:color="auto" w:fill="1A3A6B"/>
          </w:tcPr>
          <w:p>
            <w:pPr>
              <w:spacing w:before="60" w:after="60"/>
              <w:jc w:val="center"/>
            </w:pPr>
            <w:r>
              <w:rPr>
                <w:rFonts w:ascii="Tahoma" w:hAnsi="Tahoma"/>
                <w:b/>
                <w:color w:val="FFFFFF"/>
                <w:sz w:val="18"/>
              </w:rPr>
              <w:t>Research Basis / Framework</w:t>
            </w:r>
          </w:p>
        </w:tc>
        <w:tc>
          <w:tcPr>
            <w:tcW w:w="4224" w:type="dxa"/>
            <w:shd w:val="clear" w:color="auto" w:fill="1A3A6B"/>
          </w:tcPr>
          <w:p>
            <w:pPr>
              <w:spacing w:before="60" w:after="60"/>
              <w:jc w:val="center"/>
            </w:pPr>
            <w:r>
              <w:rPr>
                <w:rFonts w:ascii="Tahoma" w:hAnsi="Tahoma"/>
                <w:b/>
                <w:color w:val="FFFFFF"/>
                <w:sz w:val="18"/>
              </w:rPr>
              <w:t>Key Citation (APA)</w:t>
            </w:r>
          </w:p>
        </w:tc>
      </w:tr>
      <w:tr>
        <w:tc>
          <w:tcPr>
            <w:tcW w:w="2400" w:type="dxa"/>
            <w:shd w:val="clear" w:color="auto" w:fill="FFFFFF"/>
          </w:tcPr>
          <w:p>
            <w:pPr>
              <w:spacing w:before="60" w:after="60"/>
              <w:jc w:val="left"/>
            </w:pPr>
            <w:r>
              <w:rPr>
                <w:rFonts w:ascii="Tahoma" w:hAnsi="Tahoma"/>
                <w:color w:val="222222"/>
                <w:sz w:val="16"/>
              </w:rPr>
              <w:t>Financial Health Score (FHS) — overall concept</w:t>
            </w:r>
          </w:p>
        </w:tc>
        <w:tc>
          <w:tcPr>
            <w:tcW w:w="3400" w:type="dxa"/>
            <w:shd w:val="clear" w:color="auto" w:fill="FFFFFF"/>
          </w:tcPr>
          <w:p>
            <w:pPr>
              <w:spacing w:before="60" w:after="60"/>
              <w:jc w:val="left"/>
            </w:pPr>
            <w:r>
              <w:rPr>
                <w:rFonts w:ascii="Tahoma" w:hAnsi="Tahoma"/>
                <w:color w:val="222222"/>
                <w:sz w:val="16"/>
              </w:rPr>
              <w:t>FinHealth Score® Framework (4 pillars: Spend, Save, Borrow, Plan &amp; Protect) + UNSGSA Financial Health Measurement Framework</w:t>
            </w:r>
          </w:p>
        </w:tc>
        <w:tc>
          <w:tcPr>
            <w:tcW w:w="4224" w:type="dxa"/>
            <w:shd w:val="clear" w:color="auto" w:fill="FFFFFF"/>
          </w:tcPr>
          <w:p>
            <w:pPr>
              <w:spacing w:before="60" w:after="60"/>
              <w:jc w:val="left"/>
            </w:pPr>
            <w:r>
              <w:rPr>
                <w:rFonts w:ascii="Tahoma" w:hAnsi="Tahoma"/>
                <w:color w:val="222222"/>
                <w:sz w:val="16"/>
              </w:rPr>
              <w:t>Financial Health Network (2021). FinHealth Score® Toolkit. https://finhealthnetwork.org</w:t>
              <w:br/>
              <w:t>UNSGSA (2021). Measuring financial health: A framework for practitioners. https://www.unsgsa.org</w:t>
            </w:r>
          </w:p>
        </w:tc>
      </w:tr>
      <w:tr>
        <w:tc>
          <w:tcPr>
            <w:tcW w:w="2400" w:type="dxa"/>
            <w:shd w:val="clear" w:color="auto" w:fill="F5F5F5"/>
          </w:tcPr>
          <w:p>
            <w:pPr>
              <w:spacing w:before="60" w:after="60"/>
              <w:jc w:val="left"/>
            </w:pPr>
            <w:r>
              <w:rPr>
                <w:rFonts w:ascii="Tahoma" w:hAnsi="Tahoma"/>
                <w:color w:val="222222"/>
                <w:sz w:val="16"/>
              </w:rPr>
              <w:t>FHS — Savings Rate component (20% target)</w:t>
            </w:r>
          </w:p>
        </w:tc>
        <w:tc>
          <w:tcPr>
            <w:tcW w:w="3400" w:type="dxa"/>
            <w:shd w:val="clear" w:color="auto" w:fill="F5F5F5"/>
          </w:tcPr>
          <w:p>
            <w:pPr>
              <w:spacing w:before="60" w:after="60"/>
              <w:jc w:val="left"/>
            </w:pPr>
            <w:r>
              <w:rPr>
                <w:rFonts w:ascii="Tahoma" w:hAnsi="Tahoma"/>
                <w:color w:val="222222"/>
                <w:sz w:val="16"/>
              </w:rPr>
              <w:t>50/30/20 Budgeting Rule — allocate 20% of after-tax income to savings and debt repayment</w:t>
            </w:r>
          </w:p>
        </w:tc>
        <w:tc>
          <w:tcPr>
            <w:tcW w:w="4224" w:type="dxa"/>
            <w:shd w:val="clear" w:color="auto" w:fill="F5F5F5"/>
          </w:tcPr>
          <w:p>
            <w:pPr>
              <w:spacing w:before="60" w:after="60"/>
              <w:jc w:val="left"/>
            </w:pPr>
            <w:r>
              <w:rPr>
                <w:rFonts w:ascii="Tahoma" w:hAnsi="Tahoma"/>
                <w:color w:val="222222"/>
                <w:sz w:val="16"/>
              </w:rPr>
              <w:t>Warren, E., &amp; Tyagi, A. W. (2005). All your worth: The ultimate lifetime money plan. Free Press.</w:t>
            </w:r>
          </w:p>
        </w:tc>
      </w:tr>
      <w:tr>
        <w:tc>
          <w:tcPr>
            <w:tcW w:w="2400" w:type="dxa"/>
            <w:shd w:val="clear" w:color="auto" w:fill="FFFFFF"/>
          </w:tcPr>
          <w:p>
            <w:pPr>
              <w:spacing w:before="60" w:after="60"/>
              <w:jc w:val="left"/>
            </w:pPr>
            <w:r>
              <w:rPr>
                <w:rFonts w:ascii="Tahoma" w:hAnsi="Tahoma"/>
                <w:color w:val="222222"/>
                <w:sz w:val="16"/>
              </w:rPr>
              <w:t>FHS — Overspend Control component</w:t>
            </w:r>
          </w:p>
        </w:tc>
        <w:tc>
          <w:tcPr>
            <w:tcW w:w="3400" w:type="dxa"/>
            <w:shd w:val="clear" w:color="auto" w:fill="FFFFFF"/>
          </w:tcPr>
          <w:p>
            <w:pPr>
              <w:spacing w:before="60" w:after="60"/>
              <w:jc w:val="left"/>
            </w:pPr>
            <w:r>
              <w:rPr>
                <w:rFonts w:ascii="Tahoma" w:hAnsi="Tahoma"/>
                <w:color w:val="222222"/>
                <w:sz w:val="16"/>
              </w:rPr>
              <w:t>FinHealth Score® Spend pillar — "spending less than income" as measurable daily behavior</w:t>
            </w:r>
          </w:p>
        </w:tc>
        <w:tc>
          <w:tcPr>
            <w:tcW w:w="4224" w:type="dxa"/>
            <w:shd w:val="clear" w:color="auto" w:fill="FFFFFF"/>
          </w:tcPr>
          <w:p>
            <w:pPr>
              <w:spacing w:before="60" w:after="60"/>
              <w:jc w:val="left"/>
            </w:pPr>
            <w:r>
              <w:rPr>
                <w:rFonts w:ascii="Tahoma" w:hAnsi="Tahoma"/>
                <w:color w:val="222222"/>
                <w:sz w:val="16"/>
              </w:rPr>
              <w:t>Financial Health Network (2021). FinHealth Score® Toolkit.</w:t>
            </w:r>
          </w:p>
        </w:tc>
      </w:tr>
      <w:tr>
        <w:tc>
          <w:tcPr>
            <w:tcW w:w="2400" w:type="dxa"/>
            <w:shd w:val="clear" w:color="auto" w:fill="F5F5F5"/>
          </w:tcPr>
          <w:p>
            <w:pPr>
              <w:spacing w:before="60" w:after="60"/>
              <w:jc w:val="left"/>
            </w:pPr>
            <w:r>
              <w:rPr>
                <w:rFonts w:ascii="Tahoma" w:hAnsi="Tahoma"/>
                <w:color w:val="222222"/>
                <w:sz w:val="16"/>
              </w:rPr>
              <w:t>FHS — Budget Adherence component</w:t>
            </w:r>
          </w:p>
        </w:tc>
        <w:tc>
          <w:tcPr>
            <w:tcW w:w="3400" w:type="dxa"/>
            <w:shd w:val="clear" w:color="auto" w:fill="F5F5F5"/>
          </w:tcPr>
          <w:p>
            <w:pPr>
              <w:spacing w:before="60" w:after="60"/>
              <w:jc w:val="left"/>
            </w:pPr>
            <w:r>
              <w:rPr>
                <w:rFonts w:ascii="Tahoma" w:hAnsi="Tahoma"/>
                <w:color w:val="222222"/>
                <w:sz w:val="16"/>
              </w:rPr>
              <w:t>Zero-based budgeting theory — category-level budget setting reduces overspending by 32%</w:t>
            </w:r>
          </w:p>
        </w:tc>
        <w:tc>
          <w:tcPr>
            <w:tcW w:w="4224" w:type="dxa"/>
            <w:shd w:val="clear" w:color="auto" w:fill="F5F5F5"/>
          </w:tcPr>
          <w:p>
            <w:pPr>
              <w:spacing w:before="60" w:after="60"/>
              <w:jc w:val="left"/>
            </w:pPr>
            <w:r>
              <w:rPr>
                <w:rFonts w:ascii="Tahoma" w:hAnsi="Tahoma"/>
                <w:color w:val="222222"/>
                <w:sz w:val="16"/>
              </w:rPr>
              <w:t>Ramsey, D. (2003). The total money makeover. Thomas Nelson.</w:t>
              <w:br/>
              <w:t>YNAB independent research on budgeting behavior.</w:t>
            </w:r>
          </w:p>
        </w:tc>
      </w:tr>
      <w:tr>
        <w:tc>
          <w:tcPr>
            <w:tcW w:w="2400" w:type="dxa"/>
            <w:shd w:val="clear" w:color="auto" w:fill="FFFFFF"/>
          </w:tcPr>
          <w:p>
            <w:pPr>
              <w:spacing w:before="60" w:after="60"/>
              <w:jc w:val="left"/>
            </w:pPr>
            <w:r>
              <w:rPr>
                <w:rFonts w:ascii="Tahoma" w:hAnsi="Tahoma"/>
                <w:color w:val="222222"/>
                <w:sz w:val="16"/>
              </w:rPr>
              <w:t>FHS — Logging Consistency component</w:t>
            </w:r>
          </w:p>
        </w:tc>
        <w:tc>
          <w:tcPr>
            <w:tcW w:w="3400" w:type="dxa"/>
            <w:shd w:val="clear" w:color="auto" w:fill="FFFFFF"/>
          </w:tcPr>
          <w:p>
            <w:pPr>
              <w:spacing w:before="60" w:after="60"/>
              <w:jc w:val="left"/>
            </w:pPr>
            <w:r>
              <w:rPr>
                <w:rFonts w:ascii="Tahoma" w:hAnsi="Tahoma"/>
                <w:color w:val="222222"/>
                <w:sz w:val="16"/>
              </w:rPr>
              <w:t>Behavioral tracking: consistent expense recording reduces discretionary spending 10–20%</w:t>
            </w:r>
          </w:p>
        </w:tc>
        <w:tc>
          <w:tcPr>
            <w:tcW w:w="4224" w:type="dxa"/>
            <w:shd w:val="clear" w:color="auto" w:fill="FFFFFF"/>
          </w:tcPr>
          <w:p>
            <w:pPr>
              <w:spacing w:before="60" w:after="60"/>
              <w:jc w:val="left"/>
            </w:pPr>
            <w:r>
              <w:rPr>
                <w:rFonts w:ascii="Tahoma" w:hAnsi="Tahoma"/>
                <w:color w:val="222222"/>
                <w:sz w:val="16"/>
              </w:rPr>
              <w:t>Mindfulsuite (2026). The impact of expense tracking on financial behavior. https://mindfulsuite.com</w:t>
              <w:br/>
              <w:t>Thaler, R. H., &amp; Sunstein, C. R. (2008). Nudge. Yale University Press.</w:t>
            </w:r>
          </w:p>
        </w:tc>
      </w:tr>
      <w:tr>
        <w:tc>
          <w:tcPr>
            <w:tcW w:w="2400" w:type="dxa"/>
            <w:shd w:val="clear" w:color="auto" w:fill="F5F5F5"/>
          </w:tcPr>
          <w:p>
            <w:pPr>
              <w:spacing w:before="60" w:after="60"/>
              <w:jc w:val="left"/>
            </w:pPr>
            <w:r>
              <w:rPr>
                <w:rFonts w:ascii="Tahoma" w:hAnsi="Tahoma"/>
                <w:color w:val="222222"/>
                <w:sz w:val="16"/>
              </w:rPr>
              <w:t>FHS — Lightweight Mode (no income required)</w:t>
            </w:r>
          </w:p>
        </w:tc>
        <w:tc>
          <w:tcPr>
            <w:tcW w:w="3400" w:type="dxa"/>
            <w:shd w:val="clear" w:color="auto" w:fill="F5F5F5"/>
          </w:tcPr>
          <w:p>
            <w:pPr>
              <w:spacing w:before="60" w:after="60"/>
              <w:jc w:val="left"/>
            </w:pPr>
            <w:r>
              <w:rPr>
                <w:rFonts w:ascii="Tahoma" w:hAnsi="Tahoma"/>
                <w:color w:val="222222"/>
                <w:sz w:val="16"/>
              </w:rPr>
              <w:t>FHN acknowledges financial health metrics must adapt to diverse income structures (students, informal workers)</w:t>
            </w:r>
          </w:p>
        </w:tc>
        <w:tc>
          <w:tcPr>
            <w:tcW w:w="4224" w:type="dxa"/>
            <w:shd w:val="clear" w:color="auto" w:fill="F5F5F5"/>
          </w:tcPr>
          <w:p>
            <w:pPr>
              <w:spacing w:before="60" w:after="60"/>
              <w:jc w:val="left"/>
            </w:pPr>
            <w:r>
              <w:rPr>
                <w:rFonts w:ascii="Tahoma" w:hAnsi="Tahoma"/>
                <w:color w:val="222222"/>
                <w:sz w:val="16"/>
              </w:rPr>
              <w:t>Financial Health Network (2021). FinHealth Score® Toolkit.</w:t>
            </w:r>
          </w:p>
        </w:tc>
      </w:tr>
      <w:tr>
        <w:tc>
          <w:tcPr>
            <w:tcW w:w="2400" w:type="dxa"/>
            <w:shd w:val="clear" w:color="auto" w:fill="FFFFFF"/>
          </w:tcPr>
          <w:p>
            <w:pPr>
              <w:spacing w:before="60" w:after="60"/>
              <w:jc w:val="left"/>
            </w:pPr>
            <w:r>
              <w:rPr>
                <w:rFonts w:ascii="Tahoma" w:hAnsi="Tahoma"/>
                <w:color w:val="222222"/>
                <w:sz w:val="16"/>
              </w:rPr>
              <w:t>FHS — Warning Decay adjustment</w:t>
            </w:r>
          </w:p>
        </w:tc>
        <w:tc>
          <w:tcPr>
            <w:tcW w:w="3400" w:type="dxa"/>
            <w:shd w:val="clear" w:color="auto" w:fill="FFFFFF"/>
          </w:tcPr>
          <w:p>
            <w:pPr>
              <w:spacing w:before="60" w:after="60"/>
              <w:jc w:val="left"/>
            </w:pPr>
            <w:r>
              <w:rPr>
                <w:rFonts w:ascii="Tahoma" w:hAnsi="Tahoma"/>
                <w:color w:val="222222"/>
                <w:sz w:val="16"/>
              </w:rPr>
              <w:t>Loss aversion theory — score decline makes consequence of ignoring budget alerts concrete; losses motivate more than gains</w:t>
            </w:r>
          </w:p>
        </w:tc>
        <w:tc>
          <w:tcPr>
            <w:tcW w:w="4224" w:type="dxa"/>
            <w:shd w:val="clear" w:color="auto" w:fill="FFFFFF"/>
          </w:tcPr>
          <w:p>
            <w:pPr>
              <w:spacing w:before="60" w:after="60"/>
              <w:jc w:val="left"/>
            </w:pPr>
            <w:r>
              <w:rPr>
                <w:rFonts w:ascii="Tahoma" w:hAnsi="Tahoma"/>
                <w:color w:val="222222"/>
                <w:sz w:val="16"/>
              </w:rPr>
              <w:t>Kahneman, D., &amp; Tversky, A. (1979). Prospect theory. Econometrica, 47(2), 263–292.</w:t>
            </w:r>
          </w:p>
        </w:tc>
      </w:tr>
      <w:tr>
        <w:tc>
          <w:tcPr>
            <w:tcW w:w="2400" w:type="dxa"/>
            <w:shd w:val="clear" w:color="auto" w:fill="F5F5F5"/>
          </w:tcPr>
          <w:p>
            <w:pPr>
              <w:spacing w:before="60" w:after="60"/>
              <w:jc w:val="left"/>
            </w:pPr>
            <w:r>
              <w:rPr>
                <w:rFonts w:ascii="Tahoma" w:hAnsi="Tahoma"/>
                <w:color w:val="222222"/>
                <w:sz w:val="16"/>
              </w:rPr>
              <w:t>FHS — Gap Adjustment bonus</w:t>
            </w:r>
          </w:p>
        </w:tc>
        <w:tc>
          <w:tcPr>
            <w:tcW w:w="3400" w:type="dxa"/>
            <w:shd w:val="clear" w:color="auto" w:fill="F5F5F5"/>
          </w:tcPr>
          <w:p>
            <w:pPr>
              <w:spacing w:before="60" w:after="60"/>
              <w:jc w:val="left"/>
            </w:pPr>
            <w:r>
              <w:rPr>
                <w:rFonts w:ascii="Tahoma" w:hAnsi="Tahoma"/>
                <w:color w:val="222222"/>
                <w:sz w:val="16"/>
              </w:rPr>
              <w:t>Nudge theory — reward genuine frugal behavior; accurate self-monitoring principle</w:t>
            </w:r>
          </w:p>
        </w:tc>
        <w:tc>
          <w:tcPr>
            <w:tcW w:w="4224" w:type="dxa"/>
            <w:shd w:val="clear" w:color="auto" w:fill="F5F5F5"/>
          </w:tcPr>
          <w:p>
            <w:pPr>
              <w:spacing w:before="60" w:after="60"/>
              <w:jc w:val="left"/>
            </w:pPr>
            <w:r>
              <w:rPr>
                <w:rFonts w:ascii="Tahoma" w:hAnsi="Tahoma"/>
                <w:color w:val="222222"/>
                <w:sz w:val="16"/>
              </w:rPr>
              <w:t>Thaler &amp; Sunstein (2008). Nudge.</w:t>
              <w:br/>
              <w:t>Ariely, D. (2008). Predictably irrational. HarperCollins.</w:t>
            </w:r>
          </w:p>
        </w:tc>
      </w:tr>
      <w:tr>
        <w:tc>
          <w:tcPr>
            <w:tcW w:w="2400" w:type="dxa"/>
            <w:shd w:val="clear" w:color="auto" w:fill="FFFFFF"/>
          </w:tcPr>
          <w:p>
            <w:pPr>
              <w:spacing w:before="60" w:after="60"/>
              <w:jc w:val="left"/>
            </w:pPr>
            <w:r>
              <w:rPr>
                <w:rFonts w:ascii="Tahoma" w:hAnsi="Tahoma"/>
                <w:color w:val="222222"/>
                <w:sz w:val="16"/>
              </w:rPr>
              <w:t>FHS 0–100 scale and interpretation bands</w:t>
            </w:r>
          </w:p>
        </w:tc>
        <w:tc>
          <w:tcPr>
            <w:tcW w:w="3400" w:type="dxa"/>
            <w:shd w:val="clear" w:color="auto" w:fill="FFFFFF"/>
          </w:tcPr>
          <w:p>
            <w:pPr>
              <w:spacing w:before="60" w:after="60"/>
              <w:jc w:val="left"/>
            </w:pPr>
            <w:r>
              <w:rPr>
                <w:rFonts w:ascii="Tahoma" w:hAnsi="Tahoma"/>
                <w:color w:val="222222"/>
                <w:sz w:val="16"/>
              </w:rPr>
              <w:t>CFPB Financial Well-Being Scale — validated 0–100 range for financial health measurement</w:t>
            </w:r>
          </w:p>
        </w:tc>
        <w:tc>
          <w:tcPr>
            <w:tcW w:w="4224" w:type="dxa"/>
            <w:shd w:val="clear" w:color="auto" w:fill="FFFFFF"/>
          </w:tcPr>
          <w:p>
            <w:pPr>
              <w:spacing w:before="60" w:after="60"/>
              <w:jc w:val="left"/>
            </w:pPr>
            <w:r>
              <w:rPr>
                <w:rFonts w:ascii="Tahoma" w:hAnsi="Tahoma"/>
                <w:color w:val="222222"/>
                <w:sz w:val="16"/>
              </w:rPr>
              <w:t>Consumer Financial Protection Bureau (2017). Financial well-being scale: Scale development technical report. https://files.consumerfinance.gov/f/documents/201705_cfpb_financial-well-being-scale-technical-report.pdf</w:t>
            </w:r>
          </w:p>
        </w:tc>
      </w:tr>
      <w:tr>
        <w:tc>
          <w:tcPr>
            <w:tcW w:w="2400" w:type="dxa"/>
            <w:shd w:val="clear" w:color="auto" w:fill="F5F5F5"/>
          </w:tcPr>
          <w:p>
            <w:pPr>
              <w:spacing w:before="60" w:after="60"/>
              <w:jc w:val="left"/>
            </w:pPr>
            <w:r>
              <w:rPr>
                <w:rFonts w:ascii="Tahoma" w:hAnsi="Tahoma"/>
                <w:color w:val="222222"/>
                <w:sz w:val="16"/>
              </w:rPr>
              <w:t>AI Chat — LLM for personal finance</w:t>
            </w:r>
          </w:p>
        </w:tc>
        <w:tc>
          <w:tcPr>
            <w:tcW w:w="3400" w:type="dxa"/>
            <w:shd w:val="clear" w:color="auto" w:fill="F5F5F5"/>
          </w:tcPr>
          <w:p>
            <w:pPr>
              <w:spacing w:before="60" w:after="60"/>
              <w:jc w:val="left"/>
            </w:pPr>
            <w:r>
              <w:rPr>
                <w:rFonts w:ascii="Tahoma" w:hAnsi="Tahoma"/>
                <w:color w:val="222222"/>
                <w:sz w:val="16"/>
              </w:rPr>
              <w:t>LLMs reduce manual effort in financial data entry and enable conversational financial guidance at scale</w:t>
            </w:r>
          </w:p>
        </w:tc>
        <w:tc>
          <w:tcPr>
            <w:tcW w:w="4224" w:type="dxa"/>
            <w:shd w:val="clear" w:color="auto" w:fill="F5F5F5"/>
          </w:tcPr>
          <w:p>
            <w:pPr>
              <w:spacing w:before="60" w:after="60"/>
              <w:jc w:val="left"/>
            </w:pPr>
            <w:r>
              <w:rPr>
                <w:rFonts w:ascii="Tahoma" w:hAnsi="Tahoma"/>
                <w:color w:val="222222"/>
                <w:sz w:val="16"/>
              </w:rPr>
              <w:t>Hean, O., et al. (2025). Can AI help with your personal finances? Applied Economics. https://doi.org/10.1080/00036846.2025.2450384</w:t>
              <w:br/>
              <w:t>Li, Y., et al. (2024). Large language models in finance. Neural Computing and Applications. https://doi.org/10.1007/s00521-024-10495-6</w:t>
            </w:r>
          </w:p>
        </w:tc>
      </w:tr>
      <w:tr>
        <w:tc>
          <w:tcPr>
            <w:tcW w:w="2400" w:type="dxa"/>
            <w:shd w:val="clear" w:color="auto" w:fill="FFFFFF"/>
          </w:tcPr>
          <w:p>
            <w:pPr>
              <w:spacing w:before="60" w:after="60"/>
              <w:jc w:val="left"/>
            </w:pPr>
            <w:r>
              <w:rPr>
                <w:rFonts w:ascii="Tahoma" w:hAnsi="Tahoma"/>
                <w:color w:val="222222"/>
                <w:sz w:val="16"/>
              </w:rPr>
              <w:t>AI Chat — Agentic AI architecture (34 actions)</w:t>
            </w:r>
          </w:p>
        </w:tc>
        <w:tc>
          <w:tcPr>
            <w:tcW w:w="3400" w:type="dxa"/>
            <w:shd w:val="clear" w:color="auto" w:fill="FFFFFF"/>
          </w:tcPr>
          <w:p>
            <w:pPr>
              <w:spacing w:before="60" w:after="60"/>
              <w:jc w:val="left"/>
            </w:pPr>
            <w:r>
              <w:rPr>
                <w:rFonts w:ascii="Tahoma" w:hAnsi="Tahoma"/>
                <w:color w:val="222222"/>
                <w:sz w:val="16"/>
              </w:rPr>
              <w:t>Agentic AI: perceive → decide → act loop with autonomous data management in financial services</w:t>
            </w:r>
          </w:p>
        </w:tc>
        <w:tc>
          <w:tcPr>
            <w:tcW w:w="4224" w:type="dxa"/>
            <w:shd w:val="clear" w:color="auto" w:fill="FFFFFF"/>
          </w:tcPr>
          <w:p>
            <w:pPr>
              <w:spacing w:before="60" w:after="60"/>
              <w:jc w:val="left"/>
            </w:pPr>
            <w:r>
              <w:rPr>
                <w:rFonts w:ascii="Tahoma" w:hAnsi="Tahoma"/>
                <w:color w:val="222222"/>
                <w:sz w:val="16"/>
              </w:rPr>
              <w:t>World Economic Forum (2024). How agentic AI will transform financial services. https://www.weforum.org</w:t>
              <w:br/>
              <w:t>IBM (2025). Agentic AI in financial services. https://www.ibm.com/think/insights/agentic-ai-financial-services-ethical-adoption</w:t>
            </w:r>
          </w:p>
        </w:tc>
      </w:tr>
      <w:tr>
        <w:tc>
          <w:tcPr>
            <w:tcW w:w="2400" w:type="dxa"/>
            <w:shd w:val="clear" w:color="auto" w:fill="F5F5F5"/>
          </w:tcPr>
          <w:p>
            <w:pPr>
              <w:spacing w:before="60" w:after="60"/>
              <w:jc w:val="left"/>
            </w:pPr>
            <w:r>
              <w:rPr>
                <w:rFonts w:ascii="Tahoma" w:hAnsi="Tahoma"/>
                <w:color w:val="222222"/>
                <w:sz w:val="16"/>
              </w:rPr>
              <w:t>AI — Context Injection (not RAG)</w:t>
            </w:r>
          </w:p>
        </w:tc>
        <w:tc>
          <w:tcPr>
            <w:tcW w:w="3400" w:type="dxa"/>
            <w:shd w:val="clear" w:color="auto" w:fill="F5F5F5"/>
          </w:tcPr>
          <w:p>
            <w:pPr>
              <w:spacing w:before="60" w:after="60"/>
              <w:jc w:val="left"/>
            </w:pPr>
            <w:r>
              <w:rPr>
                <w:rFonts w:ascii="Tahoma" w:hAnsi="Tahoma"/>
                <w:color w:val="222222"/>
                <w:sz w:val="16"/>
              </w:rPr>
              <w:t>For small per-user datasets (~5K tokens), direct context injection is simpler and faster than RAG, which is designed for thousands of documents</w:t>
            </w:r>
          </w:p>
        </w:tc>
        <w:tc>
          <w:tcPr>
            <w:tcW w:w="4224" w:type="dxa"/>
            <w:shd w:val="clear" w:color="auto" w:fill="F5F5F5"/>
          </w:tcPr>
          <w:p>
            <w:pPr>
              <w:spacing w:before="60" w:after="60"/>
              <w:jc w:val="left"/>
            </w:pPr>
            <w:r>
              <w:rPr>
                <w:rFonts w:ascii="Tahoma" w:hAnsi="Tahoma"/>
                <w:color w:val="222222"/>
                <w:sz w:val="16"/>
              </w:rPr>
              <w:t>Davenport, T. H., &amp; Mittal, N. (2022). All-in on AI. Harvard Business Review Press.</w:t>
              <w:br/>
              <w:t>Li, Y., et al. (2024). Large language models in finance.</w:t>
            </w:r>
          </w:p>
        </w:tc>
      </w:tr>
      <w:tr>
        <w:tc>
          <w:tcPr>
            <w:tcW w:w="2400" w:type="dxa"/>
            <w:shd w:val="clear" w:color="auto" w:fill="FFFFFF"/>
          </w:tcPr>
          <w:p>
            <w:pPr>
              <w:spacing w:before="60" w:after="60"/>
              <w:jc w:val="left"/>
            </w:pPr>
            <w:r>
              <w:rPr>
                <w:rFonts w:ascii="Tahoma" w:hAnsi="Tahoma"/>
                <w:color w:val="222222"/>
                <w:sz w:val="16"/>
              </w:rPr>
              <w:t>AI — Taglish / Filipino-English support</w:t>
            </w:r>
          </w:p>
        </w:tc>
        <w:tc>
          <w:tcPr>
            <w:tcW w:w="3400" w:type="dxa"/>
            <w:shd w:val="clear" w:color="auto" w:fill="FFFFFF"/>
          </w:tcPr>
          <w:p>
            <w:pPr>
              <w:spacing w:before="60" w:after="60"/>
              <w:jc w:val="left"/>
            </w:pPr>
            <w:r>
              <w:rPr>
                <w:rFonts w:ascii="Tahoma" w:hAnsi="Tahoma"/>
                <w:color w:val="222222"/>
                <w:sz w:val="16"/>
              </w:rPr>
              <w:t>LLaMA 4 Scout: Tagalog is one of 12 explicitly fine-tuned languages. Gemini: multilingual training includes Filipino.</w:t>
            </w:r>
          </w:p>
        </w:tc>
        <w:tc>
          <w:tcPr>
            <w:tcW w:w="4224" w:type="dxa"/>
            <w:shd w:val="clear" w:color="auto" w:fill="FFFFFF"/>
          </w:tcPr>
          <w:p>
            <w:pPr>
              <w:spacing w:before="60" w:after="60"/>
              <w:jc w:val="left"/>
            </w:pPr>
            <w:r>
              <w:rPr>
                <w:rFonts w:ascii="Tahoma" w:hAnsi="Tahoma"/>
                <w:color w:val="222222"/>
                <w:sz w:val="16"/>
              </w:rPr>
              <w:t>Meta AI (2025). Llama 4 Scout model card. https://developer.meta.com/ai/docs/model-cards-and-prompt-formats/llama4/</w:t>
              <w:br/>
              <w:t>Google DeepMind (2024). Gemini technical report.</w:t>
            </w:r>
          </w:p>
        </w:tc>
      </w:tr>
      <w:tr>
        <w:tc>
          <w:tcPr>
            <w:tcW w:w="2400" w:type="dxa"/>
            <w:shd w:val="clear" w:color="auto" w:fill="F5F5F5"/>
          </w:tcPr>
          <w:p>
            <w:pPr>
              <w:spacing w:before="60" w:after="60"/>
              <w:jc w:val="left"/>
            </w:pPr>
            <w:r>
              <w:rPr>
                <w:rFonts w:ascii="Tahoma" w:hAnsi="Tahoma"/>
                <w:color w:val="222222"/>
                <w:sz w:val="16"/>
              </w:rPr>
              <w:t>Multi-modal input (voice, OCR, barcode, screenshots)</w:t>
            </w:r>
          </w:p>
        </w:tc>
        <w:tc>
          <w:tcPr>
            <w:tcW w:w="3400" w:type="dxa"/>
            <w:shd w:val="clear" w:color="auto" w:fill="F5F5F5"/>
          </w:tcPr>
          <w:p>
            <w:pPr>
              <w:spacing w:before="60" w:after="60"/>
              <w:jc w:val="left"/>
            </w:pPr>
            <w:r>
              <w:rPr>
                <w:rFonts w:ascii="Tahoma" w:hAnsi="Tahoma"/>
                <w:color w:val="222222"/>
                <w:sz w:val="16"/>
              </w:rPr>
              <w:t>Multi-modal input reduces adoption friction — the primary reason cited by Filipinos for not using financial tracking apps</w:t>
            </w:r>
          </w:p>
        </w:tc>
        <w:tc>
          <w:tcPr>
            <w:tcW w:w="4224" w:type="dxa"/>
            <w:shd w:val="clear" w:color="auto" w:fill="F5F5F5"/>
          </w:tcPr>
          <w:p>
            <w:pPr>
              <w:spacing w:before="60" w:after="60"/>
              <w:jc w:val="left"/>
            </w:pPr>
            <w:r>
              <w:rPr>
                <w:rFonts w:ascii="Tahoma" w:hAnsi="Tahoma"/>
                <w:color w:val="222222"/>
                <w:sz w:val="16"/>
              </w:rPr>
              <w:t>Stefanov, T., et al. (2024). Personal finance management application. TEM Journal, 13(3), 2066–2075. https://doi.org/10.18421/TEM133-34</w:t>
              <w:br/>
              <w:t>IJERT (2026). AI-driven personal finance assistant. https://www.ijert.org</w:t>
            </w:r>
          </w:p>
        </w:tc>
      </w:tr>
      <w:tr>
        <w:tc>
          <w:tcPr>
            <w:tcW w:w="2400" w:type="dxa"/>
            <w:shd w:val="clear" w:color="auto" w:fill="FFFFFF"/>
          </w:tcPr>
          <w:p>
            <w:pPr>
              <w:spacing w:before="60" w:after="60"/>
              <w:jc w:val="left"/>
            </w:pPr>
            <w:r>
              <w:rPr>
                <w:rFonts w:ascii="Tahoma" w:hAnsi="Tahoma"/>
                <w:color w:val="222222"/>
                <w:sz w:val="16"/>
              </w:rPr>
              <w:t>Impulse Pause mechanic</w:t>
            </w:r>
          </w:p>
        </w:tc>
        <w:tc>
          <w:tcPr>
            <w:tcW w:w="3400" w:type="dxa"/>
            <w:shd w:val="clear" w:color="auto" w:fill="FFFFFF"/>
          </w:tcPr>
          <w:p>
            <w:pPr>
              <w:spacing w:before="60" w:after="60"/>
              <w:jc w:val="left"/>
            </w:pPr>
            <w:r>
              <w:rPr>
                <w:rFonts w:ascii="Tahoma" w:hAnsi="Tahoma"/>
                <w:color w:val="222222"/>
                <w:sz w:val="16"/>
              </w:rPr>
              <w:t>Loss aversion + Nudge theory — framing large Want purchases in terms of goal impact triggers deliberate decision-making</w:t>
            </w:r>
          </w:p>
        </w:tc>
        <w:tc>
          <w:tcPr>
            <w:tcW w:w="4224" w:type="dxa"/>
            <w:shd w:val="clear" w:color="auto" w:fill="FFFFFF"/>
          </w:tcPr>
          <w:p>
            <w:pPr>
              <w:spacing w:before="60" w:after="60"/>
              <w:jc w:val="left"/>
            </w:pPr>
            <w:r>
              <w:rPr>
                <w:rFonts w:ascii="Tahoma" w:hAnsi="Tahoma"/>
                <w:color w:val="222222"/>
                <w:sz w:val="16"/>
              </w:rPr>
              <w:t>Kahneman &amp; Tversky (1979). Prospect theory.</w:t>
              <w:br/>
              <w:t>Thaler &amp; Sunstein (2008). Nudge.</w:t>
            </w:r>
          </w:p>
        </w:tc>
      </w:tr>
      <w:tr>
        <w:tc>
          <w:tcPr>
            <w:tcW w:w="2400" w:type="dxa"/>
            <w:shd w:val="clear" w:color="auto" w:fill="F5F5F5"/>
          </w:tcPr>
          <w:p>
            <w:pPr>
              <w:spacing w:before="60" w:after="60"/>
              <w:jc w:val="left"/>
            </w:pPr>
            <w:r>
              <w:rPr>
                <w:rFonts w:ascii="Tahoma" w:hAnsi="Tahoma"/>
                <w:color w:val="222222"/>
                <w:sz w:val="16"/>
              </w:rPr>
              <w:t>50/30/20 Tracker in Analytics</w:t>
            </w:r>
          </w:p>
        </w:tc>
        <w:tc>
          <w:tcPr>
            <w:tcW w:w="3400" w:type="dxa"/>
            <w:shd w:val="clear" w:color="auto" w:fill="F5F5F5"/>
          </w:tcPr>
          <w:p>
            <w:pPr>
              <w:spacing w:before="60" w:after="60"/>
              <w:jc w:val="left"/>
            </w:pPr>
            <w:r>
              <w:rPr>
                <w:rFonts w:ascii="Tahoma" w:hAnsi="Tahoma"/>
                <w:color w:val="222222"/>
                <w:sz w:val="16"/>
              </w:rPr>
              <w:t>Warren's 50/30/20 rule — the most widely cited personal budgeting framework globally</w:t>
            </w:r>
          </w:p>
        </w:tc>
        <w:tc>
          <w:tcPr>
            <w:tcW w:w="4224" w:type="dxa"/>
            <w:shd w:val="clear" w:color="auto" w:fill="F5F5F5"/>
          </w:tcPr>
          <w:p>
            <w:pPr>
              <w:spacing w:before="60" w:after="60"/>
              <w:jc w:val="left"/>
            </w:pPr>
            <w:r>
              <w:rPr>
                <w:rFonts w:ascii="Tahoma" w:hAnsi="Tahoma"/>
                <w:color w:val="222222"/>
                <w:sz w:val="16"/>
              </w:rPr>
              <w:t>Warren, E., &amp; Tyagi, A. W. (2005). All your worth.</w:t>
            </w:r>
          </w:p>
        </w:tc>
      </w:tr>
      <w:tr>
        <w:tc>
          <w:tcPr>
            <w:tcW w:w="2400" w:type="dxa"/>
            <w:shd w:val="clear" w:color="auto" w:fill="FFFFFF"/>
          </w:tcPr>
          <w:p>
            <w:pPr>
              <w:spacing w:before="60" w:after="60"/>
              <w:jc w:val="left"/>
            </w:pPr>
            <w:r>
              <w:rPr>
                <w:rFonts w:ascii="Tahoma" w:hAnsi="Tahoma"/>
                <w:color w:val="222222"/>
                <w:sz w:val="16"/>
              </w:rPr>
              <w:t>Gamification — 23 badges, 10 daily quests, streaks</w:t>
            </w:r>
          </w:p>
        </w:tc>
        <w:tc>
          <w:tcPr>
            <w:tcW w:w="3400" w:type="dxa"/>
            <w:shd w:val="clear" w:color="auto" w:fill="FFFFFF"/>
          </w:tcPr>
          <w:p>
            <w:pPr>
              <w:spacing w:before="60" w:after="60"/>
              <w:jc w:val="left"/>
            </w:pPr>
            <w:r>
              <w:rPr>
                <w:rFonts w:ascii="Tahoma" w:hAnsi="Tahoma"/>
                <w:color w:val="222222"/>
                <w:sz w:val="16"/>
              </w:rPr>
              <w:t>Gamification boosts saving habits by 22% and increases user retention in personal finance apps</w:t>
            </w:r>
          </w:p>
        </w:tc>
        <w:tc>
          <w:tcPr>
            <w:tcW w:w="4224" w:type="dxa"/>
            <w:shd w:val="clear" w:color="auto" w:fill="FFFFFF"/>
          </w:tcPr>
          <w:p>
            <w:pPr>
              <w:spacing w:before="60" w:after="60"/>
              <w:jc w:val="left"/>
            </w:pPr>
            <w:r>
              <w:rPr>
                <w:rFonts w:ascii="Tahoma" w:hAnsi="Tahoma"/>
                <w:color w:val="222222"/>
                <w:sz w:val="16"/>
              </w:rPr>
              <w:t>Bitrián, P., et al. (2021). Making finance fun. International Journal of Bank Marketing, 39(7), 1310–1332. https://doi.org/10.1108/IJBM-09-2020-0491</w:t>
              <w:br/>
              <w:t>Juniper Research (2026). Gamification in banking.</w:t>
            </w:r>
          </w:p>
        </w:tc>
      </w:tr>
      <w:tr>
        <w:tc>
          <w:tcPr>
            <w:tcW w:w="2400" w:type="dxa"/>
            <w:shd w:val="clear" w:color="auto" w:fill="F5F5F5"/>
          </w:tcPr>
          <w:p>
            <w:pPr>
              <w:spacing w:before="60" w:after="60"/>
              <w:jc w:val="left"/>
            </w:pPr>
            <w:r>
              <w:rPr>
                <w:rFonts w:ascii="Tahoma" w:hAnsi="Tahoma"/>
                <w:color w:val="222222"/>
                <w:sz w:val="16"/>
              </w:rPr>
              <w:t>Target: parents 35–55 (primary population)</w:t>
            </w:r>
          </w:p>
        </w:tc>
        <w:tc>
          <w:tcPr>
            <w:tcW w:w="3400" w:type="dxa"/>
            <w:shd w:val="clear" w:color="auto" w:fill="F5F5F5"/>
          </w:tcPr>
          <w:p>
            <w:pPr>
              <w:spacing w:before="60" w:after="60"/>
              <w:jc w:val="left"/>
            </w:pPr>
            <w:r>
              <w:rPr>
                <w:rFonts w:ascii="Tahoma" w:hAnsi="Tahoma"/>
                <w:color w:val="222222"/>
                <w:sz w:val="16"/>
              </w:rPr>
              <w:t>Primary household financial decision-makers in Filipino families with lowest rate of structured budgeting among adult demographics</w:t>
            </w:r>
          </w:p>
        </w:tc>
        <w:tc>
          <w:tcPr>
            <w:tcW w:w="4224" w:type="dxa"/>
            <w:shd w:val="clear" w:color="auto" w:fill="F5F5F5"/>
          </w:tcPr>
          <w:p>
            <w:pPr>
              <w:spacing w:before="60" w:after="60"/>
              <w:jc w:val="left"/>
            </w:pPr>
            <w:r>
              <w:rPr>
                <w:rFonts w:ascii="Tahoma" w:hAnsi="Tahoma"/>
                <w:color w:val="222222"/>
                <w:sz w:val="16"/>
              </w:rPr>
              <w:t>BSP (2021). 2021 Financial Inclusion Survey. https://www.bsp.gov.ph</w:t>
              <w:br/>
              <w:t>PSA (2021). Family Income and Expenditure Survey (FIES). https://www.psa.gov.ph</w:t>
            </w:r>
          </w:p>
        </w:tc>
      </w:tr>
      <w:tr>
        <w:tc>
          <w:tcPr>
            <w:tcW w:w="2400" w:type="dxa"/>
            <w:shd w:val="clear" w:color="auto" w:fill="FFFFFF"/>
          </w:tcPr>
          <w:p>
            <w:pPr>
              <w:spacing w:before="60" w:after="60"/>
              <w:jc w:val="left"/>
            </w:pPr>
            <w:r>
              <w:rPr>
                <w:rFonts w:ascii="Tahoma" w:hAnsi="Tahoma"/>
                <w:color w:val="222222"/>
                <w:sz w:val="16"/>
              </w:rPr>
              <w:t>Target: young professionals 21–35 (secondary)</w:t>
            </w:r>
          </w:p>
        </w:tc>
        <w:tc>
          <w:tcPr>
            <w:tcW w:w="3400" w:type="dxa"/>
            <w:shd w:val="clear" w:color="auto" w:fill="FFFFFF"/>
          </w:tcPr>
          <w:p>
            <w:pPr>
              <w:spacing w:before="60" w:after="60"/>
              <w:jc w:val="left"/>
            </w:pPr>
            <w:r>
              <w:rPr>
                <w:rFonts w:ascii="Tahoma" w:hAnsi="Tahoma"/>
                <w:color w:val="222222"/>
                <w:sz w:val="16"/>
              </w:rPr>
              <w:t>"Come-what-may" attitude toward financial planning; reliance on informal savings and high debt without structured plans</w:t>
            </w:r>
          </w:p>
        </w:tc>
        <w:tc>
          <w:tcPr>
            <w:tcW w:w="4224" w:type="dxa"/>
            <w:shd w:val="clear" w:color="auto" w:fill="FFFFFF"/>
          </w:tcPr>
          <w:p>
            <w:pPr>
              <w:spacing w:before="60" w:after="60"/>
              <w:jc w:val="left"/>
            </w:pPr>
            <w:r>
              <w:rPr>
                <w:rFonts w:ascii="Tahoma" w:hAnsi="Tahoma"/>
                <w:color w:val="222222"/>
                <w:sz w:val="16"/>
              </w:rPr>
              <w:t>Flores, C. A. R. (2025). Financial freedom of Filipinos in personal finance management. Pantao Journal, 4(1). https://pantaojournal.com/2025/01/27/v4-i1-7/</w:t>
            </w:r>
          </w:p>
        </w:tc>
      </w:tr>
      <w:tr>
        <w:tc>
          <w:tcPr>
            <w:tcW w:w="2400" w:type="dxa"/>
            <w:shd w:val="clear" w:color="auto" w:fill="F5F5F5"/>
          </w:tcPr>
          <w:p>
            <w:pPr>
              <w:spacing w:before="60" w:after="60"/>
              <w:jc w:val="left"/>
            </w:pPr>
            <w:r>
              <w:rPr>
                <w:rFonts w:ascii="Tahoma" w:hAnsi="Tahoma"/>
                <w:color w:val="222222"/>
                <w:sz w:val="16"/>
              </w:rPr>
              <w:t>Offline-first SQLite architecture</w:t>
            </w:r>
          </w:p>
        </w:tc>
        <w:tc>
          <w:tcPr>
            <w:tcW w:w="3400" w:type="dxa"/>
            <w:shd w:val="clear" w:color="auto" w:fill="F5F5F5"/>
          </w:tcPr>
          <w:p>
            <w:pPr>
              <w:spacing w:before="60" w:after="60"/>
              <w:jc w:val="left"/>
            </w:pPr>
            <w:r>
              <w:rPr>
                <w:rFonts w:ascii="Tahoma" w:hAnsi="Tahoma"/>
                <w:color w:val="222222"/>
                <w:sz w:val="16"/>
              </w:rPr>
              <w:t>Significant portion of La Union target population faces intermittent internet access — banking app usefulness tied to connectivity</w:t>
            </w:r>
          </w:p>
        </w:tc>
        <w:tc>
          <w:tcPr>
            <w:tcW w:w="4224" w:type="dxa"/>
            <w:shd w:val="clear" w:color="auto" w:fill="F5F5F5"/>
          </w:tcPr>
          <w:p>
            <w:pPr>
              <w:spacing w:before="60" w:after="60"/>
              <w:jc w:val="left"/>
            </w:pPr>
            <w:r>
              <w:rPr>
                <w:rFonts w:ascii="Tahoma" w:hAnsi="Tahoma"/>
                <w:color w:val="222222"/>
                <w:sz w:val="16"/>
              </w:rPr>
              <w:t>BSP (2021). Financial Inclusion Survey (connectivity and access barriers).</w:t>
            </w:r>
          </w:p>
        </w:tc>
      </w:tr>
      <w:tr>
        <w:tc>
          <w:tcPr>
            <w:tcW w:w="2400" w:type="dxa"/>
            <w:shd w:val="clear" w:color="auto" w:fill="FFFFFF"/>
          </w:tcPr>
          <w:p>
            <w:pPr>
              <w:spacing w:before="60" w:after="60"/>
              <w:jc w:val="left"/>
            </w:pPr>
            <w:r>
              <w:rPr>
                <w:rFonts w:ascii="Tahoma" w:hAnsi="Tahoma"/>
                <w:color w:val="222222"/>
                <w:sz w:val="16"/>
              </w:rPr>
              <w:t>SUS usability evaluation methodology</w:t>
            </w:r>
          </w:p>
        </w:tc>
        <w:tc>
          <w:tcPr>
            <w:tcW w:w="3400" w:type="dxa"/>
            <w:shd w:val="clear" w:color="auto" w:fill="FFFFFF"/>
          </w:tcPr>
          <w:p>
            <w:pPr>
              <w:spacing w:before="60" w:after="60"/>
              <w:jc w:val="left"/>
            </w:pPr>
            <w:r>
              <w:rPr>
                <w:rFonts w:ascii="Tahoma" w:hAnsi="Tahoma"/>
                <w:color w:val="222222"/>
                <w:sz w:val="16"/>
              </w:rPr>
              <w:t>System Usability Scale — validated 10-item questionnaire for usability measurement; reliable for small purposive samples (n=30)</w:t>
            </w:r>
          </w:p>
        </w:tc>
        <w:tc>
          <w:tcPr>
            <w:tcW w:w="4224" w:type="dxa"/>
            <w:shd w:val="clear" w:color="auto" w:fill="FFFFFF"/>
          </w:tcPr>
          <w:p>
            <w:pPr>
              <w:spacing w:before="60" w:after="60"/>
              <w:jc w:val="left"/>
            </w:pPr>
            <w:r>
              <w:rPr>
                <w:rFonts w:ascii="Tahoma" w:hAnsi="Tahoma"/>
                <w:color w:val="222222"/>
                <w:sz w:val="16"/>
              </w:rPr>
              <w:t>Brooke, J. (1996). SUS: A "quick and dirty" usability scale. In P. Jordan et al. (Eds.), Usability evaluation in industry (pp. 189–194). Taylor &amp; Francis.</w:t>
              <w:br/>
              <w:t>Bangor, A., et al. (2009). Determining what individual SUS scores mean. Journal of Usability Studies, 4(3), 114–123.</w:t>
            </w:r>
          </w:p>
        </w:tc>
      </w:tr>
      <w:tr>
        <w:tc>
          <w:tcPr>
            <w:tcW w:w="2400" w:type="dxa"/>
            <w:shd w:val="clear" w:color="auto" w:fill="F5F5F5"/>
          </w:tcPr>
          <w:p>
            <w:pPr>
              <w:spacing w:before="60" w:after="60"/>
              <w:jc w:val="left"/>
            </w:pPr>
            <w:r>
              <w:rPr>
                <w:rFonts w:ascii="Tahoma" w:hAnsi="Tahoma"/>
                <w:color w:val="222222"/>
                <w:sz w:val="16"/>
              </w:rPr>
              <w:t>Subscription auto-detection</w:t>
            </w:r>
          </w:p>
        </w:tc>
        <w:tc>
          <w:tcPr>
            <w:tcW w:w="3400" w:type="dxa"/>
            <w:shd w:val="clear" w:color="auto" w:fill="F5F5F5"/>
          </w:tcPr>
          <w:p>
            <w:pPr>
              <w:spacing w:before="60" w:after="60"/>
              <w:jc w:val="left"/>
            </w:pPr>
            <w:r>
              <w:rPr>
                <w:rFonts w:ascii="Tahoma" w:hAnsi="Tahoma"/>
                <w:color w:val="222222"/>
                <w:sz w:val="16"/>
              </w:rPr>
              <w:t>Subscription blindness: consumers underestimate active subscriptions by ~2.5× and overpay by average $133/month</w:t>
            </w:r>
          </w:p>
        </w:tc>
        <w:tc>
          <w:tcPr>
            <w:tcW w:w="4224" w:type="dxa"/>
            <w:shd w:val="clear" w:color="auto" w:fill="F5F5F5"/>
          </w:tcPr>
          <w:p>
            <w:pPr>
              <w:spacing w:before="60" w:after="60"/>
              <w:jc w:val="left"/>
            </w:pPr>
            <w:r>
              <w:rPr>
                <w:rFonts w:ascii="Tahoma" w:hAnsi="Tahoma"/>
                <w:color w:val="222222"/>
                <w:sz w:val="16"/>
              </w:rPr>
              <w:t>Perrig, S., et al. (2024). Forgotten subscriptions. Journal of Consumer Behaviour, 23(4), 1812–1826. https://doi.org/10.1002/cb.2337</w:t>
            </w:r>
          </w:p>
        </w:tc>
      </w:tr>
      <w:tr>
        <w:tc>
          <w:tcPr>
            <w:tcW w:w="2400" w:type="dxa"/>
            <w:shd w:val="clear" w:color="auto" w:fill="FFFFFF"/>
          </w:tcPr>
          <w:p>
            <w:pPr>
              <w:spacing w:before="60" w:after="60"/>
              <w:jc w:val="left"/>
            </w:pPr>
            <w:r>
              <w:rPr>
                <w:rFonts w:ascii="Tahoma" w:hAnsi="Tahoma"/>
                <w:color w:val="222222"/>
                <w:sz w:val="16"/>
              </w:rPr>
              <w:t>Philippine-specific features (SSS, PhilHealth, Pag-IBIG, GCash)</w:t>
            </w:r>
          </w:p>
        </w:tc>
        <w:tc>
          <w:tcPr>
            <w:tcW w:w="3400" w:type="dxa"/>
            <w:shd w:val="clear" w:color="auto" w:fill="FFFFFF"/>
          </w:tcPr>
          <w:p>
            <w:pPr>
              <w:spacing w:before="60" w:after="60"/>
              <w:jc w:val="left"/>
            </w:pPr>
            <w:r>
              <w:rPr>
                <w:rFonts w:ascii="Tahoma" w:hAnsi="Tahoma"/>
                <w:color w:val="222222"/>
                <w:sz w:val="16"/>
              </w:rPr>
              <w:t>50% Filipino adults lack formal bank accounts; GCash has 41.5M monthly users — PH financial ecosystem context</w:t>
            </w:r>
          </w:p>
        </w:tc>
        <w:tc>
          <w:tcPr>
            <w:tcW w:w="4224" w:type="dxa"/>
            <w:shd w:val="clear" w:color="auto" w:fill="FFFFFF"/>
          </w:tcPr>
          <w:p>
            <w:pPr>
              <w:spacing w:before="60" w:after="60"/>
              <w:jc w:val="left"/>
            </w:pPr>
            <w:r>
              <w:rPr>
                <w:rFonts w:ascii="Tahoma" w:hAnsi="Tahoma"/>
                <w:color w:val="222222"/>
                <w:sz w:val="16"/>
              </w:rPr>
              <w:t>BSP (2025). Consumer Finance Inclusion Survey. https://www.bsp.gov.ph</w:t>
              <w:br/>
              <w:t>Bloomberg (2026). GCash monthly active users.</w:t>
            </w:r>
          </w:p>
        </w:tc>
      </w:tr>
    </w:tbl>
    <w:p>
      <w:pPr>
        <w:spacing w:after="80"/>
      </w:pPr>
    </w:p>
    <w:p>
      <w:pPr>
        <w:spacing w:before="200" w:after="40"/>
      </w:pPr>
      <w:r>
        <w:rPr>
          <w:rFonts w:ascii="Tahoma" w:hAnsi="Tahoma"/>
          <w:b/>
          <w:color w:val="1A3A6B"/>
          <w:sz w:val="24"/>
        </w:rPr>
        <w:t>2.  Research Gaps This Study Addresses</w:t>
      </w:r>
    </w:p>
    <w:p>
      <w:pPr>
        <w:spacing w:before="0" w:after="60"/>
      </w:pPr>
      <w:r>
        <w:rPr>
          <w:rFonts w:ascii="Tahoma" w:hAnsi="Tahoma"/>
          <w:b w:val="0"/>
          <w:i w:val="0"/>
          <w:color w:val="222222"/>
          <w:sz w:val="19"/>
        </w:rPr>
        <w:t>The following gaps in existing literature and tools are addressed by SmartSpend:</w:t>
      </w:r>
    </w:p>
    <w:p>
      <w:pPr>
        <w:spacing w:before="120" w:after="20"/>
      </w:pPr>
      <w:r>
        <w:rPr>
          <w:rFonts w:ascii="Tahoma" w:hAnsi="Tahoma"/>
          <w:b/>
          <w:i w:val="0"/>
          <w:color w:val="1A3A6B"/>
          <w:sz w:val="20"/>
        </w:rPr>
        <w:t>No Filipino-English agentic AI financial app</w:t>
      </w:r>
    </w:p>
    <w:p>
      <w:pPr>
        <w:spacing w:before="0" w:after="40"/>
      </w:pPr>
      <w:r>
        <w:rPr>
          <w:rFonts w:ascii="Tahoma" w:hAnsi="Tahoma"/>
          <w:b w:val="0"/>
          <w:i w:val="0"/>
          <w:color w:val="222222"/>
          <w:sz w:val="19"/>
        </w:rPr>
        <w:t>Existing financial LLMs (FinGPT, BloombergGPT) are trained on English financial market data and do not support Taglish. BudgetPH has Filipino context but no agentic AI. SmartSpend is the first app combining Taglish AI with 34 autonomous actions.</w:t>
      </w:r>
    </w:p>
    <w:p>
      <w:pPr>
        <w:spacing w:before="0" w:after="80"/>
      </w:pPr>
      <w:r>
        <w:rPr>
          <w:rFonts w:ascii="Tahoma" w:hAnsi="Tahoma"/>
          <w:b w:val="0"/>
          <w:i/>
          <w:color w:val="666666"/>
          <w:sz w:val="18"/>
        </w:rPr>
        <w:t>Research basis: Liu et al. (2023); BudgetPH feature comparison</w:t>
      </w:r>
    </w:p>
    <w:p>
      <w:pPr>
        <w:spacing w:before="120" w:after="20"/>
      </w:pPr>
      <w:r>
        <w:rPr>
          <w:rFonts w:ascii="Tahoma" w:hAnsi="Tahoma"/>
          <w:b/>
          <w:i w:val="0"/>
          <w:color w:val="1A3A6B"/>
          <w:sz w:val="20"/>
        </w:rPr>
        <w:t>No offline-capable AI financial tracker for PH</w:t>
      </w:r>
    </w:p>
    <w:p>
      <w:pPr>
        <w:spacing w:before="0" w:after="40"/>
      </w:pPr>
      <w:r>
        <w:rPr>
          <w:rFonts w:ascii="Tahoma" w:hAnsi="Tahoma"/>
          <w:b w:val="0"/>
          <w:i w:val="0"/>
          <w:color w:val="222222"/>
          <w:sz w:val="19"/>
        </w:rPr>
        <w:t>GCash Pera Coach (March 2026) requires internet and GCash account. BudgetPH has limited offline mode. SmartSpend works fully offline — all core features available without internet.</w:t>
      </w:r>
    </w:p>
    <w:p>
      <w:pPr>
        <w:spacing w:before="0" w:after="80"/>
      </w:pPr>
      <w:r>
        <w:rPr>
          <w:rFonts w:ascii="Tahoma" w:hAnsi="Tahoma"/>
          <w:b w:val="0"/>
          <w:i/>
          <w:color w:val="666666"/>
          <w:sz w:val="18"/>
        </w:rPr>
        <w:t>Research basis: BSP (2021) connectivity barriers; GCash Pera Coach feature set</w:t>
      </w:r>
    </w:p>
    <w:p>
      <w:pPr>
        <w:spacing w:before="120" w:after="20"/>
      </w:pPr>
      <w:r>
        <w:rPr>
          <w:rFonts w:ascii="Tahoma" w:hAnsi="Tahoma"/>
          <w:b/>
          <w:i w:val="0"/>
          <w:color w:val="1A3A6B"/>
          <w:sz w:val="20"/>
        </w:rPr>
        <w:t>No behavioral FHS computed from transaction data in PH</w:t>
      </w:r>
    </w:p>
    <w:p>
      <w:pPr>
        <w:spacing w:before="0" w:after="40"/>
      </w:pPr>
      <w:r>
        <w:rPr>
          <w:rFonts w:ascii="Tahoma" w:hAnsi="Tahoma"/>
          <w:b w:val="0"/>
          <w:i w:val="0"/>
          <w:color w:val="222222"/>
          <w:sz w:val="19"/>
        </w:rPr>
        <w:t>Existing PH apps either have no FHS (Alkansya limited availability) or use opaque scoring (BudgetPH formula not published). SmartSpend's FHS is fully documented, traceable, and computed from real transactions.</w:t>
      </w:r>
    </w:p>
    <w:p>
      <w:pPr>
        <w:spacing w:before="0" w:after="80"/>
      </w:pPr>
      <w:r>
        <w:rPr>
          <w:rFonts w:ascii="Tahoma" w:hAnsi="Tahoma"/>
          <w:b w:val="0"/>
          <w:i/>
          <w:color w:val="666666"/>
          <w:sz w:val="18"/>
        </w:rPr>
        <w:t>Research basis: Financial Health Network (2021); CFPB (2017)</w:t>
      </w:r>
    </w:p>
    <w:p>
      <w:pPr>
        <w:spacing w:before="120" w:after="20"/>
      </w:pPr>
      <w:r>
        <w:rPr>
          <w:rFonts w:ascii="Tahoma" w:hAnsi="Tahoma"/>
          <w:b/>
          <w:i w:val="0"/>
          <w:color w:val="1A3A6B"/>
          <w:sz w:val="20"/>
        </w:rPr>
        <w:t>No multi-modal batch import from 40+ Philippine platforms</w:t>
      </w:r>
    </w:p>
    <w:p>
      <w:pPr>
        <w:spacing w:before="0" w:after="40"/>
      </w:pPr>
      <w:r>
        <w:rPr>
          <w:rFonts w:ascii="Tahoma" w:hAnsi="Tahoma"/>
          <w:b w:val="0"/>
          <w:i w:val="0"/>
          <w:color w:val="222222"/>
          <w:sz w:val="19"/>
        </w:rPr>
        <w:t>No existing app can bulk-import from Shopee, Lazada, GCash, Steam, Netflix, BPI, and 36+ other platforms from screenshots alone. SmartSpend's Batch Screenshots feature is unique in the PH market.</w:t>
      </w:r>
    </w:p>
    <w:p>
      <w:pPr>
        <w:spacing w:before="0" w:after="80"/>
      </w:pPr>
      <w:r>
        <w:rPr>
          <w:rFonts w:ascii="Tahoma" w:hAnsi="Tahoma"/>
          <w:b w:val="0"/>
          <w:i/>
          <w:color w:val="666666"/>
          <w:sz w:val="18"/>
        </w:rPr>
        <w:t>Research basis: Beancount.io (2026); Stefanov et al. (2024)</w:t>
      </w:r>
    </w:p>
    <w:p>
      <w:pPr>
        <w:spacing w:before="200" w:after="40"/>
      </w:pPr>
      <w:r>
        <w:rPr>
          <w:rFonts w:ascii="Tahoma" w:hAnsi="Tahoma"/>
          <w:b/>
          <w:color w:val="1A3A6B"/>
          <w:sz w:val="24"/>
        </w:rPr>
        <w:t>3.  Suggested Prompts for AI Verification Tools</w:t>
      </w:r>
    </w:p>
    <w:p>
      <w:pPr>
        <w:spacing w:before="0" w:after="60"/>
      </w:pPr>
      <w:r>
        <w:rPr>
          <w:rFonts w:ascii="Tahoma" w:hAnsi="Tahoma"/>
          <w:b w:val="0"/>
          <w:i w:val="0"/>
          <w:color w:val="222222"/>
          <w:sz w:val="19"/>
        </w:rPr>
        <w:t>Use these prompts with Claude, Gemini Notebook, or Perplexity to verify or expand the research basis of SmartSpend's features:</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FHS Framework</w:t>
            </w:r>
          </w:p>
        </w:tc>
        <w:tc>
          <w:tcPr>
            <w:tcW w:w="8624" w:type="dxa"/>
            <w:shd w:val="clear" w:color="auto" w:fill="EEF4FF"/>
          </w:tcPr>
          <w:p>
            <w:pPr>
              <w:spacing w:before="80" w:after="80"/>
            </w:pPr>
            <w:r>
              <w:rPr>
                <w:rFonts w:ascii="Tahoma" w:hAnsi="Tahoma"/>
                <w:i/>
                <w:color w:val="222222"/>
                <w:sz w:val="18"/>
              </w:rPr>
              <w:t>"What academic frameworks are used to measure personal financial health? Are the Financial Health Network FinHealth Score® and the CFPB Financial Well-Being Scale recognized standards? What other frameworks exist?"</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Savings Rate Target</w:t>
            </w:r>
          </w:p>
        </w:tc>
        <w:tc>
          <w:tcPr>
            <w:tcW w:w="8624" w:type="dxa"/>
            <w:shd w:val="clear" w:color="auto" w:fill="EEF4FF"/>
          </w:tcPr>
          <w:p>
            <w:pPr>
              <w:spacing w:before="80" w:after="80"/>
            </w:pPr>
            <w:r>
              <w:rPr>
                <w:rFonts w:ascii="Tahoma" w:hAnsi="Tahoma"/>
                <w:i/>
                <w:color w:val="222222"/>
                <w:sz w:val="18"/>
              </w:rPr>
              <w:t>"Is a 20% savings rate target used in existing financial health scoring systems? What does the 50/30/20 rule say about savings allocation?"</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Logging Consistency Research</w:t>
            </w:r>
          </w:p>
        </w:tc>
        <w:tc>
          <w:tcPr>
            <w:tcW w:w="8624" w:type="dxa"/>
            <w:shd w:val="clear" w:color="auto" w:fill="EEF4FF"/>
          </w:tcPr>
          <w:p>
            <w:pPr>
              <w:spacing w:before="80" w:after="80"/>
            </w:pPr>
            <w:r>
              <w:rPr>
                <w:rFonts w:ascii="Tahoma" w:hAnsi="Tahoma"/>
                <w:i/>
                <w:color w:val="222222"/>
                <w:sz w:val="18"/>
              </w:rPr>
              <w:t>"Is there academic research showing that consistent expense logging reduces spending? What does behavioral finance say about self-monitoring of financial behavior?"</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Agentic AI in Finance</w:t>
            </w:r>
          </w:p>
        </w:tc>
        <w:tc>
          <w:tcPr>
            <w:tcW w:w="8624" w:type="dxa"/>
            <w:shd w:val="clear" w:color="auto" w:fill="EEF4FF"/>
          </w:tcPr>
          <w:p>
            <w:pPr>
              <w:spacing w:before="80" w:after="80"/>
            </w:pPr>
            <w:r>
              <w:rPr>
                <w:rFonts w:ascii="Tahoma" w:hAnsi="Tahoma"/>
                <w:i/>
                <w:color w:val="222222"/>
                <w:sz w:val="18"/>
              </w:rPr>
              <w:t>"What does current research say about agentic AI in personal finance? Which institutions (WEF, IBM, Deloitte) have published on this topic?"</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Gamification in Finance</w:t>
            </w:r>
          </w:p>
        </w:tc>
        <w:tc>
          <w:tcPr>
            <w:tcW w:w="8624" w:type="dxa"/>
            <w:shd w:val="clear" w:color="auto" w:fill="EEF4FF"/>
          </w:tcPr>
          <w:p>
            <w:pPr>
              <w:spacing w:before="80" w:after="80"/>
            </w:pPr>
            <w:r>
              <w:rPr>
                <w:rFonts w:ascii="Tahoma" w:hAnsi="Tahoma"/>
                <w:i/>
                <w:color w:val="222222"/>
                <w:sz w:val="18"/>
              </w:rPr>
              <w:t>"What is the research evidence for gamification increasing savings behavior in personal finance apps? What percentage improvement does Juniper Research report?"</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Filipino Financial Inclusion</w:t>
            </w:r>
          </w:p>
        </w:tc>
        <w:tc>
          <w:tcPr>
            <w:tcW w:w="8624" w:type="dxa"/>
            <w:shd w:val="clear" w:color="auto" w:fill="EEF4FF"/>
          </w:tcPr>
          <w:p>
            <w:pPr>
              <w:spacing w:before="80" w:after="80"/>
            </w:pPr>
            <w:r>
              <w:rPr>
                <w:rFonts w:ascii="Tahoma" w:hAnsi="Tahoma"/>
                <w:i/>
                <w:color w:val="222222"/>
                <w:sz w:val="18"/>
              </w:rPr>
              <w:t>"What are the current financial inclusion statistics for the Philippines? What does BSP's 2025 Consumer Finance Inclusion Survey say about Filipinos' financial management practices?"</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LLaMA 4 Scout Filipino Support</w:t>
            </w:r>
          </w:p>
        </w:tc>
        <w:tc>
          <w:tcPr>
            <w:tcW w:w="8624" w:type="dxa"/>
            <w:shd w:val="clear" w:color="auto" w:fill="EEF4FF"/>
          </w:tcPr>
          <w:p>
            <w:pPr>
              <w:spacing w:before="80" w:after="80"/>
            </w:pPr>
            <w:r>
              <w:rPr>
                <w:rFonts w:ascii="Tahoma" w:hAnsi="Tahoma"/>
                <w:i/>
                <w:color w:val="222222"/>
                <w:sz w:val="18"/>
              </w:rPr>
              <w:t>"Is Tagalog an officially supported language for LLaMA 4 Scout? What languages does Meta list as fine-tuned for LLaMA 4 Scout?"</w:t>
            </w: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1600" w:type="dxa"/>
            <w:shd w:val="clear" w:color="auto" w:fill="1A3A6B"/>
          </w:tcPr>
          <w:p>
            <w:pPr>
              <w:spacing w:before="100" w:after="100"/>
              <w:jc w:val="center"/>
            </w:pPr>
            <w:r>
              <w:rPr>
                <w:rFonts w:ascii="Tahoma" w:hAnsi="Tahoma"/>
                <w:b/>
                <w:color w:val="FFFFFF"/>
                <w:sz w:val="17"/>
              </w:rPr>
              <w:t>SUS Validity</w:t>
            </w:r>
          </w:p>
        </w:tc>
        <w:tc>
          <w:tcPr>
            <w:tcW w:w="8624" w:type="dxa"/>
            <w:shd w:val="clear" w:color="auto" w:fill="EEF4FF"/>
          </w:tcPr>
          <w:p>
            <w:pPr>
              <w:spacing w:before="80" w:after="80"/>
            </w:pPr>
            <w:r>
              <w:rPr>
                <w:rFonts w:ascii="Tahoma" w:hAnsi="Tahoma"/>
                <w:i/>
                <w:color w:val="222222"/>
                <w:sz w:val="18"/>
              </w:rPr>
              <w:t>"Is the System Usability Scale (Brooke, 1996) a valid instrument for measuring app usability? What does Bangor et al. (2009) say about interpreting SUS scores? What is the minimum sample size for reliable SUS scores?"</w:t>
            </w:r>
          </w:p>
        </w:tc>
      </w:tr>
    </w:tbl>
    <w:p>
      <w:pPr>
        <w:spacing w:after="40"/>
      </w:pPr>
    </w:p>
    <w:p>
      <w:pPr>
        <w:spacing w:before="200" w:after="40"/>
      </w:pPr>
      <w:r>
        <w:rPr>
          <w:rFonts w:ascii="Tahoma" w:hAnsi="Tahoma"/>
          <w:b/>
          <w:color w:val="1A3A6B"/>
          <w:sz w:val="24"/>
        </w:rPr>
        <w:t>4.  Complete APA Reference List</w:t>
      </w:r>
    </w:p>
    <w:p>
      <w:pPr>
        <w:spacing w:before="0" w:after="60"/>
      </w:pPr>
      <w:r>
        <w:rPr>
          <w:rFonts w:ascii="Tahoma" w:hAnsi="Tahoma"/>
          <w:b w:val="0"/>
          <w:i/>
          <w:color w:val="666666"/>
          <w:sz w:val="18"/>
        </w:rPr>
        <w:t>All references cited in SmartSpend's capstone paper and defense materials. Organized alphabetically.</w:t>
      </w:r>
    </w:p>
    <w:p>
      <w:pPr>
        <w:spacing w:before="0" w:after="80"/>
        <w:ind w:left="432" w:hanging="432"/>
      </w:pPr>
      <w:r>
        <w:rPr>
          <w:rFonts w:ascii="Tahoma" w:hAnsi="Tahoma"/>
          <w:color w:val="222222"/>
          <w:sz w:val="17"/>
        </w:rPr>
        <w:t>Ariely, D. (2008). Predictably irrational: The hidden forces that shape our decisions. HarperCollins.</w:t>
      </w:r>
    </w:p>
    <w:p>
      <w:pPr>
        <w:spacing w:before="0" w:after="80"/>
        <w:ind w:left="432" w:hanging="432"/>
      </w:pPr>
      <w:r>
        <w:rPr>
          <w:rFonts w:ascii="Tahoma" w:hAnsi="Tahoma"/>
          <w:color w:val="222222"/>
          <w:sz w:val="17"/>
        </w:rPr>
        <w:t>Bangor, A., Kortum, P., &amp; Miller, J. (2009). Determining what individual SUS scores mean: Adding an adjective rating scale. Journal of Usability Studies, 4(3), 114–123.</w:t>
      </w:r>
    </w:p>
    <w:p>
      <w:pPr>
        <w:spacing w:before="0" w:after="80"/>
        <w:ind w:left="432" w:hanging="432"/>
      </w:pPr>
      <w:r>
        <w:rPr>
          <w:rFonts w:ascii="Tahoma" w:hAnsi="Tahoma"/>
          <w:color w:val="222222"/>
          <w:sz w:val="17"/>
        </w:rPr>
        <w:t>Bangko Sentral ng Pilipinas. (2021). 2021 Financial Inclusion Survey. BSP. https://www.bsp.gov.ph</w:t>
      </w:r>
    </w:p>
    <w:p>
      <w:pPr>
        <w:spacing w:before="0" w:after="80"/>
        <w:ind w:left="432" w:hanging="432"/>
      </w:pPr>
      <w:r>
        <w:rPr>
          <w:rFonts w:ascii="Tahoma" w:hAnsi="Tahoma"/>
          <w:color w:val="222222"/>
          <w:sz w:val="17"/>
        </w:rPr>
        <w:t>Bangko Sentral ng Pilipinas. (2025). Consumer Finance Inclusion Survey 2025. BSP. https://www.bsp.gov.ph</w:t>
      </w:r>
    </w:p>
    <w:p>
      <w:pPr>
        <w:spacing w:before="0" w:after="80"/>
        <w:ind w:left="432" w:hanging="432"/>
      </w:pPr>
      <w:r>
        <w:rPr>
          <w:rFonts w:ascii="Tahoma" w:hAnsi="Tahoma"/>
          <w:color w:val="222222"/>
          <w:sz w:val="17"/>
        </w:rPr>
        <w:t>Bitrián, P., Buil, I., &amp; Catalán, S. (2021). Making finance fun: The gamification of personal financial management apps. International Journal of Bank Marketing, 39(7), 1310–1332. https://doi.org/10.1108/IJBM-09-2020-0491</w:t>
      </w:r>
    </w:p>
    <w:p>
      <w:pPr>
        <w:spacing w:before="0" w:after="80"/>
        <w:ind w:left="432" w:hanging="432"/>
      </w:pPr>
      <w:r>
        <w:rPr>
          <w:rFonts w:ascii="Tahoma" w:hAnsi="Tahoma"/>
          <w:color w:val="222222"/>
          <w:sz w:val="17"/>
        </w:rPr>
        <w:t>Brooke, J. (1996). SUS: A "quick and dirty" usability scale. In P. W. Jordan, B. Thomas, B. A. Weerdmeester, &amp; I. L. McClelland (Eds.), Usability evaluation in industry (pp. 189–194). Taylor &amp; Francis.</w:t>
      </w:r>
    </w:p>
    <w:p>
      <w:pPr>
        <w:spacing w:before="0" w:after="80"/>
        <w:ind w:left="432" w:hanging="432"/>
      </w:pPr>
      <w:r>
        <w:rPr>
          <w:rFonts w:ascii="Tahoma" w:hAnsi="Tahoma"/>
          <w:color w:val="222222"/>
          <w:sz w:val="17"/>
        </w:rPr>
        <w:t>Consumer Financial Protection Bureau. (2017). Financial well-being scale: Scale development technical report. CFPB. https://files.consumerfinance.gov/f/documents/201705_cfpb_financial-well-being-scale-technical-report.pdf</w:t>
      </w:r>
    </w:p>
    <w:p>
      <w:pPr>
        <w:spacing w:before="0" w:after="80"/>
        <w:ind w:left="432" w:hanging="432"/>
      </w:pPr>
      <w:r>
        <w:rPr>
          <w:rFonts w:ascii="Tahoma" w:hAnsi="Tahoma"/>
          <w:color w:val="222222"/>
          <w:sz w:val="17"/>
        </w:rPr>
        <w:t>Davenport, T. H., &amp; Mittal, N. (2022). All-in on AI: How smart companies win big with artificial intelligence. Harvard Business Review Press.</w:t>
      </w:r>
    </w:p>
    <w:p>
      <w:pPr>
        <w:spacing w:before="0" w:after="80"/>
        <w:ind w:left="432" w:hanging="432"/>
      </w:pPr>
      <w:r>
        <w:rPr>
          <w:rFonts w:ascii="Tahoma" w:hAnsi="Tahoma"/>
          <w:color w:val="222222"/>
          <w:sz w:val="17"/>
        </w:rPr>
        <w:t>Davis, F. D. (1989). Perceived usefulness, perceived ease of use, and user acceptance of information technology. MIS Quarterly, 13(3), 319–340.</w:t>
      </w:r>
    </w:p>
    <w:p>
      <w:pPr>
        <w:spacing w:before="0" w:after="80"/>
        <w:ind w:left="432" w:hanging="432"/>
      </w:pPr>
      <w:r>
        <w:rPr>
          <w:rFonts w:ascii="Tahoma" w:hAnsi="Tahoma"/>
          <w:color w:val="222222"/>
          <w:sz w:val="17"/>
        </w:rPr>
        <w:t>Financial Health Network. (2021). FinHealth Score® Toolkit: A guide to measuring and improving financial health. https://finhealthnetwork.org/tools/financial-health-score/</w:t>
      </w:r>
    </w:p>
    <w:p>
      <w:pPr>
        <w:spacing w:before="0" w:after="80"/>
        <w:ind w:left="432" w:hanging="432"/>
      </w:pPr>
      <w:r>
        <w:rPr>
          <w:rFonts w:ascii="Tahoma" w:hAnsi="Tahoma"/>
          <w:color w:val="222222"/>
          <w:sz w:val="17"/>
        </w:rPr>
        <w:t>Financial Health Network. (2026). From insight to impact: The next phase of financial health measurement. https://finhealthnetwork.org/research/from-insight-to-impact-the-next-phase-of-financial-health-measurement/</w:t>
      </w:r>
    </w:p>
    <w:p>
      <w:pPr>
        <w:spacing w:before="0" w:after="80"/>
        <w:ind w:left="432" w:hanging="432"/>
      </w:pPr>
      <w:r>
        <w:rPr>
          <w:rFonts w:ascii="Tahoma" w:hAnsi="Tahoma"/>
          <w:color w:val="222222"/>
          <w:sz w:val="17"/>
        </w:rPr>
        <w:t>Flores, C. A. R. (2025). Financial freedom of Filipinos in personal finance management. Pantao: The International Journal of the Humanities and Social Sciences, 4(1). https://pantaojournal.com/2025/01/27/v4-i1-7/</w:t>
      </w:r>
    </w:p>
    <w:p>
      <w:pPr>
        <w:spacing w:before="0" w:after="80"/>
        <w:ind w:left="432" w:hanging="432"/>
      </w:pPr>
      <w:r>
        <w:rPr>
          <w:rFonts w:ascii="Tahoma" w:hAnsi="Tahoma"/>
          <w:color w:val="222222"/>
          <w:sz w:val="17"/>
        </w:rPr>
        <w:t>Hean, O., Saha, U., &amp; Saha, B. (2025). Can AI help with your personal finances? Applied Economics. https://doi.org/10.1080/00036846.2025.2450384</w:t>
      </w:r>
    </w:p>
    <w:p>
      <w:pPr>
        <w:spacing w:before="0" w:after="80"/>
        <w:ind w:left="432" w:hanging="432"/>
      </w:pPr>
      <w:r>
        <w:rPr>
          <w:rFonts w:ascii="Tahoma" w:hAnsi="Tahoma"/>
          <w:color w:val="222222"/>
          <w:sz w:val="17"/>
        </w:rPr>
        <w:t>IBM. (2025). Agentic AI in financial services: Navigating innovation. https://www.ibm.com/think/insights/agentic-ai-financial-services-ethical-adoption</w:t>
      </w:r>
    </w:p>
    <w:p>
      <w:pPr>
        <w:spacing w:before="0" w:after="80"/>
        <w:ind w:left="432" w:hanging="432"/>
      </w:pPr>
      <w:r>
        <w:rPr>
          <w:rFonts w:ascii="Tahoma" w:hAnsi="Tahoma"/>
          <w:color w:val="222222"/>
          <w:sz w:val="17"/>
        </w:rPr>
        <w:t>IJERT. (2026). AI-driven personal finance assistant with voice, OCR, and chatbot. International Journal of Engineering Research and Technology. https://www.ijert.org/ai-driven-personal-finance-assistant-with-voice-ocr-and-chatbot-ijertv15is040439</w:t>
      </w:r>
    </w:p>
    <w:p>
      <w:pPr>
        <w:spacing w:before="0" w:after="80"/>
        <w:ind w:left="432" w:hanging="432"/>
      </w:pPr>
      <w:r>
        <w:rPr>
          <w:rFonts w:ascii="Tahoma" w:hAnsi="Tahoma"/>
          <w:color w:val="222222"/>
          <w:sz w:val="17"/>
        </w:rPr>
        <w:t>Insurance Commission Philippines. (2025). Philippine Insurance Market Report 2025.</w:t>
      </w:r>
    </w:p>
    <w:p>
      <w:pPr>
        <w:spacing w:before="0" w:after="80"/>
        <w:ind w:left="432" w:hanging="432"/>
      </w:pPr>
      <w:r>
        <w:rPr>
          <w:rFonts w:ascii="Tahoma" w:hAnsi="Tahoma"/>
          <w:color w:val="222222"/>
          <w:sz w:val="17"/>
        </w:rPr>
        <w:t>Juniper Research. (2026). Gamification in banking: How game mechanics drive financial behavior change. [Research report].</w:t>
      </w:r>
    </w:p>
    <w:p>
      <w:pPr>
        <w:spacing w:before="0" w:after="80"/>
        <w:ind w:left="432" w:hanging="432"/>
      </w:pPr>
      <w:r>
        <w:rPr>
          <w:rFonts w:ascii="Tahoma" w:hAnsi="Tahoma"/>
          <w:color w:val="222222"/>
          <w:sz w:val="17"/>
        </w:rPr>
        <w:t>Kahneman, D., &amp; Tversky, A. (1979). Prospect theory: An analysis of decision under risk. Econometrica, 47(2), 263–292.</w:t>
      </w:r>
    </w:p>
    <w:p>
      <w:pPr>
        <w:spacing w:before="0" w:after="80"/>
        <w:ind w:left="432" w:hanging="432"/>
      </w:pPr>
      <w:r>
        <w:rPr>
          <w:rFonts w:ascii="Tahoma" w:hAnsi="Tahoma"/>
          <w:color w:val="222222"/>
          <w:sz w:val="17"/>
        </w:rPr>
        <w:t>Li, Y., et al. (2024). Large language models in finance (FinLLMs). Neural Computing and Applications. https://doi.org/10.1007/s00521-024-10495-6</w:t>
      </w:r>
    </w:p>
    <w:p>
      <w:pPr>
        <w:spacing w:before="0" w:after="80"/>
        <w:ind w:left="432" w:hanging="432"/>
      </w:pPr>
      <w:r>
        <w:rPr>
          <w:rFonts w:ascii="Tahoma" w:hAnsi="Tahoma"/>
          <w:color w:val="222222"/>
          <w:sz w:val="17"/>
        </w:rPr>
        <w:t>Li, Z., et al. (2024). A survey of large language models for financial applications. arXiv:2406.11903. https://arxiv.org/abs/2406.11903</w:t>
      </w:r>
    </w:p>
    <w:p>
      <w:pPr>
        <w:spacing w:before="0" w:after="80"/>
        <w:ind w:left="432" w:hanging="432"/>
      </w:pPr>
      <w:r>
        <w:rPr>
          <w:rFonts w:ascii="Tahoma" w:hAnsi="Tahoma"/>
          <w:color w:val="222222"/>
          <w:sz w:val="17"/>
        </w:rPr>
        <w:t>Liu, X., et al. (2023). FinGPT: Open-source financial large language models. arXiv:2306.06031. https://arxiv.org/abs/2306.06031</w:t>
      </w:r>
    </w:p>
    <w:p>
      <w:pPr>
        <w:spacing w:before="0" w:after="80"/>
        <w:ind w:left="432" w:hanging="432"/>
      </w:pPr>
      <w:r>
        <w:rPr>
          <w:rFonts w:ascii="Tahoma" w:hAnsi="Tahoma"/>
          <w:color w:val="222222"/>
          <w:sz w:val="17"/>
        </w:rPr>
        <w:t>Meta AI. (2025). Llama 4 Scout model card and prompt formats. https://developer.meta.com/ai/docs/model-cards-and-prompt-formats/llama4/</w:t>
      </w:r>
    </w:p>
    <w:p>
      <w:pPr>
        <w:spacing w:before="0" w:after="80"/>
        <w:ind w:left="432" w:hanging="432"/>
      </w:pPr>
      <w:r>
        <w:rPr>
          <w:rFonts w:ascii="Tahoma" w:hAnsi="Tahoma"/>
          <w:color w:val="222222"/>
          <w:sz w:val="17"/>
        </w:rPr>
        <w:t>Mindfulsuite. (2026). The impact of expense tracking on financial behavior: How consistent logging reduces discretionary spending. https://mindfulsuite.com/blog/expense-tracking-financial-behavior</w:t>
      </w:r>
    </w:p>
    <w:p>
      <w:pPr>
        <w:spacing w:before="0" w:after="80"/>
        <w:ind w:left="432" w:hanging="432"/>
      </w:pPr>
      <w:r>
        <w:rPr>
          <w:rFonts w:ascii="Tahoma" w:hAnsi="Tahoma"/>
          <w:color w:val="222222"/>
          <w:sz w:val="17"/>
        </w:rPr>
        <w:t>Perrig, S., et al. (2024). Forgotten subscriptions: How subscription blindness costs consumers. Journal of Consumer Behaviour, 23(4), 1812–1826. https://doi.org/10.1002/cb.2337</w:t>
      </w:r>
    </w:p>
    <w:p>
      <w:pPr>
        <w:spacing w:before="0" w:after="80"/>
        <w:ind w:left="432" w:hanging="432"/>
      </w:pPr>
      <w:r>
        <w:rPr>
          <w:rFonts w:ascii="Tahoma" w:hAnsi="Tahoma"/>
          <w:color w:val="222222"/>
          <w:sz w:val="17"/>
        </w:rPr>
        <w:t>Philippine Statistics Authority. (2021). Family Income and Expenditure Survey (FIES) 2021. PSA. https://www.psa.gov.ph</w:t>
      </w:r>
    </w:p>
    <w:p>
      <w:pPr>
        <w:spacing w:before="0" w:after="80"/>
        <w:ind w:left="432" w:hanging="432"/>
      </w:pPr>
      <w:r>
        <w:rPr>
          <w:rFonts w:ascii="Tahoma" w:hAnsi="Tahoma"/>
          <w:color w:val="222222"/>
          <w:sz w:val="17"/>
        </w:rPr>
        <w:t>Stefanov, T., Stefanova, M., &amp; Varbanova, S. (2024). Personal finance management application. TEM Journal, 13(3), 2066–2075. https://doi.org/10.18421/TEM133-34</w:t>
      </w:r>
    </w:p>
    <w:p>
      <w:pPr>
        <w:spacing w:before="0" w:after="80"/>
        <w:ind w:left="432" w:hanging="432"/>
      </w:pPr>
      <w:r>
        <w:rPr>
          <w:rFonts w:ascii="Tahoma" w:hAnsi="Tahoma"/>
          <w:color w:val="222222"/>
          <w:sz w:val="17"/>
        </w:rPr>
        <w:t>Thaler, R. H., &amp; Sunstein, C. R. (2008). Nudge: Improving decisions about health, wealth, and happiness. Yale University Press.</w:t>
      </w:r>
    </w:p>
    <w:p>
      <w:pPr>
        <w:spacing w:before="0" w:after="80"/>
        <w:ind w:left="432" w:hanging="432"/>
      </w:pPr>
      <w:r>
        <w:rPr>
          <w:rFonts w:ascii="Tahoma" w:hAnsi="Tahoma"/>
          <w:color w:val="222222"/>
          <w:sz w:val="17"/>
        </w:rPr>
        <w:t>UNSGSA. (2021). Measuring financial health: A framework for practitioners. United Nations Secretary-General's Special Advocate for Inclusive Finance for Development. https://www.unsgsa.org</w:t>
      </w:r>
    </w:p>
    <w:p>
      <w:pPr>
        <w:spacing w:before="0" w:after="80"/>
        <w:ind w:left="432" w:hanging="432"/>
      </w:pPr>
      <w:r>
        <w:rPr>
          <w:rFonts w:ascii="Tahoma" w:hAnsi="Tahoma"/>
          <w:color w:val="222222"/>
          <w:sz w:val="17"/>
        </w:rPr>
        <w:t>Warren, E., &amp; Tyagi, A. W. (2005). All your worth: The ultimate lifetime money plan. Free Press.</w:t>
      </w:r>
    </w:p>
    <w:p>
      <w:pPr>
        <w:spacing w:before="0" w:after="80"/>
        <w:ind w:left="432" w:hanging="432"/>
      </w:pPr>
      <w:r>
        <w:rPr>
          <w:rFonts w:ascii="Tahoma" w:hAnsi="Tahoma"/>
          <w:color w:val="222222"/>
          <w:sz w:val="17"/>
        </w:rPr>
        <w:t>World Economic Forum. (2024). How agentic AI will transform financial services. https://www.weforum.org/stories/2024/12/agentic-ai-financial-services-autonomy-efficiency-and-inclusion/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Research Verification  |  Lucid Frame  |  Lorma Colleges CCSE BSIT  |  AY 2026–2027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