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2100" w:type="dxa"/>
          </w:tcPr>
          <w:p>
            <w:pPr>
              <w:jc w:val="center"/>
            </w:pPr>
            <w:r>
              <w:rPr>
                <w:rFonts w:ascii="Tahoma" w:hAnsi="Tahoma"/>
                <w:color w:val="6B6B6B"/>
                <w:sz w:val="16"/>
              </w:rPr>
              <w:t>[Logo]</w:t>
            </w:r>
          </w:p>
        </w:tc>
        <w:tc>
          <w:tcPr>
            <w:tcW w:type="dxa" w:w="3408"/>
            <w:tcW w:w="6024" w:type="dxa"/>
          </w:tcPr>
          <w:p/>
          <w:p>
            <w:pPr>
              <w:spacing w:before="0" w:after="20"/>
              <w:jc w:val="center"/>
            </w:pPr>
            <w:r>
              <w:rPr>
                <w:rFonts w:ascii="Tahoma" w:hAnsi="Tahoma"/>
                <w:b/>
                <w:color w:val="7A1230"/>
                <w:sz w:val="30"/>
              </w:rPr>
              <w:t>LORMA COLLEGES</w:t>
            </w:r>
          </w:p>
          <w:p>
            <w:pPr>
              <w:spacing w:before="0" w:after="20"/>
              <w:jc w:val="center"/>
            </w:pPr>
            <w:r>
              <w:rPr>
                <w:rFonts w:ascii="Tahoma" w:hAnsi="Tahoma"/>
                <w:b w:val="0"/>
                <w:color w:val="222222"/>
                <w:sz w:val="20"/>
              </w:rPr>
              <w:t>College of Computer Studies and Engineering</w:t>
            </w:r>
          </w:p>
          <w:p>
            <w:pPr>
              <w:spacing w:before="0" w:after="20"/>
              <w:jc w:val="center"/>
            </w:pPr>
            <w:r>
              <w:rPr>
                <w:rFonts w:ascii="Tahoma" w:hAnsi="Tahoma"/>
                <w:b w:val="0"/>
                <w:color w:val="6B6B6B"/>
                <w:sz w:val="18"/>
              </w:rPr>
              <w:t>Bachelor of Science in Information Technology</w:t>
            </w:r>
          </w:p>
        </w:tc>
        <w:tc>
          <w:tcPr>
            <w:tcW w:type="dxa" w:w="3408"/>
            <w:tcW w:w="2100" w:type="dxa"/>
          </w:tcPr>
          <w:p>
            <w:pPr>
              <w:jc w:val="center"/>
            </w:pPr>
            <w:r>
              <w:rPr>
                <w:rFonts w:ascii="Tahoma" w:hAnsi="Tahoma"/>
                <w:color w:val="6B6B6B"/>
                <w:sz w:val="16"/>
              </w:rPr>
              <w:t>[Logo]</w:t>
            </w:r>
          </w:p>
        </w:tc>
      </w:tr>
    </w:tbl>
    <w:p>
      <w:pPr>
        <w:spacing w:before="80" w:after="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80" w:after="80"/>
              <w:jc w:val="center"/>
            </w:pPr>
            <w:r>
              <w:rPr>
                <w:rFonts w:ascii="Tahoma" w:hAnsi="Tahoma"/>
                <w:b/>
                <w:color w:val="FFFFFF"/>
                <w:sz w:val="26"/>
              </w:rPr>
              <w:t>CAPSTONE PROJECT PROGRESS REPORT</w:t>
            </w:r>
          </w:p>
        </w:tc>
      </w:tr>
    </w:tbl>
    <w:p/>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2EFEC"/>
          </w:tcPr>
          <w:p>
            <w:pPr>
              <w:spacing w:before="80" w:after="40"/>
            </w:pPr>
            <w:r>
              <w:rPr>
                <w:rFonts w:ascii="Tahoma" w:hAnsi="Tahoma"/>
                <w:b/>
                <w:color w:val="222222"/>
                <w:sz w:val="18"/>
              </w:rPr>
              <w:t>GENERAL INSTRUCTIONS</w:t>
            </w:r>
          </w:p>
          <w:p>
            <w:pPr>
              <w:pStyle w:val="ListBullet"/>
              <w:spacing w:before="0" w:after="20"/>
              <w:ind w:left="360"/>
            </w:pPr>
            <w:r>
              <w:rPr>
                <w:rFonts w:ascii="Tahoma" w:hAnsi="Tahoma"/>
                <w:color w:val="222222"/>
                <w:sz w:val="18"/>
              </w:rPr>
              <w:t>Use this format for all progress report submissions.</w:t>
            </w:r>
          </w:p>
          <w:p>
            <w:pPr>
              <w:pStyle w:val="ListBullet"/>
              <w:spacing w:before="0" w:after="20"/>
              <w:ind w:left="360"/>
            </w:pPr>
            <w:r>
              <w:rPr>
                <w:rFonts w:ascii="Tahoma" w:hAnsi="Tahoma"/>
                <w:color w:val="222222"/>
                <w:sz w:val="18"/>
              </w:rPr>
              <w:t>Encode the report clearly and concisely.</w:t>
            </w:r>
          </w:p>
          <w:p>
            <w:pPr>
              <w:pStyle w:val="ListBullet"/>
              <w:spacing w:before="0" w:after="20"/>
              <w:ind w:left="360"/>
            </w:pPr>
            <w:r>
              <w:rPr>
                <w:rFonts w:ascii="Tahoma" w:hAnsi="Tahoma"/>
                <w:color w:val="222222"/>
                <w:sz w:val="18"/>
              </w:rPr>
              <w:t>Submit on or before the deadline set by the adviser.</w:t>
            </w:r>
          </w:p>
          <w:p>
            <w:pPr>
              <w:pStyle w:val="ListBullet"/>
              <w:spacing w:before="0" w:after="20"/>
              <w:ind w:left="360"/>
            </w:pPr>
            <w:r>
              <w:rPr>
                <w:rFonts w:ascii="Tahoma" w:hAnsi="Tahoma"/>
                <w:color w:val="222222"/>
                <w:sz w:val="18"/>
              </w:rPr>
              <w:t>Attach photo documentation as required.</w:t>
            </w:r>
          </w:p>
        </w:tc>
      </w:tr>
    </w:tbl>
    <w:p/>
    <w:p>
      <w:pPr>
        <w:spacing w:before="120" w:after="40"/>
      </w:pPr>
      <w:r>
        <w:rPr>
          <w:rFonts w:ascii="Tahoma" w:hAnsi="Tahoma"/>
          <w:b/>
          <w:color w:val="5C0E24"/>
          <w:sz w:val="24"/>
        </w:rPr>
        <w:t>Report Details</w:t>
      </w:r>
    </w:p>
    <w:tbl>
      <w:tblPr>
        <w:tblLook w:firstColumn="1" w:firstRow="1" w:lastColumn="0" w:lastRow="0" w:noHBand="0" w:noVBand="1" w:val="04A0"/>
        <w:tblW w:w="10224" w:type="dxa"/>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2200" w:type="dxa"/>
          </w:tcPr>
          <w:p>
            <w:pPr>
              <w:spacing w:before="40" w:after="40"/>
            </w:pPr>
            <w:r>
              <w:rPr>
                <w:rFonts w:ascii="Tahoma" w:hAnsi="Tahoma"/>
                <w:b/>
                <w:color w:val="222222"/>
                <w:sz w:val="18"/>
              </w:rPr>
              <w:t>Project / Capstone Title</w:t>
            </w:r>
          </w:p>
        </w:tc>
        <w:tc>
          <w:tcPr>
            <w:tcW w:type="dxa" w:w="5112"/>
            <w:tcW w:w="8024" w:type="dxa"/>
          </w:tcPr>
          <w:p>
            <w:pPr>
              <w:spacing w:before="40" w:after="40"/>
            </w:pPr>
            <w:r>
              <w:rPr>
                <w:rFonts w:ascii="Tahoma" w:hAnsi="Tahoma"/>
                <w:color w:val="222222"/>
                <w:sz w:val="18"/>
              </w:rPr>
              <w:t>SmartSpend: An AI-Assisted Multi-Modal Personal Financial Management Application for Filipino Users Using Agentic Large Language Model Architecture</w:t>
            </w:r>
          </w:p>
        </w:tc>
      </w:tr>
      <w:tr>
        <w:tc>
          <w:tcPr>
            <w:tcW w:type="dxa" w:w="5112"/>
            <w:tcW w:w="2200" w:type="dxa"/>
          </w:tcPr>
          <w:p>
            <w:pPr>
              <w:spacing w:before="40" w:after="40"/>
            </w:pPr>
            <w:r>
              <w:rPr>
                <w:rFonts w:ascii="Tahoma" w:hAnsi="Tahoma"/>
                <w:b/>
                <w:color w:val="222222"/>
                <w:sz w:val="18"/>
              </w:rPr>
              <w:t>Report No.</w:t>
            </w:r>
          </w:p>
        </w:tc>
        <w:tc>
          <w:tcPr>
            <w:tcW w:type="dxa" w:w="5112"/>
            <w:tcW w:w="8024" w:type="dxa"/>
          </w:tcPr>
          <w:p>
            <w:pPr>
              <w:spacing w:before="40" w:after="40"/>
            </w:pPr>
            <w:r>
              <w:rPr>
                <w:rFonts w:ascii="Tahoma" w:hAnsi="Tahoma"/>
                <w:color w:val="222222"/>
                <w:sz w:val="18"/>
              </w:rPr>
              <w:t>06</w:t>
            </w:r>
          </w:p>
        </w:tc>
      </w:tr>
      <w:tr>
        <w:tc>
          <w:tcPr>
            <w:tcW w:type="dxa" w:w="5112"/>
            <w:tcW w:w="2200" w:type="dxa"/>
          </w:tcPr>
          <w:p>
            <w:pPr>
              <w:spacing w:before="40" w:after="40"/>
            </w:pPr>
            <w:r>
              <w:rPr>
                <w:rFonts w:ascii="Tahoma" w:hAnsi="Tahoma"/>
                <w:b/>
                <w:color w:val="222222"/>
                <w:sz w:val="18"/>
              </w:rPr>
              <w:t>Date Submitted</w:t>
            </w:r>
          </w:p>
        </w:tc>
        <w:tc>
          <w:tcPr>
            <w:tcW w:type="dxa" w:w="5112"/>
            <w:tcW w:w="8024" w:type="dxa"/>
          </w:tcPr>
          <w:p>
            <w:pPr>
              <w:spacing w:before="40" w:after="40"/>
            </w:pPr>
            <w:r>
              <w:rPr>
                <w:rFonts w:ascii="Tahoma" w:hAnsi="Tahoma"/>
                <w:color w:val="222222"/>
                <w:sz w:val="18"/>
              </w:rPr>
              <w:t>September 10, 2026</w:t>
            </w:r>
          </w:p>
        </w:tc>
      </w:tr>
    </w:tbl>
    <w:p/>
    <w:p>
      <w:pPr>
        <w:spacing w:before="120" w:after="40"/>
      </w:pPr>
      <w:r>
        <w:rPr>
          <w:rFonts w:ascii="Tahoma" w:hAnsi="Tahoma"/>
          <w:b/>
          <w:color w:val="5C0E24"/>
          <w:sz w:val="24"/>
        </w:rPr>
        <w:t>Members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800" w:type="dxa"/>
            <w:shd w:val="clear" w:color="auto" w:fill="E8E0DA"/>
          </w:tcPr>
          <w:p>
            <w:pPr>
              <w:spacing w:before="40" w:after="40"/>
            </w:pPr>
            <w:r>
              <w:rPr>
                <w:rFonts w:ascii="Tahoma" w:hAnsi="Tahoma"/>
                <w:b/>
                <w:color w:val="222222"/>
                <w:sz w:val="18"/>
              </w:rPr>
              <w:t>#</w:t>
            </w:r>
          </w:p>
        </w:tc>
        <w:tc>
          <w:tcPr>
            <w:tcW w:type="dxa" w:w="5112"/>
            <w:tcW w:w="9424" w:type="dxa"/>
            <w:shd w:val="clear" w:color="auto" w:fill="E8E0DA"/>
          </w:tcPr>
          <w:p>
            <w:pPr>
              <w:spacing w:before="40" w:after="40"/>
            </w:pPr>
            <w:r>
              <w:rPr>
                <w:rFonts w:ascii="Tahoma" w:hAnsi="Tahoma"/>
                <w:b/>
                <w:color w:val="222222"/>
                <w:sz w:val="18"/>
              </w:rPr>
              <w:t>Member Name</w:t>
            </w:r>
          </w:p>
        </w:tc>
      </w:tr>
      <w:tr>
        <w:tc>
          <w:tcPr>
            <w:tcW w:type="dxa" w:w="5112"/>
            <w:tcW w:w="800" w:type="dxa"/>
          </w:tcPr>
          <w:p>
            <w:pPr>
              <w:spacing w:before="40" w:after="40"/>
            </w:pPr>
            <w:r>
              <w:rPr>
                <w:rFonts w:ascii="Tahoma" w:hAnsi="Tahoma"/>
                <w:color w:val="222222"/>
                <w:sz w:val="18"/>
              </w:rPr>
              <w:t>1</w:t>
            </w:r>
          </w:p>
        </w:tc>
        <w:tc>
          <w:tcPr>
            <w:tcW w:type="dxa" w:w="5112"/>
            <w:tcW w:w="9424" w:type="dxa"/>
          </w:tcPr>
          <w:p>
            <w:pPr>
              <w:spacing w:before="40" w:after="40"/>
            </w:pPr>
            <w:r>
              <w:rPr>
                <w:rFonts w:ascii="Tahoma" w:hAnsi="Tahoma"/>
                <w:color w:val="222222"/>
                <w:sz w:val="18"/>
              </w:rPr>
              <w:t>Brix A. Directo — Lead Developer</w:t>
            </w:r>
          </w:p>
        </w:tc>
      </w:tr>
      <w:tr>
        <w:tc>
          <w:tcPr>
            <w:tcW w:type="dxa" w:w="5112"/>
            <w:tcW w:w="800" w:type="dxa"/>
          </w:tcPr>
          <w:p>
            <w:pPr>
              <w:spacing w:before="40" w:after="40"/>
            </w:pPr>
            <w:r>
              <w:rPr>
                <w:rFonts w:ascii="Tahoma" w:hAnsi="Tahoma"/>
                <w:color w:val="222222"/>
                <w:sz w:val="18"/>
              </w:rPr>
              <w:t>2</w:t>
            </w:r>
          </w:p>
        </w:tc>
        <w:tc>
          <w:tcPr>
            <w:tcW w:type="dxa" w:w="5112"/>
            <w:tcW w:w="9424" w:type="dxa"/>
          </w:tcPr>
          <w:p>
            <w:pPr>
              <w:spacing w:before="40" w:after="40"/>
            </w:pPr>
            <w:r>
              <w:rPr>
                <w:rFonts w:ascii="Tahoma" w:hAnsi="Tahoma"/>
                <w:color w:val="222222"/>
                <w:sz w:val="18"/>
              </w:rPr>
              <w:t>Cyrille John M. Rubis — UI/UX Designer &amp; Documentation Lead</w:t>
            </w:r>
          </w:p>
        </w:tc>
      </w:tr>
      <w:tr>
        <w:tc>
          <w:tcPr>
            <w:tcW w:type="dxa" w:w="5112"/>
            <w:tcW w:w="800" w:type="dxa"/>
          </w:tcPr>
          <w:p>
            <w:pPr>
              <w:spacing w:before="40" w:after="40"/>
            </w:pPr>
            <w:r>
              <w:rPr>
                <w:rFonts w:ascii="Tahoma" w:hAnsi="Tahoma"/>
                <w:color w:val="222222"/>
                <w:sz w:val="18"/>
              </w:rPr>
              <w:t>3</w:t>
            </w:r>
          </w:p>
        </w:tc>
        <w:tc>
          <w:tcPr>
            <w:tcW w:type="dxa" w:w="5112"/>
            <w:tcW w:w="9424" w:type="dxa"/>
          </w:tcPr>
          <w:p>
            <w:pPr>
              <w:spacing w:before="40" w:after="40"/>
            </w:pPr>
            <w:r>
              <w:rPr>
                <w:rFonts w:ascii="Tahoma" w:hAnsi="Tahoma"/>
                <w:color w:val="222222"/>
                <w:sz w:val="18"/>
              </w:rPr>
              <w:t>Djaunathan Albert S. Madayag — Project Manager &amp; QA Lead</w:t>
            </w:r>
          </w:p>
        </w:tc>
      </w:tr>
    </w:tbl>
    <w:p/>
    <w:p>
      <w:pPr>
        <w:spacing w:before="120" w:after="40"/>
      </w:pPr>
      <w:r>
        <w:rPr>
          <w:rFonts w:ascii="Tahoma" w:hAnsi="Tahoma"/>
          <w:b/>
          <w:color w:val="5C0E24"/>
          <w:sz w:val="24"/>
        </w:rPr>
        <w:t>Narrative</w:t>
      </w:r>
    </w:p>
    <w:p>
      <w:pPr>
        <w:spacing w:before="0" w:after="80"/>
      </w:pPr>
      <w:r>
        <w:rPr>
          <w:rFonts w:ascii="Tahoma" w:hAnsi="Tahoma"/>
          <w:color w:val="6B6B6B"/>
          <w:sz w:val="18"/>
        </w:rPr>
        <w:t>Describe the project's current status. Write each part in paragraph form.</w:t>
      </w:r>
    </w:p>
    <w:p>
      <w:pPr>
        <w:spacing w:before="120" w:after="20"/>
      </w:pPr>
      <w:r>
        <w:rPr>
          <w:rFonts w:ascii="Tahoma" w:hAnsi="Tahoma"/>
          <w:b/>
          <w:color w:val="5C0E24"/>
          <w:sz w:val="21"/>
        </w:rPr>
        <w:t>1. Tasks Already Completed</w:t>
      </w:r>
    </w:p>
    <w:p>
      <w:pPr>
        <w:spacing w:before="0" w:after="60"/>
      </w:pPr>
      <w:r>
        <w:rPr>
          <w:rFonts w:ascii="Tahoma" w:hAnsi="Tahoma"/>
          <w:color w:val="6B6B6B"/>
          <w:sz w:val="17"/>
        </w:rPr>
        <w:t>What has the team finished since the last report?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Released SmartSpend v2.9.10 — Behavioral Feedback Layer (8 UX items):</w:t>
            </w:r>
          </w:p>
          <w:p>
            <w:pPr>
              <w:spacing w:before="60" w:after="60"/>
            </w:pPr>
            <w:r>
              <w:rPr>
                <w:rFonts w:ascii="Tahoma" w:hAnsi="Tahoma"/>
                <w:color w:val="222222"/>
                <w:sz w:val="19"/>
              </w:rPr>
            </w:r>
          </w:p>
          <w:p>
            <w:pPr>
              <w:spacing w:before="60" w:after="60"/>
            </w:pPr>
            <w:r>
              <w:rPr>
                <w:rFonts w:ascii="Tahoma" w:hAnsi="Tahoma"/>
                <w:color w:val="222222"/>
                <w:sz w:val="19"/>
              </w:rPr>
              <w:t>(1) Score Narrative Engine — AI-generated weekly summary cards replace the plain "FHS: 63/100" label. Context-aware messages such as "You're spending more than usual on Food — ₱2,340 this week" appear on the Home screen.</w:t>
            </w:r>
          </w:p>
          <w:p>
            <w:pPr>
              <w:spacing w:before="60" w:after="60"/>
            </w:pPr>
            <w:r>
              <w:rPr>
                <w:rFonts w:ascii="Tahoma" w:hAnsi="Tahoma"/>
                <w:color w:val="222222"/>
                <w:sz w:val="19"/>
              </w:rPr>
            </w:r>
          </w:p>
          <w:p>
            <w:pPr>
              <w:spacing w:before="60" w:after="60"/>
            </w:pPr>
            <w:r>
              <w:rPr>
                <w:rFonts w:ascii="Tahoma" w:hAnsi="Tahoma"/>
                <w:color w:val="222222"/>
                <w:sz w:val="19"/>
              </w:rPr>
              <w:t>(2) Score Celebration Toasts — Animated on-screen toast when FHS crosses milestone thresholds (50, 65, 75, 90), reinforcing positive financial behavior with Lorma maroon/gold visual styling.</w:t>
            </w:r>
          </w:p>
          <w:p>
            <w:pPr>
              <w:spacing w:before="60" w:after="60"/>
            </w:pPr>
            <w:r>
              <w:rPr>
                <w:rFonts w:ascii="Tahoma" w:hAnsi="Tahoma"/>
                <w:color w:val="222222"/>
                <w:sz w:val="19"/>
              </w:rPr>
            </w:r>
          </w:p>
          <w:p>
            <w:pPr>
              <w:spacing w:before="60" w:after="60"/>
            </w:pPr>
            <w:r>
              <w:rPr>
                <w:rFonts w:ascii="Tahoma" w:hAnsi="Tahoma"/>
                <w:color w:val="222222"/>
                <w:sz w:val="19"/>
              </w:rPr>
              <w:t>(3) Purchase Commentary — AI appends a brief behavioral note to receipt-scan and voice-logged entries above ₱500 (e.g., "This counts as a discretionary purchase — consider tracking against your Food budget.").</w:t>
            </w:r>
          </w:p>
          <w:p>
            <w:pPr>
              <w:spacing w:before="60" w:after="60"/>
            </w:pPr>
            <w:r>
              <w:rPr>
                <w:rFonts w:ascii="Tahoma" w:hAnsi="Tahoma"/>
                <w:color w:val="222222"/>
                <w:sz w:val="19"/>
              </w:rPr>
            </w:r>
          </w:p>
          <w:p>
            <w:pPr>
              <w:spacing w:before="60" w:after="60"/>
            </w:pPr>
            <w:r>
              <w:rPr>
                <w:rFonts w:ascii="Tahoma" w:hAnsi="Tahoma"/>
                <w:color w:val="222222"/>
                <w:sz w:val="19"/>
              </w:rPr>
              <w:t>(4) Supportive Budget Warning Alerts — Budget overspend warnings now include a constructive follow-up suggestion instead of a plain red banner, applying Thaler &amp; Sunstein (2008) nudge theory.</w:t>
            </w:r>
          </w:p>
          <w:p>
            <w:pPr>
              <w:spacing w:before="60" w:after="60"/>
            </w:pPr>
            <w:r>
              <w:rPr>
                <w:rFonts w:ascii="Tahoma" w:hAnsi="Tahoma"/>
                <w:color w:val="222222"/>
                <w:sz w:val="19"/>
              </w:rPr>
            </w:r>
          </w:p>
          <w:p>
            <w:pPr>
              <w:spacing w:before="60" w:after="60"/>
            </w:pPr>
            <w:r>
              <w:rPr>
                <w:rFonts w:ascii="Tahoma" w:hAnsi="Tahoma"/>
                <w:color w:val="222222"/>
                <w:sz w:val="19"/>
              </w:rPr>
              <w:t>(5) FMS Next-Step Guidance — The FMS card now shows a single prioritized action tip (e.g., "Set a Food budget to unlock full Budget Adherence scoring") when any FMS sub-component falls below 20/25.</w:t>
            </w:r>
          </w:p>
          <w:p>
            <w:pPr>
              <w:spacing w:before="60" w:after="60"/>
            </w:pPr>
            <w:r>
              <w:rPr>
                <w:rFonts w:ascii="Tahoma" w:hAnsi="Tahoma"/>
                <w:color w:val="222222"/>
                <w:sz w:val="19"/>
              </w:rPr>
            </w:r>
          </w:p>
          <w:p>
            <w:pPr>
              <w:spacing w:before="60" w:after="60"/>
            </w:pPr>
            <w:r>
              <w:rPr>
                <w:rFonts w:ascii="Tahoma" w:hAnsi="Tahoma"/>
                <w:color w:val="222222"/>
                <w:sz w:val="19"/>
              </w:rPr>
              <w:t>(6) Coach Report — Weekly AI-generated coach letter on the Profile screen summarizing the week's financial behavior, the user's strongest category, and one recommended habit change for the coming week.</w:t>
            </w:r>
          </w:p>
          <w:p>
            <w:pPr>
              <w:spacing w:before="60" w:after="60"/>
            </w:pPr>
            <w:r>
              <w:rPr>
                <w:rFonts w:ascii="Tahoma" w:hAnsi="Tahoma"/>
                <w:color w:val="222222"/>
                <w:sz w:val="19"/>
              </w:rPr>
            </w:r>
          </w:p>
          <w:p>
            <w:pPr>
              <w:spacing w:before="60" w:after="60"/>
            </w:pPr>
            <w:r>
              <w:rPr>
                <w:rFonts w:ascii="Tahoma" w:hAnsi="Tahoma"/>
                <w:color w:val="222222"/>
                <w:sz w:val="19"/>
              </w:rPr>
              <w:t>(7) Goal Milestone Notifications — In-app notification when a savings goal reaches 25%, 50%, 75%, and 100% of its target, with celebratory color-coded progress card updates.</w:t>
            </w:r>
          </w:p>
          <w:p>
            <w:pPr>
              <w:spacing w:before="60" w:after="60"/>
            </w:pPr>
            <w:r>
              <w:rPr>
                <w:rFonts w:ascii="Tahoma" w:hAnsi="Tahoma"/>
                <w:color w:val="222222"/>
                <w:sz w:val="19"/>
              </w:rPr>
            </w:r>
          </w:p>
          <w:p>
            <w:pPr>
              <w:spacing w:before="60" w:after="60"/>
            </w:pPr>
            <w:r>
              <w:rPr>
                <w:rFonts w:ascii="Tahoma" w:hAnsi="Tahoma"/>
                <w:color w:val="222222"/>
                <w:sz w:val="19"/>
              </w:rPr>
              <w:t>(8) Score Explanation Tooltips — "Why is my FHS this score?" info button added to the FHS card, opening a bottom sheet with per-component breakdown and plain-language explanation.</w:t>
            </w:r>
          </w:p>
          <w:p>
            <w:pPr>
              <w:spacing w:before="60" w:after="60"/>
            </w:pPr>
            <w:r>
              <w:rPr>
                <w:rFonts w:ascii="Tahoma" w:hAnsi="Tahoma"/>
                <w:color w:val="222222"/>
                <w:sz w:val="19"/>
              </w:rPr>
            </w:r>
          </w:p>
          <w:p>
            <w:pPr>
              <w:spacing w:before="60" w:after="60"/>
            </w:pPr>
            <w:r>
              <w:rPr>
                <w:rFonts w:ascii="Tahoma" w:hAnsi="Tahoma"/>
                <w:color w:val="222222"/>
                <w:sz w:val="19"/>
              </w:rPr>
              <w:t>Completed full documentation reorganization: all docs folders renamed, sorted, and restructured (archive, capstone, debug, guides, manuscript, reference, status, tools). Committed as v2.9.10 to GitHub master.</w:t>
            </w:r>
          </w:p>
          <w:p>
            <w:pPr>
              <w:spacing w:before="60" w:after="60"/>
            </w:pPr>
            <w:r>
              <w:rPr>
                <w:rFonts w:ascii="Tahoma" w:hAnsi="Tahoma"/>
                <w:color w:val="222222"/>
                <w:sz w:val="19"/>
              </w:rPr>
            </w:r>
          </w:p>
          <w:p>
            <w:pPr>
              <w:spacing w:before="60" w:after="60"/>
            </w:pPr>
            <w:r>
              <w:rPr>
                <w:rFonts w:ascii="Tahoma" w:hAnsi="Tahoma"/>
                <w:color w:val="222222"/>
                <w:sz w:val="19"/>
              </w:rPr>
              <w:t>Built all 4 manuscript figures as compressed PNG files using Pillow and matplotlib:</w:t>
            </w:r>
          </w:p>
          <w:p>
            <w:pPr>
              <w:spacing w:before="60" w:after="60"/>
            </w:pPr>
            <w:r>
              <w:rPr>
                <w:rFonts w:ascii="Tahoma" w:hAnsi="Tahoma"/>
                <w:color w:val="222222"/>
                <w:sz w:val="19"/>
              </w:rPr>
              <w:t xml:space="preserve">  • Figure 1.1 — Financial Literacy Rates by Demographic Group (74 KB)</w:t>
            </w:r>
          </w:p>
          <w:p>
            <w:pPr>
              <w:spacing w:before="60" w:after="60"/>
            </w:pPr>
            <w:r>
              <w:rPr>
                <w:rFonts w:ascii="Tahoma" w:hAnsi="Tahoma"/>
                <w:color w:val="222222"/>
                <w:sz w:val="19"/>
              </w:rPr>
              <w:t xml:space="preserve">  • Figure 1.2 — IPO Conceptual Framework (131 KB)</w:t>
            </w:r>
          </w:p>
          <w:p>
            <w:pPr>
              <w:spacing w:before="60" w:after="60"/>
            </w:pPr>
            <w:r>
              <w:rPr>
                <w:rFonts w:ascii="Tahoma" w:hAnsi="Tahoma"/>
                <w:color w:val="222222"/>
                <w:sz w:val="19"/>
              </w:rPr>
              <w:t xml:space="preserve">  • Figure 2.1 — SUS Score Interpretation (40 KB)</w:t>
            </w:r>
          </w:p>
          <w:p>
            <w:pPr>
              <w:spacing w:before="60" w:after="60"/>
            </w:pPr>
            <w:r>
              <w:rPr>
                <w:rFonts w:ascii="Tahoma" w:hAnsi="Tahoma"/>
                <w:color w:val="222222"/>
                <w:sz w:val="19"/>
              </w:rPr>
              <w:t xml:space="preserve">  • Figure 2.2 — Agile Kanban Workflow (111 KB)</w:t>
            </w:r>
          </w:p>
          <w:p>
            <w:pPr>
              <w:spacing w:before="60" w:after="60"/>
            </w:pPr>
            <w:r>
              <w:rPr>
                <w:rFonts w:ascii="Tahoma" w:hAnsi="Tahoma"/>
                <w:color w:val="222222"/>
                <w:sz w:val="19"/>
              </w:rPr>
            </w:r>
          </w:p>
          <w:p>
            <w:pPr>
              <w:spacing w:before="60" w:after="60"/>
            </w:pPr>
            <w:r>
              <w:rPr>
                <w:rFonts w:ascii="Tahoma" w:hAnsi="Tahoma"/>
                <w:color w:val="222222"/>
                <w:sz w:val="19"/>
              </w:rPr>
              <w:t>Rebuilt SmartSpend_Manuscript_FINAL.docx with all 4 figures embedded: 17 sections verified, 12 media files, 63 APA references, approximately 12,685 words (~50 pages). Figures 2.1 and 2.2 injected into Chapter III via the _fig() helper.</w:t>
            </w:r>
          </w:p>
          <w:p>
            <w:pPr>
              <w:spacing w:before="60" w:after="60"/>
            </w:pPr>
            <w:r>
              <w:rPr>
                <w:rFonts w:ascii="Tahoma" w:hAnsi="Tahoma"/>
                <w:color w:val="222222"/>
                <w:sz w:val="19"/>
              </w:rPr>
            </w:r>
          </w:p>
          <w:p>
            <w:pPr>
              <w:spacing w:before="60" w:after="60"/>
            </w:pPr>
            <w:r>
              <w:rPr>
                <w:rFonts w:ascii="Tahoma" w:hAnsi="Tahoma"/>
                <w:color w:val="222222"/>
                <w:sz w:val="19"/>
              </w:rPr>
              <w:t>Built SmartSpend_Compliance_Matrix_PreFinal.docx — pre-filled with project title, proponents, adviser, and panelist placeholder fields, ready for printing and panel submission.</w:t>
            </w:r>
          </w:p>
        </w:tc>
      </w:tr>
    </w:tbl>
    <w:p/>
    <w:p>
      <w:pPr>
        <w:spacing w:before="120" w:after="20"/>
      </w:pPr>
      <w:r>
        <w:rPr>
          <w:rFonts w:ascii="Tahoma" w:hAnsi="Tahoma"/>
          <w:b/>
          <w:color w:val="5C0E24"/>
          <w:sz w:val="21"/>
        </w:rPr>
        <w:t>2. Ongoing Activities</w:t>
      </w:r>
    </w:p>
    <w:p>
      <w:pPr>
        <w:spacing w:before="0" w:after="60"/>
      </w:pPr>
      <w:r>
        <w:rPr>
          <w:rFonts w:ascii="Tahoma" w:hAnsi="Tahoma"/>
          <w:color w:val="6B6B6B"/>
          <w:sz w:val="17"/>
        </w:rPr>
        <w:t>What is currently in progress?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Pre-Final Defense preparation: finalizing presentation slides and conducting full 8–9 minute demo rehearsal using the DEFENSE_GUIDE.md flow.</w:t>
            </w:r>
          </w:p>
          <w:p>
            <w:pPr>
              <w:spacing w:before="60" w:after="60"/>
            </w:pPr>
            <w:r>
              <w:rPr>
                <w:rFonts w:ascii="Tahoma" w:hAnsi="Tahoma"/>
                <w:color w:val="222222"/>
                <w:sz w:val="19"/>
              </w:rPr>
            </w:r>
          </w:p>
          <w:p>
            <w:pPr>
              <w:spacing w:before="60" w:after="60"/>
            </w:pPr>
            <w:r>
              <w:rPr>
                <w:rFonts w:ascii="Tahoma" w:hAnsi="Tahoma"/>
                <w:color w:val="222222"/>
                <w:sz w:val="19"/>
              </w:rPr>
              <w:t>SUS survey administration: targeting 30 respondents (20 parents aged 35–55, 10 young professionals aged 21–35) for Week 7. Survey instruments finalized.</w:t>
            </w:r>
          </w:p>
          <w:p>
            <w:pPr>
              <w:spacing w:before="60" w:after="60"/>
            </w:pPr>
            <w:r>
              <w:rPr>
                <w:rFonts w:ascii="Tahoma" w:hAnsi="Tahoma"/>
                <w:color w:val="222222"/>
                <w:sz w:val="19"/>
              </w:rPr>
            </w:r>
          </w:p>
          <w:p>
            <w:pPr>
              <w:spacing w:before="60" w:after="60"/>
            </w:pPr>
            <w:r>
              <w:rPr>
                <w:rFonts w:ascii="Tahoma" w:hAnsi="Tahoma"/>
                <w:color w:val="222222"/>
                <w:sz w:val="19"/>
              </w:rPr>
              <w:t>Google Docs manuscript: applying manuscript text from SmartSpend_Manuscript_Source.md, inserting all 4 figures, and completing the CV section for all 3 members.</w:t>
            </w:r>
          </w:p>
          <w:p>
            <w:pPr>
              <w:spacing w:before="60" w:after="60"/>
            </w:pPr>
            <w:r>
              <w:rPr>
                <w:rFonts w:ascii="Tahoma" w:hAnsi="Tahoma"/>
                <w:color w:val="222222"/>
                <w:sz w:val="19"/>
              </w:rPr>
            </w:r>
          </w:p>
          <w:p>
            <w:pPr>
              <w:spacing w:before="60" w:after="60"/>
            </w:pPr>
            <w:r>
              <w:rPr>
                <w:rFonts w:ascii="Tahoma" w:hAnsi="Tahoma"/>
                <w:color w:val="222222"/>
                <w:sz w:val="19"/>
              </w:rPr>
              <w:t>Validator coordination: obtaining signatures on Appendix A validation certificates (survey content validator and technical/SUS validator).</w:t>
            </w:r>
          </w:p>
        </w:tc>
      </w:tr>
    </w:tbl>
    <w:p/>
    <w:p>
      <w:pPr>
        <w:spacing w:before="120" w:after="20"/>
      </w:pPr>
      <w:r>
        <w:rPr>
          <w:rFonts w:ascii="Tahoma" w:hAnsi="Tahoma"/>
          <w:b/>
          <w:color w:val="5C0E24"/>
          <w:sz w:val="21"/>
        </w:rPr>
        <w:t>3. Problems or Challenges Encountered</w:t>
      </w:r>
    </w:p>
    <w:p>
      <w:pPr>
        <w:spacing w:before="0" w:after="60"/>
      </w:pPr>
      <w:r>
        <w:rPr>
          <w:rFonts w:ascii="Tahoma" w:hAnsi="Tahoma"/>
          <w:color w:val="6B6B6B"/>
          <w:sz w:val="17"/>
        </w:rPr>
        <w:t>What issues or roadblocks came up?</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GitHub Actions automated release pipeline still pending — 4 repository secrets (KEYSTORE_BASE64, KEY_PROPERTIES, GOOGLE_SERVICES_JSON, APP_CONFIG_DART) require manual configuration in GitHub Settings → Secrets and variables → Actions. These signing credentials and API keys cannot be committed to the repository.</w:t>
            </w:r>
          </w:p>
          <w:p>
            <w:pPr>
              <w:spacing w:before="60" w:after="60"/>
            </w:pPr>
            <w:r>
              <w:rPr>
                <w:rFonts w:ascii="Tahoma" w:hAnsi="Tahoma"/>
                <w:color w:val="222222"/>
                <w:sz w:val="19"/>
              </w:rPr>
            </w:r>
          </w:p>
          <w:p>
            <w:pPr>
              <w:spacing w:before="60" w:after="60"/>
            </w:pPr>
            <w:r>
              <w:rPr>
                <w:rFonts w:ascii="Tahoma" w:hAnsi="Tahoma"/>
                <w:color w:val="222222"/>
                <w:sz w:val="19"/>
              </w:rPr>
              <w:t>Figures 1.1 and 1.2 in the Google Docs Working copy were originally embedded as large uncompressed PNGs (1.8 MB and 1.6 MB). The new compressed versions (74 KB and 131 KB) need to be manually replaced in the Working copy by Cyrille before the next panel submission.</w:t>
            </w:r>
          </w:p>
        </w:tc>
      </w:tr>
    </w:tbl>
    <w:p/>
    <w:p>
      <w:pPr>
        <w:spacing w:before="120" w:after="20"/>
      </w:pPr>
      <w:r>
        <w:rPr>
          <w:rFonts w:ascii="Tahoma" w:hAnsi="Tahoma"/>
          <w:b/>
          <w:color w:val="5C0E24"/>
          <w:sz w:val="21"/>
        </w:rPr>
        <w:t>4. Solutions Applied or Actions Taken</w:t>
      </w:r>
    </w:p>
    <w:p>
      <w:pPr>
        <w:spacing w:before="0" w:after="60"/>
      </w:pPr>
      <w:r>
        <w:rPr>
          <w:rFonts w:ascii="Tahoma" w:hAnsi="Tahoma"/>
          <w:color w:val="6B6B6B"/>
          <w:sz w:val="17"/>
        </w:rPr>
        <w:t>How were the above issues addressed?</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GitHub Actions: the workflow file (release.yml) is already committed and operational. Once the 4 secrets are configured in GitHub Settings, future releases require only:</w:t>
            </w:r>
          </w:p>
          <w:p>
            <w:pPr>
              <w:spacing w:before="60" w:after="60"/>
            </w:pPr>
            <w:r>
              <w:rPr>
                <w:rFonts w:ascii="Tahoma" w:hAnsi="Tahoma"/>
                <w:color w:val="222222"/>
                <w:sz w:val="19"/>
              </w:rPr>
              <w:t xml:space="preserve">  git tag v2.9.X &amp;&amp; git push origin v2.9.X</w:t>
            </w:r>
          </w:p>
          <w:p>
            <w:pPr>
              <w:spacing w:before="60" w:after="60"/>
            </w:pPr>
            <w:r>
              <w:rPr>
                <w:rFonts w:ascii="Tahoma" w:hAnsi="Tahoma"/>
                <w:color w:val="222222"/>
                <w:sz w:val="19"/>
              </w:rPr>
              <w:t>Setup instructions are documented in the workflow file comments.</w:t>
            </w:r>
          </w:p>
          <w:p>
            <w:pPr>
              <w:spacing w:before="60" w:after="60"/>
            </w:pPr>
            <w:r>
              <w:rPr>
                <w:rFonts w:ascii="Tahoma" w:hAnsi="Tahoma"/>
                <w:color w:val="222222"/>
                <w:sz w:val="19"/>
              </w:rPr>
            </w:r>
          </w:p>
          <w:p>
            <w:pPr>
              <w:spacing w:before="60" w:after="60"/>
            </w:pPr>
            <w:r>
              <w:rPr>
                <w:rFonts w:ascii="Tahoma" w:hAnsi="Tahoma"/>
                <w:color w:val="222222"/>
                <w:sz w:val="19"/>
              </w:rPr>
              <w:t>Figures: all 4 compressed PNG files are saved to docs/manuscript/figures/. The build_figures.py script regenerates all 4 at any time with a single command: python build_figures.py. The FINAL.docx is rebuilt automatically by build_final_docx.py with compressed images via python-docx add_picture(). Manual replacement in the Working copy is tracked as a Cyrille task for Week 7.</w:t>
            </w:r>
          </w:p>
        </w:tc>
      </w:tr>
    </w:tbl>
    <w:p/>
    <w:p>
      <w:pPr>
        <w:spacing w:before="120" w:after="20"/>
      </w:pPr>
      <w:r>
        <w:rPr>
          <w:rFonts w:ascii="Tahoma" w:hAnsi="Tahoma"/>
          <w:b/>
          <w:color w:val="5C0E24"/>
          <w:sz w:val="21"/>
        </w:rPr>
        <w:t>5. Next Steps / Plans Before the Next Report</w:t>
      </w:r>
    </w:p>
    <w:p>
      <w:pPr>
        <w:spacing w:before="0" w:after="60"/>
      </w:pPr>
      <w:r>
        <w:rPr>
          <w:rFonts w:ascii="Tahoma" w:hAnsi="Tahoma"/>
          <w:color w:val="6B6B6B"/>
          <w:sz w:val="17"/>
        </w:rPr>
        <w:t>What will the team do next?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Week 7 — Administer SUS survey to 30 respondents (20 parents, 10 young professionals). Tabulate results and compute SUS scores using the Brooke (1996) formula. Insert results into Chapter III.</w:t>
            </w:r>
          </w:p>
          <w:p>
            <w:pPr>
              <w:spacing w:before="60" w:after="60"/>
            </w:pPr>
            <w:r>
              <w:rPr>
                <w:rFonts w:ascii="Tahoma" w:hAnsi="Tahoma"/>
                <w:color w:val="222222"/>
                <w:sz w:val="19"/>
              </w:rPr>
            </w:r>
          </w:p>
          <w:p>
            <w:pPr>
              <w:spacing w:before="60" w:after="60"/>
            </w:pPr>
            <w:r>
              <w:rPr>
                <w:rFonts w:ascii="Tahoma" w:hAnsi="Tahoma"/>
                <w:color w:val="222222"/>
                <w:sz w:val="19"/>
              </w:rPr>
              <w:t>Complete Pre-Final Defense presentation slides and conduct the full rehearsal. Print Compliance Matrix and obtain panel signatures.</w:t>
            </w:r>
          </w:p>
          <w:p>
            <w:pPr>
              <w:spacing w:before="60" w:after="60"/>
            </w:pPr>
            <w:r>
              <w:rPr>
                <w:rFonts w:ascii="Tahoma" w:hAnsi="Tahoma"/>
                <w:color w:val="222222"/>
                <w:sz w:val="19"/>
              </w:rPr>
            </w:r>
          </w:p>
          <w:p>
            <w:pPr>
              <w:spacing w:before="60" w:after="60"/>
            </w:pPr>
            <w:r>
              <w:rPr>
                <w:rFonts w:ascii="Tahoma" w:hAnsi="Tahoma"/>
                <w:color w:val="222222"/>
                <w:sz w:val="19"/>
              </w:rPr>
              <w:t>Configure GitHub Actions secrets for the automated APK release pipeline.</w:t>
            </w:r>
          </w:p>
          <w:p>
            <w:pPr>
              <w:spacing w:before="60" w:after="60"/>
            </w:pPr>
            <w:r>
              <w:rPr>
                <w:rFonts w:ascii="Tahoma" w:hAnsi="Tahoma"/>
                <w:color w:val="222222"/>
                <w:sz w:val="19"/>
              </w:rPr>
            </w:r>
          </w:p>
          <w:p>
            <w:pPr>
              <w:spacing w:before="60" w:after="60"/>
            </w:pPr>
            <w:r>
              <w:rPr>
                <w:rFonts w:ascii="Tahoma" w:hAnsi="Tahoma"/>
                <w:color w:val="222222"/>
                <w:sz w:val="19"/>
              </w:rPr>
              <w:t>Obtain validator signatures on Appendix A validation certificates.</w:t>
            </w:r>
          </w:p>
          <w:p>
            <w:pPr>
              <w:spacing w:before="60" w:after="60"/>
            </w:pPr>
            <w:r>
              <w:rPr>
                <w:rFonts w:ascii="Tahoma" w:hAnsi="Tahoma"/>
                <w:color w:val="222222"/>
                <w:sz w:val="19"/>
              </w:rPr>
            </w:r>
          </w:p>
          <w:p>
            <w:pPr>
              <w:spacing w:before="60" w:after="60"/>
            </w:pPr>
            <w:r>
              <w:rPr>
                <w:rFonts w:ascii="Tahoma" w:hAnsi="Tahoma"/>
                <w:color w:val="222222"/>
                <w:sz w:val="19"/>
              </w:rPr>
              <w:t>Cyrille: Insert all 4 figures into the Google Docs Working copy. Complete CV section for all 3 members. Apply remaining manuscript fixes.</w:t>
            </w:r>
          </w:p>
        </w:tc>
      </w:tr>
    </w:tbl>
    <w:p/>
    <w:p>
      <w:pPr>
        <w:spacing w:before="120" w:after="40"/>
      </w:pPr>
      <w:r>
        <w:rPr>
          <w:rFonts w:ascii="Tahoma" w:hAnsi="Tahoma"/>
          <w:b/>
          <w:color w:val="5C0E24"/>
          <w:sz w:val="24"/>
        </w:rPr>
        <w:t>Photo Documentation</w:t>
      </w:r>
    </w:p>
    <w:p>
      <w:pPr>
        <w:spacing w:before="0" w:after="80"/>
      </w:pPr>
      <w:r>
        <w:rPr>
          <w:rFonts w:ascii="Tahoma" w:hAnsi="Tahoma"/>
          <w:color w:val="6B6B6B"/>
          <w:sz w:val="18"/>
        </w:rPr>
        <w:t>Attach clear photos showing actual progress of the project. Each photo should have a short caption describing what is shown.</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1" name="Picture 1"/>
                  <wp:cNvGraphicFramePr>
                    <a:graphicFrameLocks noChangeAspect="1"/>
                  </wp:cNvGraphicFramePr>
                  <a:graphic>
                    <a:graphicData uri="http://schemas.openxmlformats.org/drawingml/2006/picture">
                      <pic:pic>
                        <pic:nvPicPr>
                          <pic:cNvPr id="0" name="Screenshot_2026-09-07-07-58-31-856_com.lucidframe.smartspend_app.jpg"/>
                          <pic:cNvPicPr/>
                        </pic:nvPicPr>
                        <pic:blipFill>
                          <a:blip r:embed="rId9"/>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2" name="Picture 2"/>
                  <wp:cNvGraphicFramePr>
                    <a:graphicFrameLocks noChangeAspect="1"/>
                  </wp:cNvGraphicFramePr>
                  <a:graphic>
                    <a:graphicData uri="http://schemas.openxmlformats.org/drawingml/2006/picture">
                      <pic:pic>
                        <pic:nvPicPr>
                          <pic:cNvPr id="0" name="Screenshot_2026-09-07-07-58-34-962_com.lucidframe.smartspend_app.jpg"/>
                          <pic:cNvPicPr/>
                        </pic:nvPicPr>
                        <pic:blipFill>
                          <a:blip r:embed="rId10"/>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Analytics — Market Insights live exchange rates (USD ₱62.68, EUR ₱72.77, GBP ₱84.70) + AI Financial Advice card with 3 actionable spending tips</w:t>
            </w:r>
          </w:p>
        </w:tc>
        <w:tc>
          <w:tcPr>
            <w:tcW w:type="dxa" w:w="5112"/>
            <w:tcW w:w="5112" w:type="dxa"/>
          </w:tcPr>
          <w:p>
            <w:pPr>
              <w:spacing w:before="60" w:after="60"/>
              <w:jc w:val="left"/>
            </w:pPr>
            <w:r>
              <w:rPr>
                <w:rFonts w:ascii="Tahoma" w:hAnsi="Tahoma"/>
                <w:color w:val="222222"/>
                <w:sz w:val="18"/>
              </w:rPr>
              <w:t>Analytics — AI Financial Advice continued: "Prioritize Needs over Wants" and "Start a Micro-Savings fund" tips based on real spending data</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3" name="Picture 3"/>
                  <wp:cNvGraphicFramePr>
                    <a:graphicFrameLocks noChangeAspect="1"/>
                  </wp:cNvGraphicFramePr>
                  <a:graphic>
                    <a:graphicData uri="http://schemas.openxmlformats.org/drawingml/2006/picture">
                      <pic:pic>
                        <pic:nvPicPr>
                          <pic:cNvPr id="0" name="Screenshot_2026-09-07-07-58-40-688_com.lucidframe.smartspend_app.jpg"/>
                          <pic:cNvPicPr/>
                        </pic:nvPicPr>
                        <pic:blipFill>
                          <a:blip r:embed="rId11"/>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4" name="Picture 4"/>
                  <wp:cNvGraphicFramePr>
                    <a:graphicFrameLocks noChangeAspect="1"/>
                  </wp:cNvGraphicFramePr>
                  <a:graphic>
                    <a:graphicData uri="http://schemas.openxmlformats.org/drawingml/2006/picture">
                      <pic:pic>
                        <pic:nvPicPr>
                          <pic:cNvPr id="0" name="Screenshot_2026-09-07-07-58-43-815_com.lucidframe.smartspend_app.jpg"/>
                          <pic:cNvPicPr/>
                        </pic:nvPicPr>
                        <pic:blipFill>
                          <a:blip r:embed="rId12"/>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Hub — Quick Access bottom sheet: Savings Goals, Income, Debts &amp; Lending, Recurring Transactions, Budgets, Currency Exchange, Transactions, Installment Plans</w:t>
            </w:r>
          </w:p>
        </w:tc>
        <w:tc>
          <w:tcPr>
            <w:tcW w:type="dxa" w:w="5112"/>
            <w:tcW w:w="5112" w:type="dxa"/>
          </w:tcPr>
          <w:p>
            <w:pPr>
              <w:spacing w:before="60" w:after="60"/>
              <w:jc w:val="left"/>
            </w:pPr>
            <w:r>
              <w:rPr>
                <w:rFonts w:ascii="Tahoma" w:hAnsi="Tahoma"/>
                <w:color w:val="222222"/>
                <w:sz w:val="18"/>
              </w:rPr>
              <w:t>Hub — Quick Access continued: My Wallets, Bill Calendar, Categories, Auto-Categorization Rules, Import from Bank/GCash, Insurance &amp; Contributions, PH Banks &amp; Investments</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5" name="Picture 5"/>
                  <wp:cNvGraphicFramePr>
                    <a:graphicFrameLocks noChangeAspect="1"/>
                  </wp:cNvGraphicFramePr>
                  <a:graphic>
                    <a:graphicData uri="http://schemas.openxmlformats.org/drawingml/2006/picture">
                      <pic:pic>
                        <pic:nvPicPr>
                          <pic:cNvPr id="0" name="Screenshot_2026-09-07-07-58-59-167_com.lucidframe.smartspend_app.jpg"/>
                          <pic:cNvPicPr/>
                        </pic:nvPicPr>
                        <pic:blipFill>
                          <a:blip r:embed="rId13"/>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6" name="Picture 6"/>
                  <wp:cNvGraphicFramePr>
                    <a:graphicFrameLocks noChangeAspect="1"/>
                  </wp:cNvGraphicFramePr>
                  <a:graphic>
                    <a:graphicData uri="http://schemas.openxmlformats.org/drawingml/2006/picture">
                      <pic:pic>
                        <pic:nvPicPr>
                          <pic:cNvPr id="0" name="Screenshot_2026-09-07-08-01-03-568_com.lucidframe.smartspend_app.jpg"/>
                          <pic:cNvPicPr/>
                        </pic:nvPicPr>
                        <pic:blipFill>
                          <a:blip r:embed="rId14"/>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Profile — settings list: Export CSV, Financial Health Certificate, Backup/Restore Data, Import from Bank/GCash, Batch Screenshot Import, Load Demo Data</w:t>
            </w:r>
          </w:p>
        </w:tc>
        <w:tc>
          <w:tcPr>
            <w:tcW w:type="dxa" w:w="5112"/>
            <w:tcW w:w="5112" w:type="dxa"/>
          </w:tcPr>
          <w:p>
            <w:pPr>
              <w:spacing w:before="60" w:after="60"/>
              <w:jc w:val="left"/>
            </w:pPr>
            <w:r>
              <w:rPr>
                <w:rFonts w:ascii="Tahoma" w:hAnsi="Tahoma"/>
                <w:color w:val="222222"/>
                <w:sz w:val="18"/>
              </w:rPr>
              <w:t>Financial Health Certificate — Brix Arquisal Directo has achieved FHS 63/100 (Good ✓), September 2026 · SmartSpend by Lucid Frame, shareable card</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7" name="Picture 7"/>
                  <wp:cNvGraphicFramePr>
                    <a:graphicFrameLocks noChangeAspect="1"/>
                  </wp:cNvGraphicFramePr>
                  <a:graphic>
                    <a:graphicData uri="http://schemas.openxmlformats.org/drawingml/2006/picture">
                      <pic:pic>
                        <pic:nvPicPr>
                          <pic:cNvPr id="0" name="Screenshot_2026-09-07-08-01-17-818_com.lucidframe.smartspend_app.jpg"/>
                          <pic:cNvPicPr/>
                        </pic:nvPicPr>
                        <pic:blipFill>
                          <a:blip r:embed="rId15"/>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8" name="Picture 8"/>
                  <wp:cNvGraphicFramePr>
                    <a:graphicFrameLocks noChangeAspect="1"/>
                  </wp:cNvGraphicFramePr>
                  <a:graphic>
                    <a:graphicData uri="http://schemas.openxmlformats.org/drawingml/2006/picture">
                      <pic:pic>
                        <pic:nvPicPr>
                          <pic:cNvPr id="0" name="Screenshot_2026-09-07-08-01-32-159_com.lucidframe.smartspend_app.jpg"/>
                          <pic:cNvPicPr/>
                        </pic:nvPicPr>
                        <pic:blipFill>
                          <a:blip r:embed="rId16"/>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Financial Calendar — September 2026 view: Sep 7 highlighted (today), Sep 2 expense dot, Sep 18 installment due dot for GCash GLoan</w:t>
            </w:r>
          </w:p>
        </w:tc>
        <w:tc>
          <w:tcPr>
            <w:tcW w:type="dxa" w:w="5112"/>
            <w:tcW w:w="5112" w:type="dxa"/>
          </w:tcPr>
          <w:p>
            <w:pPr>
              <w:spacing w:before="60" w:after="60"/>
              <w:jc w:val="left"/>
            </w:pPr>
            <w:r>
              <w:rPr>
                <w:rFonts w:ascii="Tahoma" w:hAnsi="Tahoma"/>
                <w:color w:val="222222"/>
                <w:sz w:val="18"/>
              </w:rPr>
              <w:t>Financial Calendar — Sep 2 day detail: ₱185 total in 5 expenses (Jeepney ₱30, 1ltr Coke ₱50, Super Glue ₱45, Lunch ₱30, Jeepney ₱30)</w:t>
            </w:r>
          </w:p>
        </w:tc>
      </w:tr>
    </w:tbl>
    <w:p/>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4912" w:type="dxa"/>
          </w:tcPr>
          <w:p>
            <w:pPr>
              <w:spacing w:before="40" w:after="0"/>
              <w:jc w:val="center"/>
            </w:pPr>
            <w:r>
              <w:rPr>
                <w:rFonts w:ascii="Tahoma" w:hAnsi="Tahoma"/>
                <w:color w:val="6B6B6B"/>
                <w:sz w:val="17"/>
              </w:rPr>
              <w:t>Submitted by</w:t>
            </w:r>
          </w:p>
        </w:tc>
        <w:tc>
          <w:tcPr>
            <w:tcW w:type="dxa" w:w="3408"/>
            <w:tcW w:w="400" w:type="dxa"/>
          </w:tcPr>
          <w:p/>
        </w:tc>
        <w:tc>
          <w:tcPr>
            <w:tcW w:type="dxa" w:w="3408"/>
            <w:tcW w:w="4912" w:type="dxa"/>
          </w:tcPr>
          <w:p>
            <w:pPr>
              <w:spacing w:before="40" w:after="0"/>
              <w:jc w:val="center"/>
            </w:pPr>
            <w:r>
              <w:rPr>
                <w:rFonts w:ascii="Tahoma" w:hAnsi="Tahoma"/>
                <w:color w:val="6B6B6B"/>
                <w:sz w:val="17"/>
              </w:rPr>
              <w:t>Noted by</w:t>
            </w:r>
          </w:p>
        </w:tc>
      </w:tr>
      <w:tr>
        <w:tc>
          <w:tcPr>
            <w:tcW w:type="dxa" w:w="3408"/>
            <w:tcW w:w="4912" w:type="dxa"/>
          </w:tcPr>
          <w:p>
            <w:pPr>
              <w:spacing w:before="80" w:after="40"/>
              <w:jc w:val="center"/>
            </w:pPr>
            <w:r>
              <w:drawing>
                <wp:inline xmlns:a="http://schemas.openxmlformats.org/drawingml/2006/main" xmlns:pic="http://schemas.openxmlformats.org/drawingml/2006/picture">
                  <wp:extent cx="1463040" cy="612921"/>
                  <wp:docPr id="9" name="Picture 9"/>
                  <wp:cNvGraphicFramePr>
                    <a:graphicFrameLocks noChangeAspect="1"/>
                  </wp:cNvGraphicFramePr>
                  <a:graphic>
                    <a:graphicData uri="http://schemas.openxmlformats.org/drawingml/2006/picture">
                      <pic:pic>
                        <pic:nvPicPr>
                          <pic:cNvPr id="0" name="draw_sign.png"/>
                          <pic:cNvPicPr/>
                        </pic:nvPicPr>
                        <pic:blipFill>
                          <a:blip r:embed="rId17"/>
                          <a:stretch>
                            <a:fillRect/>
                          </a:stretch>
                        </pic:blipFill>
                        <pic:spPr>
                          <a:xfrm>
                            <a:off x="0" y="0"/>
                            <a:ext cx="1463040" cy="612921"/>
                          </a:xfrm>
                          <a:prstGeom prst="rect"/>
                        </pic:spPr>
                      </pic:pic>
                    </a:graphicData>
                  </a:graphic>
                </wp:inline>
              </w:drawing>
            </w:r>
          </w:p>
        </w:tc>
        <w:tc>
          <w:tcPr>
            <w:tcW w:type="dxa" w:w="3408"/>
            <w:tcW w:w="400" w:type="dxa"/>
          </w:tcPr>
          <w:p/>
        </w:tc>
        <w:tc>
          <w:tcPr>
            <w:tcW w:type="dxa" w:w="3408"/>
            <w:tcW w:w="4912" w:type="dxa"/>
          </w:tcPr>
          <w:p>
            <w:pPr>
              <w:spacing w:before="560" w:after="80"/>
            </w:pPr>
          </w:p>
        </w:tc>
      </w:tr>
      <w:tr>
        <w:tc>
          <w:tcPr>
            <w:tcW w:type="dxa" w:w="3408"/>
            <w:tcW w:w="4912" w:type="dxa"/>
          </w:tcPr>
          <w:p>
            <w:pPr>
              <w:spacing w:before="0" w:after="0"/>
              <w:jc w:val="center"/>
            </w:pPr>
            <w:r>
              <w:rPr>
                <w:rFonts w:ascii="Tahoma" w:hAnsi="Tahoma"/>
                <w:b/>
                <w:color w:val="222222"/>
                <w:sz w:val="18"/>
              </w:rPr>
              <w:t>Brix A. Directo</w:t>
            </w:r>
          </w:p>
          <w:p>
            <w:pPr>
              <w:spacing w:before="20" w:after="0"/>
              <w:jc w:val="center"/>
            </w:pPr>
            <w:r>
              <w:rPr>
                <w:rFonts w:ascii="Tahoma" w:hAnsi="Tahoma"/>
                <w:color w:val="6B6B6B"/>
                <w:sz w:val="15"/>
              </w:rPr>
              <w:t>Group Leader / Signature over Printed Name</w:t>
            </w:r>
          </w:p>
        </w:tc>
        <w:tc>
          <w:tcPr>
            <w:tcW w:type="dxa" w:w="3408"/>
            <w:tcW w:w="400" w:type="dxa"/>
          </w:tcPr>
          <w:p/>
        </w:tc>
        <w:tc>
          <w:tcPr>
            <w:tcW w:type="dxa" w:w="3408"/>
            <w:tcW w:w="4912" w:type="dxa"/>
          </w:tcPr>
          <w:p>
            <w:pPr>
              <w:spacing w:before="0" w:after="0"/>
              <w:jc w:val="center"/>
            </w:pPr>
            <w:r>
              <w:rPr>
                <w:rFonts w:ascii="Tahoma" w:hAnsi="Tahoma"/>
                <w:b/>
                <w:color w:val="222222"/>
                <w:sz w:val="18"/>
              </w:rPr>
              <w:t>Ellen F. Mangaoang, MIT</w:t>
            </w:r>
          </w:p>
          <w:p>
            <w:pPr>
              <w:spacing w:before="20" w:after="0"/>
              <w:jc w:val="center"/>
            </w:pPr>
            <w:r>
              <w:rPr>
                <w:rFonts w:ascii="Tahoma" w:hAnsi="Tahoma"/>
                <w:color w:val="6B6B6B"/>
                <w:sz w:val="15"/>
              </w:rPr>
              <w:t>Teacher in Charge / Signature over Printed Name</w:t>
            </w:r>
          </w:p>
        </w:tc>
      </w:tr>
    </w:tbl>
    <w:sectPr w:rsidR="00FC693F" w:rsidRPr="0006063C" w:rsidSect="00034616">
      <w:footerReference w:type="default" r:id="rId1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Pr>
    <w:r>
      <w:rPr>
        <w:rFonts w:ascii="Tahoma" w:hAnsi="Tahoma"/>
        <w:color w:val="6B6B6B"/>
        <w:sz w:val="14"/>
      </w:rPr>
      <w:t>Lorma Colleges – College of Computer Studies and Engineering | BS Information Technology Capstone Project</w:t>
    </w:r>
    <w:r>
      <w:tab/>
    </w:r>
    <w:r>
      <w:rPr>
        <w:rFonts w:ascii="Tahoma" w:hAnsi="Tahoma"/>
        <w:color w:val="6B6B6B"/>
        <w:sz w:val="14"/>
      </w:rPr>
      <w:t xml:space="preserve">Page </w:t>
    </w:r>
    <w:r>
      <w:fldChar w:fldCharType="begin"/>
    </w:r>
    <w:r>
      <w:instrText xml:space="preserve"> PAGE </w:instrText>
    </w:r>
    <w:r>
      <w:fldChar w:fldCharType="end"/>
    </w:r>
    <w:r>
      <w:rPr>
        <w:rFonts w:ascii="Tahoma" w:hAnsi="Tahoma"/>
        <w:color w:val="6B6B6B"/>
        <w:sz w:val="14"/>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Tahoma" w:hAnsi="Tahom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