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2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W w:w="2100" w:type="dxa"/>
          </w:tcPr>
          <w:p>
            <w:pPr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[Logo]</w:t>
            </w:r>
          </w:p>
        </w:tc>
        <w:tc>
          <w:tcPr>
            <w:tcW w:type="dxa" w:w="3408"/>
            <w:tcW w:w="6024" w:type="dxa"/>
          </w:tcPr>
          <w:p/>
          <w:p>
            <w:pPr>
              <w:spacing w:before="0" w:after="20"/>
              <w:jc w:val="center"/>
            </w:pPr>
            <w:r>
              <w:rPr>
                <w:rFonts w:ascii="Tahoma" w:hAnsi="Tahoma"/>
                <w:b/>
                <w:color w:val="7A1230"/>
                <w:sz w:val="30"/>
              </w:rPr>
              <w:t>LORMA COLLEGES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b w:val="0"/>
                <w:color w:val="222222"/>
                <w:sz w:val="20"/>
              </w:rPr>
              <w:t>College of Computer Studies and Engineering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b w:val="0"/>
                <w:color w:val="6B6B6B"/>
                <w:sz w:val="18"/>
              </w:rPr>
              <w:t>Bachelor of Science in Information Technology</w:t>
            </w:r>
          </w:p>
        </w:tc>
        <w:tc>
          <w:tcPr>
            <w:tcW w:type="dxa" w:w="3408"/>
            <w:tcW w:w="2100" w:type="dxa"/>
          </w:tcPr>
          <w:p>
            <w:pPr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[Logo]</w:t>
            </w:r>
          </w:p>
        </w:tc>
      </w:tr>
    </w:tbl>
    <w:p>
      <w:pPr>
        <w:spacing w:before="80" w:after="0"/>
      </w:pPr>
    </w:p>
    <w:tbl>
      <w:tblPr>
        <w:tblLook w:firstColumn="1" w:firstRow="1" w:lastColumn="0" w:lastRow="0" w:noHBand="0" w:noVBand="1" w:val="04A0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224"/>
      </w:tblGrid>
      <w:tr>
        <w:tc>
          <w:tcPr>
            <w:tcW w:type="dxa" w:w="10224"/>
            <w:shd w:val="clear" w:color="auto" w:fill="5C0E24"/>
          </w:tcPr>
          <w:p>
            <w:pPr>
              <w:spacing w:before="80" w:after="80"/>
              <w:jc w:val="center"/>
            </w:pPr>
            <w:r>
              <w:rPr>
                <w:rFonts w:ascii="Tahoma" w:hAnsi="Tahoma"/>
                <w:b/>
                <w:color w:val="FFFFFF"/>
                <w:sz w:val="26"/>
              </w:rPr>
              <w:t>CAPSTONE PROJECT PROGRESS REPORT</w:t>
            </w:r>
          </w:p>
        </w:tc>
      </w:tr>
    </w:tbl>
    <w:p/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2EFEC"/>
          </w:tcPr>
          <w:p>
            <w:pPr>
              <w:spacing w:before="8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GENERAL INSTRUCTIONS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Use this format for all progress report submissions.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Encode the report clearly and concisely.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Submit on or before the deadline set by the adviser.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Attach photo documentation as required.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Report Details</w:t>
      </w:r>
    </w:p>
    <w:tbl>
      <w:tblPr>
        <w:tblLook w:firstColumn="1" w:firstRow="1" w:lastColumn="0" w:lastRow="0" w:noHBand="0" w:noVBand="1" w:val="04A0"/>
        <w:tblW w:w="10224" w:type="dxa"/>
        <w:jc w:val="lef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2200" w:type="dx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Project / Capstone Title</w:t>
            </w:r>
          </w:p>
        </w:tc>
        <w:tc>
          <w:tcPr>
            <w:tcW w:type="dxa" w:w="5112"/>
            <w:tcW w:w="80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SmartSpend: An AI-Assisted Multi-Modal Personal Financial Management Application for Filipino Users Using Agentic Large Language Model Architecture</w:t>
            </w:r>
          </w:p>
        </w:tc>
      </w:tr>
      <w:tr>
        <w:tc>
          <w:tcPr>
            <w:tcW w:type="dxa" w:w="5112"/>
            <w:tcW w:w="2200" w:type="dx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Report No.</w:t>
            </w:r>
          </w:p>
        </w:tc>
        <w:tc>
          <w:tcPr>
            <w:tcW w:type="dxa" w:w="5112"/>
            <w:tcW w:w="80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04</w:t>
            </w:r>
          </w:p>
        </w:tc>
      </w:tr>
      <w:tr>
        <w:tc>
          <w:tcPr>
            <w:tcW w:type="dxa" w:w="5112"/>
            <w:tcW w:w="2200" w:type="dx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Date Submitted</w:t>
            </w:r>
          </w:p>
        </w:tc>
        <w:tc>
          <w:tcPr>
            <w:tcW w:type="dxa" w:w="5112"/>
            <w:tcW w:w="80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September 3, 2026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Members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800" w:type="dxa"/>
            <w:shd w:val="clear" w:color="auto" w:fill="E8E0D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#</w:t>
            </w:r>
          </w:p>
        </w:tc>
        <w:tc>
          <w:tcPr>
            <w:tcW w:type="dxa" w:w="5112"/>
            <w:tcW w:w="9424" w:type="dxa"/>
            <w:shd w:val="clear" w:color="auto" w:fill="E8E0D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Member Name</w:t>
            </w:r>
          </w:p>
        </w:tc>
      </w:tr>
      <w:tr>
        <w:tc>
          <w:tcPr>
            <w:tcW w:type="dxa" w:w="5112"/>
            <w:tcW w:w="800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1</w:t>
            </w:r>
          </w:p>
        </w:tc>
        <w:tc>
          <w:tcPr>
            <w:tcW w:type="dxa" w:w="5112"/>
            <w:tcW w:w="94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Brix A. Directo — Lead Developer</w:t>
            </w:r>
          </w:p>
        </w:tc>
      </w:tr>
      <w:tr>
        <w:tc>
          <w:tcPr>
            <w:tcW w:type="dxa" w:w="5112"/>
            <w:tcW w:w="800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2</w:t>
            </w:r>
          </w:p>
        </w:tc>
        <w:tc>
          <w:tcPr>
            <w:tcW w:type="dxa" w:w="5112"/>
            <w:tcW w:w="94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Cyrille John M. Rubis — UI/UX Designer &amp; Documentation Lead</w:t>
            </w:r>
          </w:p>
        </w:tc>
      </w:tr>
      <w:tr>
        <w:tc>
          <w:tcPr>
            <w:tcW w:type="dxa" w:w="5112"/>
            <w:tcW w:w="800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3</w:t>
            </w:r>
          </w:p>
        </w:tc>
        <w:tc>
          <w:tcPr>
            <w:tcW w:type="dxa" w:w="5112"/>
            <w:tcW w:w="94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Djaunathan Albert S. Madayag — Project Manager &amp; QA Lead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Narrative</w:t>
      </w:r>
    </w:p>
    <w:p>
      <w:pPr>
        <w:spacing w:before="0" w:after="80"/>
      </w:pPr>
      <w:r>
        <w:rPr>
          <w:rFonts w:ascii="Tahoma" w:hAnsi="Tahoma"/>
          <w:color w:val="6B6B6B"/>
          <w:sz w:val="18"/>
        </w:rPr>
        <w:t>Describe the project's current status. Write each part in paragraph form.</w:t>
      </w:r>
    </w:p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1. Tasks Already Completed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has the team finished since the last report?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Completed a comprehensive documentation audit resolving 30+ inconsistencies across all project documents. Critical corrections included: screen count updated from 36 to 37, service count from 23 to 26, stale AI model names updated (GPT-4o to GPT-5.6, Claude 3.5 to Claude Fable 5), input modality count corrected from 7 to 6, and the Financial Management Score (FMS) formula fixed from 3×33.3 pts to 4×25 pts to match the actual implementation.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Implemented 6 AI coverage gaps identified through systematic audit: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(1) Added set_spending_limit agentic action — AI can now set daily, weekly, monthly, and yearly spending caps directly from natural language chat;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(2) Added add_insurance_policy action — AI can create SSS, PhilHealth, Pag-IBIG, and private insurance entries on command;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(3) Added Rule 12 (Taglish language triggers) to the system prompt across all 34 action types for Filipino-English mixed input;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(4) Budget queries now route to the smart model tier (LLaMA 70B or Gemini) instead of the fast 8B model for improved accuracy;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(5) set_budget fallback parser added for edge-case input formats;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(6) Auto-categorization rules injected into AI context for consistent category assignment.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Added Financial Management Score (FMS) mini-cards to both the Home screen (compact strip showing 88/100 Expert Tracker) and the Analytics screen (full 4-component breakdown). FHS "Unmeasured" label added when income tracking is disabled — displays as a grey chip with dashed progress bar.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Fixed ScanReviewScreen code duplication — removed a 295-line embedded class from smart_camera_screen.dart and replaced it with an import of the standalone file, eliminating a maintenance risk.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Fixed the recurring transaction "Add Recurring" button — the entry now saves directly to the database without navigating to a blank screen first.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Rebuilt SMARTSPEND_FINAL_V5.docx: 17 sections, 63 APA references, 7 embedded figures. Action count updated from 29 to 31 across all 12 documentation files. Released v2.9.8 to GitHub with 3 signed APK variants (arm64-v8a, armeabi-v7a, x86_64).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2. Ongoing Activities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is currently in progress?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Manuscript revision: Chapters 1 through 4 complete in SMARTSPEND_REVISED_MANUSCRIPT.md. Google Docs version pending Fixes 11–16 from MANUSCRIPT_GUIDE.md covering account type flexibility, target population reframing, respondent criteria, and validator role descriptions.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Pre-Final Defense preparation: demo flow rehearsal targeting 8–9 minutes per DEFENSE_GUIDE.md Part 2. Presentation slides in progress.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SUS survey instrument finalization — targeting 30 respondents (20 parents aged 35–55, 10 young professionals aged 21–35) for Week 7.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3. Problems or Challenges Encountered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issues or roadblocks came up?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Multi-item AI logging was silently failing for messages with common Filipino spelling variants and typos (e.g., "spen 30 for transport") — the max_tokens estimate was too low, and the multi-item detection regex did not match informal Tagalog verb forms.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The 50/30/20 analytics card and income-based overview cards were rendering using stale income data (₱650 set months prior) even when income tracking was OFF, producing meaningless budget percentages for the student user profile.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4. Solutions Applied or Actions Taken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How were the above issues addressed?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Multi-item fix: broadened the verb detection regex to catch typos and Tagalog variants (spen, spe, nagastos, ginastos); added connector-aware detection for comma-separated and "and"-joined entries; scaled token budget from 800 to 1,200 tokens based on item count; multi-item messages now route to the smart model tier. System prompt Rules 1 and 2 updated with explicit Filipino-language examples.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Lightweight Mode analytics fix: added _incomeWalletMode state field to AnalyticsScreen, populated from the database on _loadData(). All three income-dependent cards (50/30/20, Tax+Savings, Allowance Overview) are now gated on the _incomeWalletMode flag and hidden when income tracking is OFF.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5. Next Steps / Plans Before the Next Report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will the team do next?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Week 5: Configure GitHub Actions secrets (KEYSTORE_BASE64, KEY_PROPERTIES, GOOGLE_SERVICES_JSON, APP_CONFIG_DART) to enable the automated APK release pipeline built this week.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Apply Google Docs manuscript fixes (Fixes 11–16): account type flexibility, target population reframing, respondent criteria, and validator role sections.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Generate Figure 1.1 bar chart using BSP financial literacy data and insert into Google Docs manuscript.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Obtain validator signatures on Appendix A validation certificates (survey content validator and technical/SUS validator).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Complete Pre-Final Defense presentation slides and conduct a full timed rehearsal using the DEFENSE_GUIDE.md script.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Photo Documentation</w:t>
      </w:r>
    </w:p>
    <w:p>
      <w:pPr>
        <w:spacing w:before="0" w:after="80"/>
      </w:pPr>
      <w:r>
        <w:rPr>
          <w:rFonts w:ascii="Tahoma" w:hAnsi="Tahoma"/>
          <w:color w:val="6B6B6B"/>
          <w:sz w:val="18"/>
        </w:rPr>
        <w:t>Attach clear photos showing actual progress of the project. Each photo should have a short caption describing what is shown.</w:t>
      </w:r>
    </w:p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5112" w:type="dxa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9-07-07-57-46-826_com.lucidframe.smartspend_app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5112" w:type="dxa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9-07-07-57-49-825_com.lucidframe.smartspend_app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60" w:after="6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>SmartSpend splash screen — app logo with tagline "Your AI Financial Assistant" on launch</w:t>
            </w:r>
          </w:p>
        </w:tc>
        <w:tc>
          <w:tcPr>
            <w:tcW w:type="dxa" w:w="5112"/>
            <w:tcW w:w="5112" w:type="dxa"/>
          </w:tcPr>
          <w:p>
            <w:pPr>
              <w:spacing w:before="60" w:after="6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>Home screen — ₱185 monthly spending (7% below last month), recurring pattern alert, Quick Log chips (Jeepney ₱30, Lunch ₱85), and achievement badges</w:t>
            </w:r>
          </w:p>
        </w:tc>
      </w:tr>
    </w:tbl>
    <w:p/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5112" w:type="dxa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9-07-07-57-57-491_com.lucidframe.smartspend_app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5112" w:type="dxa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9-07-07-58-00-575_com.lucidframe.smartspend_app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60" w:after="6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>Home screen scrolled — Daily Quests (1/4 complete), FHS 63/100 Fair with AI explanation, FMS 88/100 Expert Tracker strip, and Budgets 5 set</w:t>
            </w:r>
          </w:p>
        </w:tc>
        <w:tc>
          <w:tcPr>
            <w:tcW w:type="dxa" w:w="5112"/>
            <w:tcW w:w="5112" w:type="dxa"/>
          </w:tcPr>
          <w:p>
            <w:pPr>
              <w:spacing w:before="60" w:after="6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>Home screen — AI Insights card with 3 behavioral tips (Food 43%, Transportation 32%, Small purchases), Consistent Saver badge, and Quick Access grid</w:t>
            </w:r>
          </w:p>
        </w:tc>
      </w:tr>
    </w:tbl>
    <w:p/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5112" w:type="dxa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9-07-07-58-07-259_com.lucidframe.smartspend_app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5112" w:type="dxa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9-07-07-58-53-139_com.lucidframe.smartspend_app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60" w:after="6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>Analytics — Spending by Category donut chart (13 categories, All Time view): Shopping ₱9,732 leads, followed by Food ₱4,762 and Gaming ₱8,300</w:t>
            </w:r>
          </w:p>
        </w:tc>
        <w:tc>
          <w:tcPr>
            <w:tcW w:type="dxa" w:w="5112"/>
            <w:tcW w:w="5112" w:type="dxa"/>
          </w:tcPr>
          <w:p>
            <w:pPr>
              <w:spacing w:before="60" w:after="6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>Profile — Brix Arquisal Directo: 185 total expenses, ₱37,512 total spent, FHS 63/100 with 4-component Score Breakdown showing improvement areas</w:t>
            </w:r>
          </w:p>
        </w:tc>
      </w:tr>
    </w:tbl>
    <w:p/>
    <w:tbl>
      <w:tblPr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5112" w:type="dxa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9-07-07-58-55-849_com.lucidframe.smartspend_app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5112" w:type="dxa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673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9-07-07-59-07-682_com.lucidframe.smartspend_app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6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60" w:after="6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>Profile — FMS 88/100 Expert Tracker: Logging 13/25, Budget Setup 25/25, Goal Tracking 25/25, Data Completeness 25/25 — account type: Student, Dark Mode ON</w:t>
            </w:r>
          </w:p>
        </w:tc>
        <w:tc>
          <w:tcPr>
            <w:tcW w:type="dxa" w:w="5112"/>
            <w:tcW w:w="5112" w:type="dxa"/>
          </w:tcPr>
          <w:p>
            <w:pPr>
              <w:spacing w:before="60" w:after="6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>App Settings — AI Model section: Gemini 3.1 Flash-Lite selected (1,000/day free, fastest Gemini), with 4 fallback providers including LLaMA 3.3 70B and Cerebras</w:t>
            </w:r>
          </w:p>
        </w:tc>
      </w:tr>
    </w:tbl>
    <w:p/>
    <w:p/>
    <w:tbl>
      <w:tblPr>
        <w:tblLook w:firstColumn="1" w:firstRow="1" w:lastColumn="0" w:lastRow="0" w:noHBand="0" w:noVBand="1" w:val="04A0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W w:w="4912" w:type="dxa"/>
          </w:tcPr>
          <w:p>
            <w:pPr>
              <w:spacing w:before="40" w:after="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Submitted by</w:t>
            </w:r>
          </w:p>
        </w:tc>
        <w:tc>
          <w:tcPr>
            <w:tcW w:type="dxa" w:w="3408"/>
            <w:tcW w:w="400" w:type="dxa"/>
          </w:tcPr>
          <w:p/>
        </w:tc>
        <w:tc>
          <w:tcPr>
            <w:tcW w:type="dxa" w:w="3408"/>
            <w:tcW w:w="4912" w:type="dxa"/>
          </w:tcPr>
          <w:p>
            <w:pPr>
              <w:spacing w:before="40" w:after="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Noted by</w:t>
            </w:r>
          </w:p>
        </w:tc>
      </w:tr>
      <w:tr>
        <w:tc>
          <w:tcPr>
            <w:tcW w:type="dxa" w:w="3408"/>
            <w:tcW w:w="4912" w:type="dxa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61292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aw_sig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6129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8"/>
            <w:tcW w:w="400" w:type="dxa"/>
          </w:tcPr>
          <w:p/>
        </w:tc>
        <w:tc>
          <w:tcPr>
            <w:tcW w:type="dxa" w:w="3408"/>
            <w:tcW w:w="4912" w:type="dxa"/>
          </w:tcPr>
          <w:p>
            <w:pPr>
              <w:spacing w:before="560" w:after="80"/>
            </w:pPr>
          </w:p>
        </w:tc>
      </w:tr>
      <w:tr>
        <w:tc>
          <w:tcPr>
            <w:tcW w:type="dxa" w:w="3408"/>
            <w:tcW w:w="4912" w:type="dxa"/>
          </w:tcPr>
          <w:p>
            <w:pPr>
              <w:spacing w:before="0" w:after="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Brix A. Directo</w:t>
            </w:r>
          </w:p>
          <w:p>
            <w:pPr>
              <w:spacing w:before="20" w:after="0"/>
              <w:jc w:val="center"/>
            </w:pPr>
            <w:r>
              <w:rPr>
                <w:rFonts w:ascii="Tahoma" w:hAnsi="Tahoma"/>
                <w:color w:val="6B6B6B"/>
                <w:sz w:val="15"/>
              </w:rPr>
              <w:t>Group Leader / Signature over Printed Name</w:t>
            </w:r>
          </w:p>
        </w:tc>
        <w:tc>
          <w:tcPr>
            <w:tcW w:type="dxa" w:w="3408"/>
            <w:tcW w:w="400" w:type="dxa"/>
          </w:tcPr>
          <w:p/>
        </w:tc>
        <w:tc>
          <w:tcPr>
            <w:tcW w:type="dxa" w:w="3408"/>
            <w:tcW w:w="4912" w:type="dxa"/>
          </w:tcPr>
          <w:p>
            <w:pPr>
              <w:spacing w:before="0" w:after="0"/>
              <w:jc w:val="center"/>
            </w:pPr>
            <w:r>
              <w:rPr>
                <w:rFonts w:ascii="Tahoma" w:hAnsi="Tahoma"/>
                <w:b/>
                <w:color w:val="222222"/>
                <w:sz w:val="18"/>
              </w:rPr>
              <w:t>Ellen F. Mangaoang, MIT</w:t>
            </w:r>
          </w:p>
          <w:p>
            <w:pPr>
              <w:spacing w:before="20" w:after="0"/>
              <w:jc w:val="center"/>
            </w:pPr>
            <w:r>
              <w:rPr>
                <w:rFonts w:ascii="Tahoma" w:hAnsi="Tahoma"/>
                <w:color w:val="6B6B6B"/>
                <w:sz w:val="15"/>
              </w:rPr>
              <w:t>Teacher in Charge / Signature over Printed Name</w:t>
            </w:r>
          </w:p>
        </w:tc>
      </w:tr>
    </w:tbl>
    <w:sectPr w:rsidR="00FC693F" w:rsidRPr="0006063C" w:rsidSect="00034616">
      <w:footerReference w:type="default" r:id="rId1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</w:pPr>
    <w:r>
      <w:rPr>
        <w:rFonts w:ascii="Tahoma" w:hAnsi="Tahoma"/>
        <w:color w:val="6B6B6B"/>
        <w:sz w:val="14"/>
      </w:rPr>
      <w:t>Lorma Colleges – College of Computer Studies and Engineering | BS Information Technology Capstone Project</w:t>
    </w:r>
    <w:r>
      <w:tab/>
    </w:r>
    <w:r>
      <w:rPr>
        <w:rFonts w:ascii="Tahoma" w:hAnsi="Tahoma"/>
        <w:color w:val="6B6B6B"/>
        <w:sz w:val="14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6B6B6B"/>
        <w:sz w:val="14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Tahoma" w:hAnsi="Tahom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