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080"/>
      </w:tblGrid>
      <w:tr>
        <w:tc>
          <w:tcPr>
            <w:tcW w:type="dxa" w:w="10080"/>
            <w:shd w:val="clear" w:color="auto" w:fill="5C0E24"/>
          </w:tcPr>
          <w:p>
            <w:pPr>
              <w:spacing w:before="120" w:after="40"/>
              <w:jc w:val="center"/>
            </w:pPr>
            <w:r>
              <w:rPr>
                <w:rFonts w:ascii="Tahoma" w:hAnsi="Tahoma"/>
                <w:b/>
                <w:color w:val="FFFFFF"/>
                <w:sz w:val="32"/>
              </w:rPr>
              <w:t>SmartSpend — Financial Health Score (FHS)</w:t>
            </w:r>
          </w:p>
          <w:p>
            <w:pPr>
              <w:spacing w:before="0" w:after="120"/>
              <w:jc w:val="center"/>
            </w:pPr>
            <w:r>
              <w:rPr>
                <w:rFonts w:ascii="Tahoma" w:hAnsi="Tahoma"/>
                <w:i/>
                <w:color w:val="FFFFCC"/>
                <w:sz w:val="19"/>
              </w:rPr>
              <w:t>What It Is · How It Is Computed · Why It Matters</w:t>
              <w:br/>
              <w:t>Reference Document for Validators, Advisers, and Panel Evaluators</w:t>
              <w:br/>
              <w:t>Lucid Frame | Lorma Colleges CCSE BSIT | AY 2026–2027</w:t>
            </w:r>
          </w:p>
        </w:tc>
      </w:tr>
    </w:tbl>
    <w:p>
      <w:pPr>
        <w:spacing w:after="80"/>
      </w:pPr>
    </w:p>
    <w:tbl>
      <w:tblPr>
        <w:tblLook w:firstColumn="1" w:firstRow="1" w:lastColumn="0" w:lastRow="0" w:noHBand="0" w:noVBand="1" w:val="04A0"/>
        <w:tblW w:w="10224" w:type="dxa"/>
        <w:tblBorders>
          <w:top w:val="single" w:sz="4" w:space="0" w:color="5C0E24"/>
          <w:left w:val="single" w:sz="4" w:space="0" w:color="5C0E24"/>
          <w:bottom w:val="single" w:sz="4" w:space="0" w:color="5C0E24"/>
          <w:right w:val="single" w:sz="4" w:space="0" w:color="5C0E24"/>
          <w:insideH w:val="single" w:sz="4" w:space="0" w:color="5C0E24"/>
          <w:insideV w:val="single" w:sz="4" w:space="0" w:color="5C0E24"/>
        </w:tblBorders>
      </w:tblPr>
      <w:tblGrid>
        <w:gridCol w:w="10080"/>
      </w:tblGrid>
      <w:tr>
        <w:tc>
          <w:tcPr>
            <w:tcW w:type="dxa" w:w="10080"/>
            <w:shd w:val="clear" w:color="auto" w:fill="FFF3F5"/>
          </w:tcPr>
          <w:p>
            <w:pPr>
              <w:spacing w:before="100" w:after="100"/>
              <w:jc w:val="left"/>
            </w:pPr>
            <w:r>
              <w:rPr>
                <w:rFonts w:ascii="Tahoma" w:hAnsi="Tahoma"/>
                <w:b w:val="0"/>
                <w:color w:val="5C0E24"/>
                <w:sz w:val="19"/>
              </w:rPr>
              <w:t>📋  WHO THIS IS FOR</w:t>
              <w:br/>
              <w:t>This document is written for the expert validator, thesis adviser, and panel evaluators who need to understand — in plain terms — what the Financial Health Score is, what formula it uses, where that formula came from, and why it is relevant to Filipino users. No programming knowledge is required to read this document.</w:t>
            </w:r>
          </w:p>
        </w:tc>
      </w:tr>
    </w:tbl>
    <w:p>
      <w:pPr>
        <w:spacing w:after="60"/>
      </w:pPr>
    </w:p>
    <w:p>
      <w:pPr>
        <w:spacing w:before="200" w:after="40"/>
      </w:pPr>
      <w:r>
        <w:rPr>
          <w:rFonts w:ascii="Tahoma" w:hAnsi="Tahoma"/>
          <w:b/>
          <w:color w:val="5C0E24"/>
          <w:sz w:val="24"/>
        </w:rPr>
        <w:t>1.  What Is the Financial Health Score — In Plain Words</w:t>
      </w:r>
    </w:p>
    <w:p>
      <w:pPr>
        <w:spacing w:before="0" w:after="60"/>
      </w:pPr>
      <w:r>
        <w:rPr>
          <w:rFonts w:ascii="Tahoma" w:hAnsi="Tahoma"/>
          <w:b w:val="0"/>
          <w:i w:val="0"/>
          <w:color w:val="222222"/>
          <w:sz w:val="19"/>
        </w:rPr>
        <w:t>Think of the Financial Health Score (FHS) as a monthly report card for your money habits. It gives you a single number from 0 to 100 that answers the question: "How well am I managing my money this month?"</w:t>
      </w:r>
    </w:p>
    <w:p>
      <w:pPr>
        <w:spacing w:before="40" w:after="60"/>
      </w:pPr>
      <w:r>
        <w:rPr>
          <w:rFonts w:ascii="Tahoma" w:hAnsi="Tahoma"/>
          <w:b w:val="0"/>
          <w:i w:val="0"/>
          <w:color w:val="222222"/>
          <w:sz w:val="19"/>
        </w:rPr>
        <w:t>The higher the number, the healthier your financial behavior. It is calculated automatically from what you actually do — how much you spend, how often you log expenses, and whether you stay within your budgets. You do not fill out a questionnaire. The app computes it from your real transaction data.</w:t>
      </w:r>
    </w:p>
    <w:tbl>
      <w:tblPr>
        <w:tblLook w:firstColumn="1" w:firstRow="1" w:lastColumn="0" w:lastRow="0" w:noHBand="0" w:noVBand="1" w:val="04A0"/>
        <w:tblW w:w="10224" w:type="dxa"/>
        <w:jc w:val="lef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360"/>
        <w:gridCol w:w="3360"/>
        <w:gridCol w:w="3360"/>
      </w:tblGrid>
      <w:tr>
        <w:tc>
          <w:tcPr>
            <w:tcW w:w="900" w:type="dxa"/>
            <w:shd w:val="clear" w:color="auto" w:fill="5C0E24"/>
          </w:tcPr>
          <w:p>
            <w:pPr>
              <w:spacing w:before="60" w:after="60"/>
              <w:jc w:val="center"/>
            </w:pPr>
            <w:r>
              <w:rPr>
                <w:rFonts w:ascii="Tahoma" w:hAnsi="Tahoma"/>
                <w:b/>
                <w:color w:val="FFFFFF"/>
                <w:sz w:val="18"/>
              </w:rPr>
              <w:t>Score</w:t>
            </w:r>
          </w:p>
        </w:tc>
        <w:tc>
          <w:tcPr>
            <w:tcW w:w="1200" w:type="dxa"/>
            <w:shd w:val="clear" w:color="auto" w:fill="5C0E24"/>
          </w:tcPr>
          <w:p>
            <w:pPr>
              <w:spacing w:before="60" w:after="60"/>
              <w:jc w:val="center"/>
            </w:pPr>
            <w:r>
              <w:rPr>
                <w:rFonts w:ascii="Tahoma" w:hAnsi="Tahoma"/>
                <w:b/>
                <w:color w:val="FFFFFF"/>
                <w:sz w:val="18"/>
              </w:rPr>
              <w:t>Label</w:t>
            </w:r>
          </w:p>
        </w:tc>
        <w:tc>
          <w:tcPr>
            <w:tcW w:w="8124" w:type="dxa"/>
            <w:shd w:val="clear" w:color="auto" w:fill="5C0E24"/>
          </w:tcPr>
          <w:p>
            <w:pPr>
              <w:spacing w:before="60" w:after="60"/>
              <w:jc w:val="center"/>
            </w:pPr>
            <w:r>
              <w:rPr>
                <w:rFonts w:ascii="Tahoma" w:hAnsi="Tahoma"/>
                <w:b/>
                <w:color w:val="FFFFFF"/>
                <w:sz w:val="18"/>
              </w:rPr>
              <w:t>What It Means in Plain Terms</w:t>
            </w:r>
          </w:p>
        </w:tc>
      </w:tr>
      <w:tr>
        <w:tc>
          <w:tcPr>
            <w:tcW w:w="900" w:type="dxa"/>
            <w:shd w:val="clear" w:color="auto" w:fill="FFFFFF"/>
          </w:tcPr>
          <w:p>
            <w:pPr>
              <w:spacing w:before="60" w:after="60"/>
              <w:jc w:val="left"/>
            </w:pPr>
            <w:r>
              <w:rPr>
                <w:rFonts w:ascii="Tahoma" w:hAnsi="Tahoma"/>
                <w:color w:val="222222"/>
                <w:sz w:val="19"/>
              </w:rPr>
              <w:t>90–100</w:t>
            </w:r>
          </w:p>
        </w:tc>
        <w:tc>
          <w:tcPr>
            <w:tcW w:w="1200" w:type="dxa"/>
            <w:shd w:val="clear" w:color="auto" w:fill="FFFFFF"/>
          </w:tcPr>
          <w:p>
            <w:pPr>
              <w:spacing w:before="60" w:after="60"/>
              <w:jc w:val="left"/>
            </w:pPr>
            <w:r>
              <w:rPr>
                <w:rFonts w:ascii="Tahoma" w:hAnsi="Tahoma"/>
                <w:color w:val="222222"/>
                <w:sz w:val="19"/>
              </w:rPr>
              <w:t>👑 Excellent</w:t>
            </w:r>
          </w:p>
        </w:tc>
        <w:tc>
          <w:tcPr>
            <w:tcW w:w="8124" w:type="dxa"/>
            <w:shd w:val="clear" w:color="auto" w:fill="FFFFFF"/>
          </w:tcPr>
          <w:p>
            <w:pPr>
              <w:spacing w:before="60" w:after="60"/>
              <w:jc w:val="left"/>
            </w:pPr>
            <w:r>
              <w:rPr>
                <w:rFonts w:ascii="Tahoma" w:hAnsi="Tahoma"/>
                <w:color w:val="222222"/>
                <w:sz w:val="19"/>
              </w:rPr>
              <w:t>Saving more than 20% of income, staying within budget every day, all category limits on track, logging expenses daily. Exceptional habits.</w:t>
            </w:r>
          </w:p>
        </w:tc>
      </w:tr>
      <w:tr>
        <w:tc>
          <w:tcPr>
            <w:tcW w:w="900" w:type="dxa"/>
            <w:shd w:val="clear" w:color="auto" w:fill="F5F5F5"/>
          </w:tcPr>
          <w:p>
            <w:pPr>
              <w:spacing w:before="60" w:after="60"/>
              <w:jc w:val="left"/>
            </w:pPr>
            <w:r>
              <w:rPr>
                <w:rFonts w:ascii="Tahoma" w:hAnsi="Tahoma"/>
                <w:color w:val="222222"/>
                <w:sz w:val="19"/>
              </w:rPr>
              <w:t>80–89</w:t>
            </w:r>
          </w:p>
        </w:tc>
        <w:tc>
          <w:tcPr>
            <w:tcW w:w="1200" w:type="dxa"/>
            <w:shd w:val="clear" w:color="auto" w:fill="F5F5F5"/>
          </w:tcPr>
          <w:p>
            <w:pPr>
              <w:spacing w:before="60" w:after="60"/>
              <w:jc w:val="left"/>
            </w:pPr>
            <w:r>
              <w:rPr>
                <w:rFonts w:ascii="Tahoma" w:hAnsi="Tahoma"/>
                <w:color w:val="222222"/>
                <w:sz w:val="19"/>
              </w:rPr>
              <w:t>🏆 Great</w:t>
            </w:r>
          </w:p>
        </w:tc>
        <w:tc>
          <w:tcPr>
            <w:tcW w:w="8124" w:type="dxa"/>
            <w:shd w:val="clear" w:color="auto" w:fill="F5F5F5"/>
          </w:tcPr>
          <w:p>
            <w:pPr>
              <w:spacing w:before="60" w:after="60"/>
              <w:jc w:val="left"/>
            </w:pPr>
            <w:r>
              <w:rPr>
                <w:rFonts w:ascii="Tahoma" w:hAnsi="Tahoma"/>
                <w:color w:val="222222"/>
                <w:sz w:val="19"/>
              </w:rPr>
              <w:t>Strong financial control with only minor gaps. This is the target most personal finance tools consider "good."</w:t>
            </w:r>
          </w:p>
        </w:tc>
      </w:tr>
      <w:tr>
        <w:tc>
          <w:tcPr>
            <w:tcW w:w="900" w:type="dxa"/>
            <w:shd w:val="clear" w:color="auto" w:fill="FFFFFF"/>
          </w:tcPr>
          <w:p>
            <w:pPr>
              <w:spacing w:before="60" w:after="60"/>
              <w:jc w:val="left"/>
            </w:pPr>
            <w:r>
              <w:rPr>
                <w:rFonts w:ascii="Tahoma" w:hAnsi="Tahoma"/>
                <w:color w:val="222222"/>
                <w:sz w:val="19"/>
              </w:rPr>
              <w:t>70–79</w:t>
            </w:r>
          </w:p>
        </w:tc>
        <w:tc>
          <w:tcPr>
            <w:tcW w:w="1200" w:type="dxa"/>
            <w:shd w:val="clear" w:color="auto" w:fill="FFFFFF"/>
          </w:tcPr>
          <w:p>
            <w:pPr>
              <w:spacing w:before="60" w:after="60"/>
              <w:jc w:val="left"/>
            </w:pPr>
            <w:r>
              <w:rPr>
                <w:rFonts w:ascii="Tahoma" w:hAnsi="Tahoma"/>
                <w:color w:val="222222"/>
                <w:sz w:val="19"/>
              </w:rPr>
              <w:t>⭐ Good</w:t>
            </w:r>
          </w:p>
        </w:tc>
        <w:tc>
          <w:tcPr>
            <w:tcW w:w="8124" w:type="dxa"/>
            <w:shd w:val="clear" w:color="auto" w:fill="FFFFFF"/>
          </w:tcPr>
          <w:p>
            <w:pPr>
              <w:spacing w:before="60" w:after="60"/>
              <w:jc w:val="left"/>
            </w:pPr>
            <w:r>
              <w:rPr>
                <w:rFonts w:ascii="Tahoma" w:hAnsi="Tahoma"/>
                <w:color w:val="222222"/>
                <w:sz w:val="19"/>
              </w:rPr>
              <w:t>On the right track — at least one area needs a bit more attention (e.g., a few days over the daily budget, or inconsistent logging).</w:t>
            </w:r>
          </w:p>
        </w:tc>
      </w:tr>
      <w:tr>
        <w:tc>
          <w:tcPr>
            <w:tcW w:w="900" w:type="dxa"/>
            <w:shd w:val="clear" w:color="auto" w:fill="F5F5F5"/>
          </w:tcPr>
          <w:p>
            <w:pPr>
              <w:spacing w:before="60" w:after="60"/>
              <w:jc w:val="left"/>
            </w:pPr>
            <w:r>
              <w:rPr>
                <w:rFonts w:ascii="Tahoma" w:hAnsi="Tahoma"/>
                <w:color w:val="222222"/>
                <w:sz w:val="19"/>
              </w:rPr>
              <w:t>60–69</w:t>
            </w:r>
          </w:p>
        </w:tc>
        <w:tc>
          <w:tcPr>
            <w:tcW w:w="1200" w:type="dxa"/>
            <w:shd w:val="clear" w:color="auto" w:fill="F5F5F5"/>
          </w:tcPr>
          <w:p>
            <w:pPr>
              <w:spacing w:before="60" w:after="60"/>
              <w:jc w:val="left"/>
            </w:pPr>
            <w:r>
              <w:rPr>
                <w:rFonts w:ascii="Tahoma" w:hAnsi="Tahoma"/>
                <w:color w:val="222222"/>
                <w:sz w:val="19"/>
              </w:rPr>
              <w:t>🌱 Fair</w:t>
            </w:r>
          </w:p>
        </w:tc>
        <w:tc>
          <w:tcPr>
            <w:tcW w:w="8124" w:type="dxa"/>
            <w:shd w:val="clear" w:color="auto" w:fill="F5F5F5"/>
          </w:tcPr>
          <w:p>
            <w:pPr>
              <w:spacing w:before="60" w:after="60"/>
              <w:jc w:val="left"/>
            </w:pPr>
            <w:r>
              <w:rPr>
                <w:rFonts w:ascii="Tahoma" w:hAnsi="Tahoma"/>
                <w:color w:val="222222"/>
                <w:sz w:val="19"/>
              </w:rPr>
              <w:t>Some good habits in place, but overspending or irregular tracking is pulling the score down. Improvement is possible with small changes.</w:t>
            </w:r>
          </w:p>
        </w:tc>
      </w:tr>
      <w:tr>
        <w:tc>
          <w:tcPr>
            <w:tcW w:w="900" w:type="dxa"/>
            <w:shd w:val="clear" w:color="auto" w:fill="FFFFFF"/>
          </w:tcPr>
          <w:p>
            <w:pPr>
              <w:spacing w:before="60" w:after="60"/>
              <w:jc w:val="left"/>
            </w:pPr>
            <w:r>
              <w:rPr>
                <w:rFonts w:ascii="Tahoma" w:hAnsi="Tahoma"/>
                <w:color w:val="222222"/>
                <w:sz w:val="19"/>
              </w:rPr>
              <w:t>&lt; 60</w:t>
            </w:r>
          </w:p>
        </w:tc>
        <w:tc>
          <w:tcPr>
            <w:tcW w:w="1200" w:type="dxa"/>
            <w:shd w:val="clear" w:color="auto" w:fill="FFFFFF"/>
          </w:tcPr>
          <w:p>
            <w:pPr>
              <w:spacing w:before="60" w:after="60"/>
              <w:jc w:val="left"/>
            </w:pPr>
            <w:r>
              <w:rPr>
                <w:rFonts w:ascii="Tahoma" w:hAnsi="Tahoma"/>
                <w:color w:val="222222"/>
                <w:sz w:val="19"/>
              </w:rPr>
              <w:t>📉 Needs Work</w:t>
            </w:r>
          </w:p>
        </w:tc>
        <w:tc>
          <w:tcPr>
            <w:tcW w:w="8124" w:type="dxa"/>
            <w:shd w:val="clear" w:color="auto" w:fill="FFFFFF"/>
          </w:tcPr>
          <w:p>
            <w:pPr>
              <w:spacing w:before="60" w:after="60"/>
              <w:jc w:val="left"/>
            </w:pPr>
            <w:r>
              <w:rPr>
                <w:rFonts w:ascii="Tahoma" w:hAnsi="Tahoma"/>
                <w:color w:val="222222"/>
                <w:sz w:val="19"/>
              </w:rPr>
              <w:t>Core behaviors — saving, logging, and budgeting — need significant development. The app will highlight specifically what to fix.</w:t>
            </w:r>
          </w:p>
        </w:tc>
      </w:tr>
    </w:tbl>
    <w:p>
      <w:pPr>
        <w:spacing w:after="80"/>
      </w:pPr>
    </w:p>
    <w:p>
      <w:pPr>
        <w:spacing w:before="200" w:after="40"/>
      </w:pPr>
      <w:r>
        <w:rPr>
          <w:rFonts w:ascii="Tahoma" w:hAnsi="Tahoma"/>
          <w:b/>
          <w:color w:val="5C0E24"/>
          <w:sz w:val="24"/>
        </w:rPr>
        <w:t>2.  How Is This Different From a Financial Survey?</w:t>
      </w:r>
    </w:p>
    <w:p>
      <w:pPr>
        <w:spacing w:before="0" w:after="60"/>
      </w:pPr>
      <w:r>
        <w:rPr>
          <w:rFonts w:ascii="Tahoma" w:hAnsi="Tahoma"/>
          <w:b w:val="0"/>
          <w:i w:val="0"/>
          <w:color w:val="222222"/>
          <w:sz w:val="19"/>
        </w:rPr>
        <w:t>Most financial health tools ask you questions like "Do you feel financially secure?" or "Are you worried about money?" — then score your answers. These are called psychometric surveys.</w:t>
      </w:r>
    </w:p>
    <w:p>
      <w:pPr>
        <w:spacing w:before="40" w:after="60"/>
      </w:pPr>
      <w:r>
        <w:rPr>
          <w:rFonts w:ascii="Tahoma" w:hAnsi="Tahoma"/>
          <w:b w:val="0"/>
          <w:i w:val="0"/>
          <w:color w:val="222222"/>
          <w:sz w:val="19"/>
        </w:rPr>
        <w:t>SmartSpend's FHS does not ask how you feel. It watches what you actually do and computes a score from that. This is called an Observed Financial Health Indicator (FHI) — a term from the Commonwealth Bank of Australia and Melbourne Institute (CBA-MI, 2018) research framework.</w:t>
      </w:r>
    </w:p>
    <w:tbl>
      <w:tblPr>
        <w:tblLook w:firstColumn="1" w:firstRow="1" w:lastColumn="0" w:lastRow="0" w:noHBand="0" w:noVBand="1" w:val="04A0"/>
        <w:tblW w:w="10224" w:type="dxa"/>
        <w:jc w:val="lef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360"/>
        <w:gridCol w:w="3360"/>
        <w:gridCol w:w="3360"/>
      </w:tblGrid>
      <w:tr>
        <w:tc>
          <w:tcPr>
            <w:tcW w:w="2000" w:type="dxa"/>
            <w:shd w:val="clear" w:color="auto" w:fill="5C0E24"/>
          </w:tcPr>
          <w:p>
            <w:pPr>
              <w:spacing w:before="60" w:after="60"/>
              <w:jc w:val="center"/>
            </w:pPr>
            <w:r>
              <w:rPr>
                <w:rFonts w:ascii="Tahoma" w:hAnsi="Tahoma"/>
                <w:b/>
                <w:color w:val="FFFFFF"/>
                <w:sz w:val="18"/>
              </w:rPr>
            </w:r>
          </w:p>
        </w:tc>
        <w:tc>
          <w:tcPr>
            <w:tcW w:w="4100" w:type="dxa"/>
            <w:shd w:val="clear" w:color="auto" w:fill="5C0E24"/>
          </w:tcPr>
          <w:p>
            <w:pPr>
              <w:spacing w:before="60" w:after="60"/>
              <w:jc w:val="center"/>
            </w:pPr>
            <w:r>
              <w:rPr>
                <w:rFonts w:ascii="Tahoma" w:hAnsi="Tahoma"/>
                <w:b/>
                <w:color w:val="FFFFFF"/>
                <w:sz w:val="18"/>
              </w:rPr>
              <w:t>Psychometric Survey</w:t>
              <w:br/>
              <w:t>(e.g., CFPB 10-item scale)</w:t>
            </w:r>
          </w:p>
        </w:tc>
        <w:tc>
          <w:tcPr>
            <w:tcW w:w="4124" w:type="dxa"/>
            <w:shd w:val="clear" w:color="auto" w:fill="5C0E24"/>
          </w:tcPr>
          <w:p>
            <w:pPr>
              <w:spacing w:before="60" w:after="60"/>
              <w:jc w:val="center"/>
            </w:pPr>
            <w:r>
              <w:rPr>
                <w:rFonts w:ascii="Tahoma" w:hAnsi="Tahoma"/>
                <w:b/>
                <w:color w:val="FFFFFF"/>
                <w:sz w:val="18"/>
              </w:rPr>
              <w:t>SmartSpend FHS</w:t>
              <w:br/>
              <w:t>(Observed FHI)</w:t>
            </w:r>
          </w:p>
        </w:tc>
      </w:tr>
      <w:tr>
        <w:tc>
          <w:tcPr>
            <w:tcW w:w="2000" w:type="dxa"/>
            <w:shd w:val="clear" w:color="auto" w:fill="FFFFFF"/>
          </w:tcPr>
          <w:p>
            <w:pPr>
              <w:spacing w:before="60" w:after="60"/>
              <w:jc w:val="left"/>
            </w:pPr>
            <w:r>
              <w:rPr>
                <w:rFonts w:ascii="Tahoma" w:hAnsi="Tahoma"/>
                <w:color w:val="222222"/>
                <w:sz w:val="18"/>
              </w:rPr>
              <w:t>What it measures</w:t>
            </w:r>
          </w:p>
        </w:tc>
        <w:tc>
          <w:tcPr>
            <w:tcW w:w="4100" w:type="dxa"/>
            <w:shd w:val="clear" w:color="auto" w:fill="FFFFFF"/>
          </w:tcPr>
          <w:p>
            <w:pPr>
              <w:spacing w:before="60" w:after="60"/>
              <w:jc w:val="left"/>
            </w:pPr>
            <w:r>
              <w:rPr>
                <w:rFonts w:ascii="Tahoma" w:hAnsi="Tahoma"/>
                <w:color w:val="222222"/>
                <w:sz w:val="18"/>
              </w:rPr>
              <w:t>How you feel about your finances — perceived security, financial anxiety, freedom of choice.</w:t>
            </w:r>
          </w:p>
        </w:tc>
        <w:tc>
          <w:tcPr>
            <w:tcW w:w="4124" w:type="dxa"/>
            <w:shd w:val="clear" w:color="auto" w:fill="FFFFFF"/>
          </w:tcPr>
          <w:p>
            <w:pPr>
              <w:spacing w:before="60" w:after="60"/>
              <w:jc w:val="left"/>
            </w:pPr>
            <w:r>
              <w:rPr>
                <w:rFonts w:ascii="Tahoma" w:hAnsi="Tahoma"/>
                <w:color w:val="222222"/>
                <w:sz w:val="18"/>
              </w:rPr>
              <w:t>What you actually do — spending patterns, savings rate, budget compliance, consistency.</w:t>
            </w:r>
          </w:p>
        </w:tc>
      </w:tr>
      <w:tr>
        <w:tc>
          <w:tcPr>
            <w:tcW w:w="2000" w:type="dxa"/>
            <w:shd w:val="clear" w:color="auto" w:fill="F5F5F5"/>
          </w:tcPr>
          <w:p>
            <w:pPr>
              <w:spacing w:before="60" w:after="60"/>
              <w:jc w:val="left"/>
            </w:pPr>
            <w:r>
              <w:rPr>
                <w:rFonts w:ascii="Tahoma" w:hAnsi="Tahoma"/>
                <w:color w:val="222222"/>
                <w:sz w:val="18"/>
              </w:rPr>
              <w:t>How it is collected</w:t>
            </w:r>
          </w:p>
        </w:tc>
        <w:tc>
          <w:tcPr>
            <w:tcW w:w="4100" w:type="dxa"/>
            <w:shd w:val="clear" w:color="auto" w:fill="F5F5F5"/>
          </w:tcPr>
          <w:p>
            <w:pPr>
              <w:spacing w:before="60" w:after="60"/>
              <w:jc w:val="left"/>
            </w:pPr>
            <w:r>
              <w:rPr>
                <w:rFonts w:ascii="Tahoma" w:hAnsi="Tahoma"/>
                <w:color w:val="222222"/>
                <w:sz w:val="18"/>
              </w:rPr>
              <w:t>You answer 10 questions on a scale of 1–5. Subjective.</w:t>
            </w:r>
          </w:p>
        </w:tc>
        <w:tc>
          <w:tcPr>
            <w:tcW w:w="4124" w:type="dxa"/>
            <w:shd w:val="clear" w:color="auto" w:fill="F5F5F5"/>
          </w:tcPr>
          <w:p>
            <w:pPr>
              <w:spacing w:before="60" w:after="60"/>
              <w:jc w:val="left"/>
            </w:pPr>
            <w:r>
              <w:rPr>
                <w:rFonts w:ascii="Tahoma" w:hAnsi="Tahoma"/>
                <w:color w:val="222222"/>
                <w:sz w:val="18"/>
              </w:rPr>
              <w:t>The app reads your transaction records. Objective and automatic.</w:t>
            </w:r>
          </w:p>
        </w:tc>
      </w:tr>
      <w:tr>
        <w:tc>
          <w:tcPr>
            <w:tcW w:w="2000" w:type="dxa"/>
            <w:shd w:val="clear" w:color="auto" w:fill="FFFFFF"/>
          </w:tcPr>
          <w:p>
            <w:pPr>
              <w:spacing w:before="60" w:after="60"/>
              <w:jc w:val="left"/>
            </w:pPr>
            <w:r>
              <w:rPr>
                <w:rFonts w:ascii="Tahoma" w:hAnsi="Tahoma"/>
                <w:color w:val="222222"/>
                <w:sz w:val="18"/>
              </w:rPr>
              <w:t>Can it be faked?</w:t>
            </w:r>
          </w:p>
        </w:tc>
        <w:tc>
          <w:tcPr>
            <w:tcW w:w="4100" w:type="dxa"/>
            <w:shd w:val="clear" w:color="auto" w:fill="FFFFFF"/>
          </w:tcPr>
          <w:p>
            <w:pPr>
              <w:spacing w:before="60" w:after="60"/>
              <w:jc w:val="left"/>
            </w:pPr>
            <w:r>
              <w:rPr>
                <w:rFonts w:ascii="Tahoma" w:hAnsi="Tahoma"/>
                <w:color w:val="222222"/>
                <w:sz w:val="18"/>
              </w:rPr>
              <w:t>Yes — a person can answer optimistically even if their habits are poor.</w:t>
            </w:r>
          </w:p>
        </w:tc>
        <w:tc>
          <w:tcPr>
            <w:tcW w:w="4124" w:type="dxa"/>
            <w:shd w:val="clear" w:color="auto" w:fill="FFFFFF"/>
          </w:tcPr>
          <w:p>
            <w:pPr>
              <w:spacing w:before="60" w:after="60"/>
              <w:jc w:val="left"/>
            </w:pPr>
            <w:r>
              <w:rPr>
                <w:rFonts w:ascii="Tahoma" w:hAnsi="Tahoma"/>
                <w:color w:val="222222"/>
                <w:sz w:val="18"/>
              </w:rPr>
              <w:t>No — it is computed from real logged expenses. Cannot be self-reported.</w:t>
            </w:r>
          </w:p>
        </w:tc>
      </w:tr>
      <w:tr>
        <w:tc>
          <w:tcPr>
            <w:tcW w:w="2000" w:type="dxa"/>
            <w:shd w:val="clear" w:color="auto" w:fill="F5F5F5"/>
          </w:tcPr>
          <w:p>
            <w:pPr>
              <w:spacing w:before="60" w:after="60"/>
              <w:jc w:val="left"/>
            </w:pPr>
            <w:r>
              <w:rPr>
                <w:rFonts w:ascii="Tahoma" w:hAnsi="Tahoma"/>
                <w:color w:val="222222"/>
                <w:sz w:val="18"/>
              </w:rPr>
              <w:t>Who uses this approach</w:t>
            </w:r>
          </w:p>
        </w:tc>
        <w:tc>
          <w:tcPr>
            <w:tcW w:w="4100" w:type="dxa"/>
            <w:shd w:val="clear" w:color="auto" w:fill="F5F5F5"/>
          </w:tcPr>
          <w:p>
            <w:pPr>
              <w:spacing w:before="60" w:after="60"/>
              <w:jc w:val="left"/>
            </w:pPr>
            <w:r>
              <w:rPr>
                <w:rFonts w:ascii="Tahoma" w:hAnsi="Tahoma"/>
                <w:color w:val="222222"/>
                <w:sz w:val="18"/>
              </w:rPr>
              <w:t>Academic research, financial well-being studies.</w:t>
            </w:r>
          </w:p>
        </w:tc>
        <w:tc>
          <w:tcPr>
            <w:tcW w:w="4124" w:type="dxa"/>
            <w:shd w:val="clear" w:color="auto" w:fill="F5F5F5"/>
          </w:tcPr>
          <w:p>
            <w:pPr>
              <w:spacing w:before="60" w:after="60"/>
              <w:jc w:val="left"/>
            </w:pPr>
            <w:r>
              <w:rPr>
                <w:rFonts w:ascii="Tahoma" w:hAnsi="Tahoma"/>
                <w:color w:val="222222"/>
                <w:sz w:val="18"/>
              </w:rPr>
              <w:t>Mobile financial apps, bank-administered financial resilience trackers.</w:t>
            </w:r>
          </w:p>
        </w:tc>
      </w:tr>
      <w:tr>
        <w:tc>
          <w:tcPr>
            <w:tcW w:w="2000" w:type="dxa"/>
            <w:shd w:val="clear" w:color="auto" w:fill="FFFFFF"/>
          </w:tcPr>
          <w:p>
            <w:pPr>
              <w:spacing w:before="60" w:after="60"/>
              <w:jc w:val="left"/>
            </w:pPr>
            <w:r>
              <w:rPr>
                <w:rFonts w:ascii="Tahoma" w:hAnsi="Tahoma"/>
                <w:color w:val="222222"/>
                <w:sz w:val="18"/>
              </w:rPr>
              <w:t>SmartSpend's use</w:t>
            </w:r>
          </w:p>
        </w:tc>
        <w:tc>
          <w:tcPr>
            <w:tcW w:w="4100" w:type="dxa"/>
            <w:shd w:val="clear" w:color="auto" w:fill="FFFFFF"/>
          </w:tcPr>
          <w:p>
            <w:pPr>
              <w:spacing w:before="60" w:after="60"/>
              <w:jc w:val="left"/>
            </w:pPr>
            <w:r>
              <w:rPr>
                <w:rFonts w:ascii="Tahoma" w:hAnsi="Tahoma"/>
                <w:color w:val="222222"/>
                <w:sz w:val="18"/>
              </w:rPr>
              <w:t>The CFPB scale defines what "financial well-being" means (0–100 range).</w:t>
            </w:r>
          </w:p>
        </w:tc>
        <w:tc>
          <w:tcPr>
            <w:tcW w:w="4124" w:type="dxa"/>
            <w:shd w:val="clear" w:color="auto" w:fill="FFFFFF"/>
          </w:tcPr>
          <w:p>
            <w:pPr>
              <w:spacing w:before="60" w:after="60"/>
              <w:jc w:val="left"/>
            </w:pPr>
            <w:r>
              <w:rPr>
                <w:rFonts w:ascii="Tahoma" w:hAnsi="Tahoma"/>
                <w:color w:val="222222"/>
                <w:sz w:val="18"/>
              </w:rPr>
              <w:t>SmartSpend's FHS uses this approach exclusively.</w:t>
            </w:r>
          </w:p>
        </w:tc>
      </w:tr>
    </w:tbl>
    <w:p>
      <w:pPr>
        <w:spacing w:after="80"/>
      </w:pPr>
    </w:p>
    <w:tbl>
      <w:tblPr>
        <w:tblLook w:firstColumn="1" w:firstRow="1" w:lastColumn="0" w:lastRow="0" w:noHBand="0" w:noVBand="1" w:val="04A0"/>
        <w:tblW w:w="10224" w:type="dxa"/>
        <w:tblBorders>
          <w:top w:val="single" w:sz="4" w:space="0" w:color="1A3A6B"/>
          <w:left w:val="single" w:sz="4" w:space="0" w:color="1A3A6B"/>
          <w:bottom w:val="single" w:sz="4" w:space="0" w:color="1A3A6B"/>
          <w:right w:val="single" w:sz="4" w:space="0" w:color="1A3A6B"/>
          <w:insideH w:val="single" w:sz="4" w:space="0" w:color="1A3A6B"/>
          <w:insideV w:val="single" w:sz="4" w:space="0" w:color="1A3A6B"/>
        </w:tblBorders>
      </w:tblPr>
      <w:tblGrid>
        <w:gridCol w:w="10080"/>
      </w:tblGrid>
      <w:tr>
        <w:tc>
          <w:tcPr>
            <w:tcW w:type="dxa" w:w="10080"/>
            <w:shd w:val="clear" w:color="auto" w:fill="EEF4FF"/>
          </w:tcPr>
          <w:p>
            <w:pPr>
              <w:spacing w:before="100" w:after="100"/>
              <w:jc w:val="left"/>
            </w:pPr>
            <w:r>
              <w:rPr>
                <w:rFonts w:ascii="Tahoma" w:hAnsi="Tahoma"/>
                <w:b/>
                <w:color w:val="1A3A6B"/>
                <w:sz w:val="19"/>
              </w:rPr>
              <w:t>🔑  IMPORTANT FOR VALIDATORS</w:t>
              <w:br/>
              <w:t>SmartSpend does NOT claim that the CFPB psychometric survey validates its formula. The CFPB scale provides the definitional concept of financial well-being (0–100 range). SmartSpend's FHS is a separate, transaction-based computation — a Prototype Observed FHI per CBA-MI (2018) and UNSGSA (2021).</w:t>
            </w:r>
          </w:p>
        </w:tc>
      </w:tr>
    </w:tbl>
    <w:p>
      <w:pPr>
        <w:spacing w:after="60"/>
      </w:pPr>
    </w:p>
    <w:p>
      <w:pPr>
        <w:spacing w:before="200" w:after="40"/>
      </w:pPr>
      <w:r>
        <w:rPr>
          <w:rFonts w:ascii="Tahoma" w:hAnsi="Tahoma"/>
          <w:b/>
          <w:color w:val="5C0E24"/>
          <w:sz w:val="24"/>
        </w:rPr>
        <w:t>3.  The Formula — Explained Simply</w:t>
      </w:r>
    </w:p>
    <w:p>
      <w:pPr>
        <w:spacing w:before="0" w:after="60"/>
      </w:pPr>
      <w:r>
        <w:rPr>
          <w:rFonts w:ascii="Tahoma" w:hAnsi="Tahoma"/>
          <w:b w:val="0"/>
          <w:i w:val="0"/>
          <w:color w:val="222222"/>
          <w:sz w:val="19"/>
        </w:rPr>
        <w:t>The score is made of 4 parts. Each part is worth up to 25 points. Add them all together and you get a number from 0 to 100. SmartSpend has two versions of the formula depending on whether the user tracks their income or not.</w:t>
      </w:r>
    </w:p>
    <w:p>
      <w:pPr>
        <w:spacing w:before="160" w:after="40"/>
      </w:pPr>
      <w:r>
        <w:rPr>
          <w:rFonts w:ascii="Tahoma" w:hAnsi="Tahoma"/>
          <w:b/>
          <w:i w:val="0"/>
          <w:color w:val="1A3A6B"/>
          <w:sz w:val="19"/>
        </w:rPr>
        <w:t>VERSION 1 — Full Mode  (for users who enter their monthly income)</w:t>
      </w:r>
    </w:p>
    <w:tbl>
      <w:tblPr>
        <w:tblLook w:firstColumn="1" w:firstRow="1" w:lastColumn="0" w:lastRow="0" w:noHBand="0" w:noVBand="1" w:val="04A0"/>
        <w:tblW w:w="10224" w:type="dxa"/>
        <w:jc w:val="lef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520"/>
        <w:gridCol w:w="2520"/>
        <w:gridCol w:w="2520"/>
        <w:gridCol w:w="2520"/>
      </w:tblGrid>
      <w:tr>
        <w:tc>
          <w:tcPr>
            <w:tcW w:w="1500" w:type="dxa"/>
            <w:shd w:val="clear" w:color="auto" w:fill="1A3A6B"/>
          </w:tcPr>
          <w:p>
            <w:pPr>
              <w:spacing w:before="60" w:after="60"/>
              <w:jc w:val="center"/>
            </w:pPr>
            <w:r>
              <w:rPr>
                <w:rFonts w:ascii="Tahoma" w:hAnsi="Tahoma"/>
                <w:b/>
                <w:color w:val="FFFFFF"/>
                <w:sz w:val="18"/>
              </w:rPr>
              <w:t>Component</w:t>
            </w:r>
          </w:p>
        </w:tc>
        <w:tc>
          <w:tcPr>
            <w:tcW w:w="3600" w:type="dxa"/>
            <w:shd w:val="clear" w:color="auto" w:fill="1A3A6B"/>
          </w:tcPr>
          <w:p>
            <w:pPr>
              <w:spacing w:before="60" w:after="60"/>
              <w:jc w:val="center"/>
            </w:pPr>
            <w:r>
              <w:rPr>
                <w:rFonts w:ascii="Tahoma" w:hAnsi="Tahoma"/>
                <w:b/>
                <w:color w:val="FFFFFF"/>
                <w:sz w:val="18"/>
              </w:rPr>
              <w:t>Simple Question It Answers</w:t>
            </w:r>
          </w:p>
        </w:tc>
        <w:tc>
          <w:tcPr>
            <w:tcW w:w="3400" w:type="dxa"/>
            <w:shd w:val="clear" w:color="auto" w:fill="1A3A6B"/>
          </w:tcPr>
          <w:p>
            <w:pPr>
              <w:spacing w:before="60" w:after="60"/>
              <w:jc w:val="center"/>
            </w:pPr>
            <w:r>
              <w:rPr>
                <w:rFonts w:ascii="Tahoma" w:hAnsi="Tahoma"/>
                <w:b/>
                <w:color w:val="FFFFFF"/>
                <w:sz w:val="18"/>
              </w:rPr>
              <w:t>Full Score When…</w:t>
            </w:r>
          </w:p>
        </w:tc>
        <w:tc>
          <w:tcPr>
            <w:tcW w:w="1200" w:type="dxa"/>
            <w:shd w:val="clear" w:color="auto" w:fill="1A3A6B"/>
          </w:tcPr>
          <w:p>
            <w:pPr>
              <w:spacing w:before="60" w:after="60"/>
              <w:jc w:val="center"/>
            </w:pPr>
            <w:r>
              <w:rPr>
                <w:rFonts w:ascii="Tahoma" w:hAnsi="Tahoma"/>
                <w:b/>
                <w:color w:val="FFFFFF"/>
                <w:sz w:val="18"/>
              </w:rPr>
              <w:t>Points</w:t>
            </w:r>
          </w:p>
        </w:tc>
      </w:tr>
      <w:tr>
        <w:tc>
          <w:tcPr>
            <w:tcW w:w="1500" w:type="dxa"/>
            <w:shd w:val="clear" w:color="auto" w:fill="FFFFFF"/>
          </w:tcPr>
          <w:p>
            <w:pPr>
              <w:spacing w:before="60" w:after="60"/>
              <w:jc w:val="left"/>
            </w:pPr>
            <w:r>
              <w:rPr>
                <w:rFonts w:ascii="Tahoma" w:hAnsi="Tahoma"/>
                <w:color w:val="222222"/>
                <w:sz w:val="18"/>
              </w:rPr>
              <w:t>1.  Savings Rate</w:t>
            </w:r>
          </w:p>
        </w:tc>
        <w:tc>
          <w:tcPr>
            <w:tcW w:w="3600" w:type="dxa"/>
            <w:shd w:val="clear" w:color="auto" w:fill="FFFFFF"/>
          </w:tcPr>
          <w:p>
            <w:pPr>
              <w:spacing w:before="60" w:after="60"/>
              <w:jc w:val="left"/>
            </w:pPr>
            <w:r>
              <w:rPr>
                <w:rFonts w:ascii="Tahoma" w:hAnsi="Tahoma"/>
                <w:color w:val="222222"/>
                <w:sz w:val="18"/>
              </w:rPr>
              <w:t>Are you saving at least 20% of your income this month?</w:t>
              <w:br/>
              <w:br/>
              <w:t>Formula: 25 × (how much you saved ÷ 20% of your income)</w:t>
            </w:r>
          </w:p>
        </w:tc>
        <w:tc>
          <w:tcPr>
            <w:tcW w:w="3400" w:type="dxa"/>
            <w:shd w:val="clear" w:color="auto" w:fill="FFFFFF"/>
          </w:tcPr>
          <w:p>
            <w:pPr>
              <w:spacing w:before="60" w:after="60"/>
              <w:jc w:val="left"/>
            </w:pPr>
            <w:r>
              <w:rPr>
                <w:rFonts w:ascii="Tahoma" w:hAnsi="Tahoma"/>
                <w:color w:val="222222"/>
                <w:sz w:val="18"/>
              </w:rPr>
              <w:t>You saved 20% or more of your income.</w:t>
              <w:br/>
              <w:br/>
              <w:t>Example: ₱6,600 income, spent ₱4,000 → saved 39% → full 25 pts.</w:t>
            </w:r>
          </w:p>
        </w:tc>
        <w:tc>
          <w:tcPr>
            <w:tcW w:w="1200" w:type="dxa"/>
            <w:shd w:val="clear" w:color="auto" w:fill="FFFFFF"/>
          </w:tcPr>
          <w:p>
            <w:pPr>
              <w:spacing w:before="60" w:after="60"/>
              <w:jc w:val="left"/>
            </w:pPr>
            <w:r>
              <w:rPr>
                <w:rFonts w:ascii="Tahoma" w:hAnsi="Tahoma"/>
                <w:color w:val="222222"/>
                <w:sz w:val="18"/>
              </w:rPr>
              <w:t>25 pts</w:t>
            </w:r>
          </w:p>
        </w:tc>
      </w:tr>
      <w:tr>
        <w:tc>
          <w:tcPr>
            <w:tcW w:w="1500" w:type="dxa"/>
            <w:shd w:val="clear" w:color="auto" w:fill="F5F5F5"/>
          </w:tcPr>
          <w:p>
            <w:pPr>
              <w:spacing w:before="60" w:after="60"/>
              <w:jc w:val="left"/>
            </w:pPr>
            <w:r>
              <w:rPr>
                <w:rFonts w:ascii="Tahoma" w:hAnsi="Tahoma"/>
                <w:color w:val="222222"/>
                <w:sz w:val="18"/>
              </w:rPr>
              <w:t>2.  Overspend Control</w:t>
            </w:r>
          </w:p>
        </w:tc>
        <w:tc>
          <w:tcPr>
            <w:tcW w:w="3600" w:type="dxa"/>
            <w:shd w:val="clear" w:color="auto" w:fill="F5F5F5"/>
          </w:tcPr>
          <w:p>
            <w:pPr>
              <w:spacing w:before="60" w:after="60"/>
              <w:jc w:val="left"/>
            </w:pPr>
            <w:r>
              <w:rPr>
                <w:rFonts w:ascii="Tahoma" w:hAnsi="Tahoma"/>
                <w:color w:val="222222"/>
                <w:sz w:val="18"/>
              </w:rPr>
              <w:t>How many days this month did you spend more than your daily share of income?</w:t>
              <w:br/>
              <w:br/>
              <w:t>Formula: 25 × (days within budget ÷ total days this month)</w:t>
            </w:r>
          </w:p>
        </w:tc>
        <w:tc>
          <w:tcPr>
            <w:tcW w:w="3400" w:type="dxa"/>
            <w:shd w:val="clear" w:color="auto" w:fill="F5F5F5"/>
          </w:tcPr>
          <w:p>
            <w:pPr>
              <w:spacing w:before="60" w:after="60"/>
              <w:jc w:val="left"/>
            </w:pPr>
            <w:r>
              <w:rPr>
                <w:rFonts w:ascii="Tahoma" w:hAnsi="Tahoma"/>
                <w:color w:val="222222"/>
                <w:sz w:val="18"/>
              </w:rPr>
              <w:t>No single day went over your daily budget.</w:t>
              <w:br/>
              <w:br/>
              <w:t>Example: Only 2 of 10 days exceeded budget → 20 pts.</w:t>
            </w:r>
          </w:p>
        </w:tc>
        <w:tc>
          <w:tcPr>
            <w:tcW w:w="1200" w:type="dxa"/>
            <w:shd w:val="clear" w:color="auto" w:fill="F5F5F5"/>
          </w:tcPr>
          <w:p>
            <w:pPr>
              <w:spacing w:before="60" w:after="60"/>
              <w:jc w:val="left"/>
            </w:pPr>
            <w:r>
              <w:rPr>
                <w:rFonts w:ascii="Tahoma" w:hAnsi="Tahoma"/>
                <w:color w:val="222222"/>
                <w:sz w:val="18"/>
              </w:rPr>
              <w:t>25 pts</w:t>
            </w:r>
          </w:p>
        </w:tc>
      </w:tr>
      <w:tr>
        <w:tc>
          <w:tcPr>
            <w:tcW w:w="1500" w:type="dxa"/>
            <w:shd w:val="clear" w:color="auto" w:fill="FFFFFF"/>
          </w:tcPr>
          <w:p>
            <w:pPr>
              <w:spacing w:before="60" w:after="60"/>
              <w:jc w:val="left"/>
            </w:pPr>
            <w:r>
              <w:rPr>
                <w:rFonts w:ascii="Tahoma" w:hAnsi="Tahoma"/>
                <w:color w:val="222222"/>
                <w:sz w:val="18"/>
              </w:rPr>
              <w:t>3.  Budget Adherence</w:t>
            </w:r>
          </w:p>
        </w:tc>
        <w:tc>
          <w:tcPr>
            <w:tcW w:w="3600" w:type="dxa"/>
            <w:shd w:val="clear" w:color="auto" w:fill="FFFFFF"/>
          </w:tcPr>
          <w:p>
            <w:pPr>
              <w:spacing w:before="60" w:after="60"/>
              <w:jc w:val="left"/>
            </w:pPr>
            <w:r>
              <w:rPr>
                <w:rFonts w:ascii="Tahoma" w:hAnsi="Tahoma"/>
                <w:color w:val="222222"/>
                <w:sz w:val="18"/>
              </w:rPr>
              <w:t>Are most of your spending categories still within their set limits?</w:t>
              <w:br/>
              <w:br/>
              <w:t>Formula: 25 × (categories on track ÷ total categories with a budget)</w:t>
            </w:r>
          </w:p>
        </w:tc>
        <w:tc>
          <w:tcPr>
            <w:tcW w:w="3400" w:type="dxa"/>
            <w:shd w:val="clear" w:color="auto" w:fill="FFFFFF"/>
          </w:tcPr>
          <w:p>
            <w:pPr>
              <w:spacing w:before="60" w:after="60"/>
              <w:jc w:val="left"/>
            </w:pPr>
            <w:r>
              <w:rPr>
                <w:rFonts w:ascii="Tahoma" w:hAnsi="Tahoma"/>
                <w:color w:val="222222"/>
                <w:sz w:val="18"/>
              </w:rPr>
              <w:t>All your category budgets are still on track.</w:t>
              <w:br/>
              <w:br/>
              <w:t>Example: 3 of 4 budgets on track → 18.75 pts. No budgets set → full 25 pts.</w:t>
            </w:r>
          </w:p>
        </w:tc>
        <w:tc>
          <w:tcPr>
            <w:tcW w:w="1200" w:type="dxa"/>
            <w:shd w:val="clear" w:color="auto" w:fill="FFFFFF"/>
          </w:tcPr>
          <w:p>
            <w:pPr>
              <w:spacing w:before="60" w:after="60"/>
              <w:jc w:val="left"/>
            </w:pPr>
            <w:r>
              <w:rPr>
                <w:rFonts w:ascii="Tahoma" w:hAnsi="Tahoma"/>
                <w:color w:val="222222"/>
                <w:sz w:val="18"/>
              </w:rPr>
              <w:t>25 pts</w:t>
            </w:r>
          </w:p>
        </w:tc>
      </w:tr>
      <w:tr>
        <w:tc>
          <w:tcPr>
            <w:tcW w:w="1500" w:type="dxa"/>
            <w:shd w:val="clear" w:color="auto" w:fill="F5F5F5"/>
          </w:tcPr>
          <w:p>
            <w:pPr>
              <w:spacing w:before="60" w:after="60"/>
              <w:jc w:val="left"/>
            </w:pPr>
            <w:r>
              <w:rPr>
                <w:rFonts w:ascii="Tahoma" w:hAnsi="Tahoma"/>
                <w:color w:val="222222"/>
                <w:sz w:val="18"/>
              </w:rPr>
              <w:t>4.  Logging Consistency</w:t>
            </w:r>
          </w:p>
        </w:tc>
        <w:tc>
          <w:tcPr>
            <w:tcW w:w="3600" w:type="dxa"/>
            <w:shd w:val="clear" w:color="auto" w:fill="F5F5F5"/>
          </w:tcPr>
          <w:p>
            <w:pPr>
              <w:spacing w:before="60" w:after="60"/>
              <w:jc w:val="left"/>
            </w:pPr>
            <w:r>
              <w:rPr>
                <w:rFonts w:ascii="Tahoma" w:hAnsi="Tahoma"/>
                <w:color w:val="222222"/>
                <w:sz w:val="18"/>
              </w:rPr>
              <w:t>Are you recording your expenses regularly this month?</w:t>
              <w:br/>
              <w:br/>
              <w:t>Formula: 25 × (days you logged ÷ days that have passed this month)</w:t>
            </w:r>
          </w:p>
        </w:tc>
        <w:tc>
          <w:tcPr>
            <w:tcW w:w="3400" w:type="dxa"/>
            <w:shd w:val="clear" w:color="auto" w:fill="F5F5F5"/>
          </w:tcPr>
          <w:p>
            <w:pPr>
              <w:spacing w:before="60" w:after="60"/>
              <w:jc w:val="left"/>
            </w:pPr>
            <w:r>
              <w:rPr>
                <w:rFonts w:ascii="Tahoma" w:hAnsi="Tahoma"/>
                <w:color w:val="222222"/>
                <w:sz w:val="18"/>
              </w:rPr>
              <w:t>You logged at least one expense every day so far.</w:t>
              <w:br/>
              <w:br/>
              <w:t>Example: Logged 8 of 10 days → 20 pts.</w:t>
            </w:r>
          </w:p>
        </w:tc>
        <w:tc>
          <w:tcPr>
            <w:tcW w:w="1200" w:type="dxa"/>
            <w:shd w:val="clear" w:color="auto" w:fill="F5F5F5"/>
          </w:tcPr>
          <w:p>
            <w:pPr>
              <w:spacing w:before="60" w:after="60"/>
              <w:jc w:val="left"/>
            </w:pPr>
            <w:r>
              <w:rPr>
                <w:rFonts w:ascii="Tahoma" w:hAnsi="Tahoma"/>
                <w:color w:val="222222"/>
                <w:sz w:val="18"/>
              </w:rPr>
              <w:t>25 pts</w:t>
            </w:r>
          </w:p>
        </w:tc>
      </w:tr>
    </w:tbl>
    <w:p>
      <w:pPr>
        <w:spacing w:after="80"/>
      </w:pPr>
    </w:p>
    <w:p>
      <w:pPr>
        <w:spacing w:before="40" w:after="60"/>
      </w:pPr>
      <w:r>
        <w:rPr>
          <w:rFonts w:ascii="Tahoma" w:hAnsi="Tahoma"/>
          <w:b w:val="0"/>
          <w:i/>
          <w:color w:val="666666"/>
          <w:sz w:val="18"/>
        </w:rPr>
        <w:t>Total score = Component 1 + 2 + 3 + 4. Maximum = 100. The score resets at the start of each month.</w:t>
      </w:r>
    </w:p>
    <w:p>
      <w:pPr>
        <w:spacing w:before="200" w:after="40"/>
      </w:pPr>
      <w:r>
        <w:rPr>
          <w:rFonts w:ascii="Tahoma" w:hAnsi="Tahoma"/>
          <w:b/>
          <w:i w:val="0"/>
          <w:color w:val="1A6B3A"/>
          <w:sz w:val="19"/>
        </w:rPr>
        <w:t>VERSION 2 — Lightweight Mode  (for students, freelancers, or anyone without a fixed income)</w:t>
      </w:r>
    </w:p>
    <w:p>
      <w:pPr>
        <w:spacing w:before="0" w:after="60"/>
      </w:pPr>
      <w:r>
        <w:rPr>
          <w:rFonts w:ascii="Tahoma" w:hAnsi="Tahoma"/>
          <w:b w:val="0"/>
          <w:i w:val="0"/>
          <w:color w:val="666666"/>
          <w:sz w:val="18"/>
        </w:rPr>
        <w:t>Not everyone has a fixed monthly income — students get an allowance, freelancers earn irregularly, some users simply prefer not to enter income. The Lightweight version removes income-based components and focuses entirely on spending habits.</w:t>
      </w:r>
    </w:p>
    <w:tbl>
      <w:tblPr>
        <w:tblLook w:firstColumn="1" w:firstRow="1" w:lastColumn="0" w:lastRow="0" w:noHBand="0" w:noVBand="1" w:val="04A0"/>
        <w:tblW w:w="10224" w:type="dxa"/>
        <w:jc w:val="lef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520"/>
        <w:gridCol w:w="2520"/>
        <w:gridCol w:w="2520"/>
        <w:gridCol w:w="2520"/>
      </w:tblGrid>
      <w:tr>
        <w:tc>
          <w:tcPr>
            <w:tcW w:w="1500" w:type="dxa"/>
            <w:shd w:val="clear" w:color="auto" w:fill="1A6B3A"/>
          </w:tcPr>
          <w:p>
            <w:pPr>
              <w:spacing w:before="60" w:after="60"/>
              <w:jc w:val="center"/>
            </w:pPr>
            <w:r>
              <w:rPr>
                <w:rFonts w:ascii="Tahoma" w:hAnsi="Tahoma"/>
                <w:b/>
                <w:color w:val="FFFFFF"/>
                <w:sz w:val="18"/>
              </w:rPr>
              <w:t>Component</w:t>
            </w:r>
          </w:p>
        </w:tc>
        <w:tc>
          <w:tcPr>
            <w:tcW w:w="3600" w:type="dxa"/>
            <w:shd w:val="clear" w:color="auto" w:fill="1A6B3A"/>
          </w:tcPr>
          <w:p>
            <w:pPr>
              <w:spacing w:before="60" w:after="60"/>
              <w:jc w:val="center"/>
            </w:pPr>
            <w:r>
              <w:rPr>
                <w:rFonts w:ascii="Tahoma" w:hAnsi="Tahoma"/>
                <w:b/>
                <w:color w:val="FFFFFF"/>
                <w:sz w:val="18"/>
              </w:rPr>
              <w:t>Simple Question It Answers</w:t>
            </w:r>
          </w:p>
        </w:tc>
        <w:tc>
          <w:tcPr>
            <w:tcW w:w="3400" w:type="dxa"/>
            <w:shd w:val="clear" w:color="auto" w:fill="1A6B3A"/>
          </w:tcPr>
          <w:p>
            <w:pPr>
              <w:spacing w:before="60" w:after="60"/>
              <w:jc w:val="center"/>
            </w:pPr>
            <w:r>
              <w:rPr>
                <w:rFonts w:ascii="Tahoma" w:hAnsi="Tahoma"/>
                <w:b/>
                <w:color w:val="FFFFFF"/>
                <w:sz w:val="18"/>
              </w:rPr>
              <w:t>Full Score When…</w:t>
            </w:r>
          </w:p>
        </w:tc>
        <w:tc>
          <w:tcPr>
            <w:tcW w:w="1200" w:type="dxa"/>
            <w:shd w:val="clear" w:color="auto" w:fill="1A6B3A"/>
          </w:tcPr>
          <w:p>
            <w:pPr>
              <w:spacing w:before="60" w:after="60"/>
              <w:jc w:val="center"/>
            </w:pPr>
            <w:r>
              <w:rPr>
                <w:rFonts w:ascii="Tahoma" w:hAnsi="Tahoma"/>
                <w:b/>
                <w:color w:val="FFFFFF"/>
                <w:sz w:val="18"/>
              </w:rPr>
              <w:t>Points</w:t>
            </w:r>
          </w:p>
        </w:tc>
      </w:tr>
      <w:tr>
        <w:tc>
          <w:tcPr>
            <w:tcW w:w="1500" w:type="dxa"/>
            <w:shd w:val="clear" w:color="auto" w:fill="FFFFFF"/>
          </w:tcPr>
          <w:p>
            <w:pPr>
              <w:spacing w:before="60" w:after="60"/>
              <w:jc w:val="left"/>
            </w:pPr>
            <w:r>
              <w:rPr>
                <w:rFonts w:ascii="Tahoma" w:hAnsi="Tahoma"/>
                <w:color w:val="222222"/>
                <w:sz w:val="18"/>
              </w:rPr>
              <w:t>1.  Spending Restraint</w:t>
            </w:r>
          </w:p>
        </w:tc>
        <w:tc>
          <w:tcPr>
            <w:tcW w:w="3600" w:type="dxa"/>
            <w:shd w:val="clear" w:color="auto" w:fill="FFFFFF"/>
          </w:tcPr>
          <w:p>
            <w:pPr>
              <w:spacing w:before="60" w:after="60"/>
              <w:jc w:val="left"/>
            </w:pPr>
            <w:r>
              <w:rPr>
                <w:rFonts w:ascii="Tahoma" w:hAnsi="Tahoma"/>
                <w:color w:val="222222"/>
                <w:sz w:val="18"/>
              </w:rPr>
              <w:t>Are you staying within the spending limit you set for yourself?</w:t>
              <w:br/>
              <w:br/>
              <w:t>Formula: Full 25 pts when spending ≤80% of your self-set limit. Drops if exceeded.</w:t>
            </w:r>
          </w:p>
        </w:tc>
        <w:tc>
          <w:tcPr>
            <w:tcW w:w="3400" w:type="dxa"/>
            <w:shd w:val="clear" w:color="auto" w:fill="FFFFFF"/>
          </w:tcPr>
          <w:p>
            <w:pPr>
              <w:spacing w:before="60" w:after="60"/>
              <w:jc w:val="left"/>
            </w:pPr>
            <w:r>
              <w:rPr>
                <w:rFonts w:ascii="Tahoma" w:hAnsi="Tahoma"/>
                <w:color w:val="222222"/>
                <w:sz w:val="18"/>
              </w:rPr>
              <w:t>You stayed within 80% of your limit.</w:t>
              <w:br/>
              <w:br/>
              <w:t>If no limit is set, the score uses your Want/Need spending ratio instead.</w:t>
            </w:r>
          </w:p>
        </w:tc>
        <w:tc>
          <w:tcPr>
            <w:tcW w:w="1200" w:type="dxa"/>
            <w:shd w:val="clear" w:color="auto" w:fill="FFFFFF"/>
          </w:tcPr>
          <w:p>
            <w:pPr>
              <w:spacing w:before="60" w:after="60"/>
              <w:jc w:val="left"/>
            </w:pPr>
            <w:r>
              <w:rPr>
                <w:rFonts w:ascii="Tahoma" w:hAnsi="Tahoma"/>
                <w:color w:val="222222"/>
                <w:sz w:val="18"/>
              </w:rPr>
              <w:t>25 pts</w:t>
            </w:r>
          </w:p>
        </w:tc>
      </w:tr>
      <w:tr>
        <w:tc>
          <w:tcPr>
            <w:tcW w:w="1500" w:type="dxa"/>
            <w:shd w:val="clear" w:color="auto" w:fill="F5F5F5"/>
          </w:tcPr>
          <w:p>
            <w:pPr>
              <w:spacing w:before="60" w:after="60"/>
              <w:jc w:val="left"/>
            </w:pPr>
            <w:r>
              <w:rPr>
                <w:rFonts w:ascii="Tahoma" w:hAnsi="Tahoma"/>
                <w:color w:val="222222"/>
                <w:sz w:val="18"/>
              </w:rPr>
              <w:t>2.  Logging Consistency</w:t>
            </w:r>
          </w:p>
        </w:tc>
        <w:tc>
          <w:tcPr>
            <w:tcW w:w="3600" w:type="dxa"/>
            <w:shd w:val="clear" w:color="auto" w:fill="F5F5F5"/>
          </w:tcPr>
          <w:p>
            <w:pPr>
              <w:spacing w:before="60" w:after="60"/>
              <w:jc w:val="left"/>
            </w:pPr>
            <w:r>
              <w:rPr>
                <w:rFonts w:ascii="Tahoma" w:hAnsi="Tahoma"/>
                <w:color w:val="222222"/>
                <w:sz w:val="18"/>
              </w:rPr>
              <w:t>Are you recording your expenses regularly?</w:t>
              <w:br/>
              <w:br/>
              <w:t>Same formula as Full Mode.</w:t>
            </w:r>
          </w:p>
        </w:tc>
        <w:tc>
          <w:tcPr>
            <w:tcW w:w="3400" w:type="dxa"/>
            <w:shd w:val="clear" w:color="auto" w:fill="F5F5F5"/>
          </w:tcPr>
          <w:p>
            <w:pPr>
              <w:spacing w:before="60" w:after="60"/>
              <w:jc w:val="left"/>
            </w:pPr>
            <w:r>
              <w:rPr>
                <w:rFonts w:ascii="Tahoma" w:hAnsi="Tahoma"/>
                <w:color w:val="222222"/>
                <w:sz w:val="18"/>
              </w:rPr>
              <w:t>You logged expenses every day.</w:t>
            </w:r>
          </w:p>
        </w:tc>
        <w:tc>
          <w:tcPr>
            <w:tcW w:w="1200" w:type="dxa"/>
            <w:shd w:val="clear" w:color="auto" w:fill="F5F5F5"/>
          </w:tcPr>
          <w:p>
            <w:pPr>
              <w:spacing w:before="60" w:after="60"/>
              <w:jc w:val="left"/>
            </w:pPr>
            <w:r>
              <w:rPr>
                <w:rFonts w:ascii="Tahoma" w:hAnsi="Tahoma"/>
                <w:color w:val="222222"/>
                <w:sz w:val="18"/>
              </w:rPr>
              <w:t>25 pts</w:t>
            </w:r>
          </w:p>
        </w:tc>
      </w:tr>
      <w:tr>
        <w:tc>
          <w:tcPr>
            <w:tcW w:w="1500" w:type="dxa"/>
            <w:shd w:val="clear" w:color="auto" w:fill="FFFFFF"/>
          </w:tcPr>
          <w:p>
            <w:pPr>
              <w:spacing w:before="60" w:after="60"/>
              <w:jc w:val="left"/>
            </w:pPr>
            <w:r>
              <w:rPr>
                <w:rFonts w:ascii="Tahoma" w:hAnsi="Tahoma"/>
                <w:color w:val="222222"/>
                <w:sz w:val="18"/>
              </w:rPr>
              <w:t>3.  Category Balance</w:t>
            </w:r>
          </w:p>
        </w:tc>
        <w:tc>
          <w:tcPr>
            <w:tcW w:w="3600" w:type="dxa"/>
            <w:shd w:val="clear" w:color="auto" w:fill="FFFFFF"/>
          </w:tcPr>
          <w:p>
            <w:pPr>
              <w:spacing w:before="60" w:after="60"/>
              <w:jc w:val="left"/>
            </w:pPr>
            <w:r>
              <w:rPr>
                <w:rFonts w:ascii="Tahoma" w:hAnsi="Tahoma"/>
                <w:color w:val="222222"/>
                <w:sz w:val="18"/>
              </w:rPr>
              <w:t>Is your spending spread across different categories, or is one category eating everything?</w:t>
              <w:br/>
              <w:br/>
              <w:t>Formula: Full 25 pts when no single category is more than 40% of total spending.</w:t>
            </w:r>
          </w:p>
        </w:tc>
        <w:tc>
          <w:tcPr>
            <w:tcW w:w="3400" w:type="dxa"/>
            <w:shd w:val="clear" w:color="auto" w:fill="FFFFFF"/>
          </w:tcPr>
          <w:p>
            <w:pPr>
              <w:spacing w:before="60" w:after="60"/>
              <w:jc w:val="left"/>
            </w:pPr>
            <w:r>
              <w:rPr>
                <w:rFonts w:ascii="Tahoma" w:hAnsi="Tahoma"/>
                <w:color w:val="222222"/>
                <w:sz w:val="18"/>
              </w:rPr>
              <w:t>Your spending is spread across multiple categories.</w:t>
              <w:br/>
              <w:br/>
              <w:t>Example: Food = 35% → 25 pts. Food = 80% → score drops.</w:t>
            </w:r>
          </w:p>
        </w:tc>
        <w:tc>
          <w:tcPr>
            <w:tcW w:w="1200" w:type="dxa"/>
            <w:shd w:val="clear" w:color="auto" w:fill="FFFFFF"/>
          </w:tcPr>
          <w:p>
            <w:pPr>
              <w:spacing w:before="60" w:after="60"/>
              <w:jc w:val="left"/>
            </w:pPr>
            <w:r>
              <w:rPr>
                <w:rFonts w:ascii="Tahoma" w:hAnsi="Tahoma"/>
                <w:color w:val="222222"/>
                <w:sz w:val="18"/>
              </w:rPr>
              <w:t>25 pts</w:t>
            </w:r>
          </w:p>
        </w:tc>
      </w:tr>
      <w:tr>
        <w:tc>
          <w:tcPr>
            <w:tcW w:w="1500" w:type="dxa"/>
            <w:shd w:val="clear" w:color="auto" w:fill="F5F5F5"/>
          </w:tcPr>
          <w:p>
            <w:pPr>
              <w:spacing w:before="60" w:after="60"/>
              <w:jc w:val="left"/>
            </w:pPr>
            <w:r>
              <w:rPr>
                <w:rFonts w:ascii="Tahoma" w:hAnsi="Tahoma"/>
                <w:color w:val="222222"/>
                <w:sz w:val="18"/>
              </w:rPr>
              <w:t>4.  Habit Streak</w:t>
            </w:r>
          </w:p>
        </w:tc>
        <w:tc>
          <w:tcPr>
            <w:tcW w:w="3600" w:type="dxa"/>
            <w:shd w:val="clear" w:color="auto" w:fill="F5F5F5"/>
          </w:tcPr>
          <w:p>
            <w:pPr>
              <w:spacing w:before="60" w:after="60"/>
              <w:jc w:val="left"/>
            </w:pPr>
            <w:r>
              <w:rPr>
                <w:rFonts w:ascii="Tahoma" w:hAnsi="Tahoma"/>
                <w:color w:val="222222"/>
                <w:sz w:val="18"/>
              </w:rPr>
              <w:t>How many consecutive days have you logged an expense?</w:t>
              <w:br/>
              <w:br/>
              <w:t>Formula: 25 × (your streak ÷ 14 days). Full score at 14-day streak.</w:t>
            </w:r>
          </w:p>
        </w:tc>
        <w:tc>
          <w:tcPr>
            <w:tcW w:w="3400" w:type="dxa"/>
            <w:shd w:val="clear" w:color="auto" w:fill="F5F5F5"/>
          </w:tcPr>
          <w:p>
            <w:pPr>
              <w:spacing w:before="60" w:after="60"/>
              <w:jc w:val="left"/>
            </w:pPr>
            <w:r>
              <w:rPr>
                <w:rFonts w:ascii="Tahoma" w:hAnsi="Tahoma"/>
                <w:color w:val="222222"/>
                <w:sz w:val="18"/>
              </w:rPr>
              <w:t>You have logged something every day for 14+ consecutive days.</w:t>
            </w:r>
          </w:p>
        </w:tc>
        <w:tc>
          <w:tcPr>
            <w:tcW w:w="1200" w:type="dxa"/>
            <w:shd w:val="clear" w:color="auto" w:fill="F5F5F5"/>
          </w:tcPr>
          <w:p>
            <w:pPr>
              <w:spacing w:before="60" w:after="60"/>
              <w:jc w:val="left"/>
            </w:pPr>
            <w:r>
              <w:rPr>
                <w:rFonts w:ascii="Tahoma" w:hAnsi="Tahoma"/>
                <w:color w:val="222222"/>
                <w:sz w:val="18"/>
              </w:rPr>
              <w:t>25 pts</w:t>
            </w:r>
          </w:p>
        </w:tc>
      </w:tr>
    </w:tbl>
    <w:p>
      <w:pPr>
        <w:spacing w:after="80"/>
      </w:pPr>
    </w:p>
    <w:p>
      <w:pPr>
        <w:spacing w:before="200" w:after="40"/>
      </w:pPr>
      <w:r>
        <w:rPr>
          <w:rFonts w:ascii="Tahoma" w:hAnsi="Tahoma"/>
          <w:b/>
          <w:color w:val="5C0E24"/>
          <w:sz w:val="24"/>
        </w:rPr>
        <w:t>4.  Score Adjustments — What Else Affects the Score?</w:t>
      </w:r>
    </w:p>
    <w:p>
      <w:pPr>
        <w:spacing w:before="0" w:after="60"/>
      </w:pPr>
      <w:r>
        <w:rPr>
          <w:rFonts w:ascii="Tahoma" w:hAnsi="Tahoma"/>
          <w:b w:val="0"/>
          <w:i w:val="0"/>
          <w:color w:val="222222"/>
          <w:sz w:val="19"/>
        </w:rPr>
        <w:t>After the four components are added up, two additional adjustments can raise or lower the final score. Both are designed to encourage honest and consistent behavior.</w:t>
      </w:r>
    </w:p>
    <w:tbl>
      <w:tblPr>
        <w:tblLook w:firstColumn="1" w:firstRow="1" w:lastColumn="0" w:lastRow="0" w:noHBand="0" w:noVBand="1" w:val="04A0"/>
        <w:tblW w:w="10224" w:type="dxa"/>
        <w:jc w:val="lef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520"/>
        <w:gridCol w:w="2520"/>
        <w:gridCol w:w="2520"/>
        <w:gridCol w:w="2520"/>
      </w:tblGrid>
      <w:tr>
        <w:tc>
          <w:tcPr>
            <w:tcW w:w="1400" w:type="dxa"/>
            <w:shd w:val="clear" w:color="auto" w:fill="5C0E24"/>
          </w:tcPr>
          <w:p>
            <w:pPr>
              <w:spacing w:before="60" w:after="60"/>
              <w:jc w:val="center"/>
            </w:pPr>
            <w:r>
              <w:rPr>
                <w:rFonts w:ascii="Tahoma" w:hAnsi="Tahoma"/>
                <w:b/>
                <w:color w:val="FFFFFF"/>
                <w:sz w:val="18"/>
              </w:rPr>
              <w:t>Adjustment</w:t>
            </w:r>
          </w:p>
        </w:tc>
        <w:tc>
          <w:tcPr>
            <w:tcW w:w="2600" w:type="dxa"/>
            <w:shd w:val="clear" w:color="auto" w:fill="5C0E24"/>
          </w:tcPr>
          <w:p>
            <w:pPr>
              <w:spacing w:before="60" w:after="60"/>
              <w:jc w:val="center"/>
            </w:pPr>
            <w:r>
              <w:rPr>
                <w:rFonts w:ascii="Tahoma" w:hAnsi="Tahoma"/>
                <w:b/>
                <w:color w:val="FFFFFF"/>
                <w:sz w:val="18"/>
              </w:rPr>
              <w:t>When It Happens</w:t>
            </w:r>
          </w:p>
        </w:tc>
        <w:tc>
          <w:tcPr>
            <w:tcW w:w="2100" w:type="dxa"/>
            <w:shd w:val="clear" w:color="auto" w:fill="5C0E24"/>
          </w:tcPr>
          <w:p>
            <w:pPr>
              <w:spacing w:before="60" w:after="60"/>
              <w:jc w:val="center"/>
            </w:pPr>
            <w:r>
              <w:rPr>
                <w:rFonts w:ascii="Tahoma" w:hAnsi="Tahoma"/>
                <w:b/>
                <w:color w:val="FFFFFF"/>
                <w:sz w:val="18"/>
              </w:rPr>
              <w:t>Effect</w:t>
            </w:r>
          </w:p>
        </w:tc>
        <w:tc>
          <w:tcPr>
            <w:tcW w:w="3124" w:type="dxa"/>
            <w:shd w:val="clear" w:color="auto" w:fill="5C0E24"/>
          </w:tcPr>
          <w:p>
            <w:pPr>
              <w:spacing w:before="60" w:after="60"/>
              <w:jc w:val="center"/>
            </w:pPr>
            <w:r>
              <w:rPr>
                <w:rFonts w:ascii="Tahoma" w:hAnsi="Tahoma"/>
                <w:b/>
                <w:color w:val="FFFFFF"/>
                <w:sz w:val="18"/>
              </w:rPr>
              <w:t>Why It Exists</w:t>
            </w:r>
          </w:p>
        </w:tc>
      </w:tr>
      <w:tr>
        <w:tc>
          <w:tcPr>
            <w:tcW w:w="1400" w:type="dxa"/>
            <w:shd w:val="clear" w:color="auto" w:fill="FFFFFF"/>
          </w:tcPr>
          <w:p>
            <w:pPr>
              <w:spacing w:before="60" w:after="60"/>
              <w:jc w:val="left"/>
            </w:pPr>
            <w:r>
              <w:rPr>
                <w:rFonts w:ascii="Tahoma" w:hAnsi="Tahoma"/>
                <w:color w:val="222222"/>
                <w:sz w:val="18"/>
              </w:rPr>
              <w:t>⚠️  Warning Decay</w:t>
            </w:r>
          </w:p>
        </w:tc>
        <w:tc>
          <w:tcPr>
            <w:tcW w:w="2600" w:type="dxa"/>
            <w:shd w:val="clear" w:color="auto" w:fill="FFFFFF"/>
          </w:tcPr>
          <w:p>
            <w:pPr>
              <w:spacing w:before="60" w:after="60"/>
              <w:jc w:val="left"/>
            </w:pPr>
            <w:r>
              <w:rPr>
                <w:rFonts w:ascii="Tahoma" w:hAnsi="Tahoma"/>
                <w:color w:val="222222"/>
                <w:sz w:val="18"/>
              </w:rPr>
              <w:t>You went over a budget AND kept spending in that category the next day (i.e., you ignored the warning).</w:t>
            </w:r>
          </w:p>
        </w:tc>
        <w:tc>
          <w:tcPr>
            <w:tcW w:w="2100" w:type="dxa"/>
            <w:shd w:val="clear" w:color="auto" w:fill="FFFFFF"/>
          </w:tcPr>
          <w:p>
            <w:pPr>
              <w:spacing w:before="60" w:after="60"/>
              <w:jc w:val="left"/>
            </w:pPr>
            <w:r>
              <w:rPr>
                <w:rFonts w:ascii="Tahoma" w:hAnsi="Tahoma"/>
                <w:color w:val="222222"/>
                <w:sz w:val="18"/>
              </w:rPr>
              <w:t>−5 points per day. Resets when budgets return to on-track.</w:t>
              <w:br/>
              <w:t>Maximum penalty: −15 pts.</w:t>
            </w:r>
          </w:p>
        </w:tc>
        <w:tc>
          <w:tcPr>
            <w:tcW w:w="3124" w:type="dxa"/>
            <w:shd w:val="clear" w:color="auto" w:fill="FFFFFF"/>
          </w:tcPr>
          <w:p>
            <w:pPr>
              <w:spacing w:before="60" w:after="60"/>
              <w:jc w:val="left"/>
            </w:pPr>
            <w:r>
              <w:rPr>
                <w:rFonts w:ascii="Tahoma" w:hAnsi="Tahoma"/>
                <w:color w:val="222222"/>
                <w:sz w:val="18"/>
              </w:rPr>
              <w:t>Based on Loss Aversion (Kahneman &amp; Tversky, 1979) — people act faster when something is decreasing than when they receive a reward. The dropping score makes ignoring budget warnings feel real.</w:t>
            </w:r>
          </w:p>
        </w:tc>
      </w:tr>
      <w:tr>
        <w:tc>
          <w:tcPr>
            <w:tcW w:w="1400" w:type="dxa"/>
            <w:shd w:val="clear" w:color="auto" w:fill="F5F5F5"/>
          </w:tcPr>
          <w:p>
            <w:pPr>
              <w:spacing w:before="60" w:after="60"/>
              <w:jc w:val="left"/>
            </w:pPr>
            <w:r>
              <w:rPr>
                <w:rFonts w:ascii="Tahoma" w:hAnsi="Tahoma"/>
                <w:color w:val="222222"/>
                <w:sz w:val="18"/>
              </w:rPr>
              <w:t>✅  Gap Bonus</w:t>
            </w:r>
          </w:p>
        </w:tc>
        <w:tc>
          <w:tcPr>
            <w:tcW w:w="2600" w:type="dxa"/>
            <w:shd w:val="clear" w:color="auto" w:fill="F5F5F5"/>
          </w:tcPr>
          <w:p>
            <w:pPr>
              <w:spacing w:before="60" w:after="60"/>
              <w:jc w:val="left"/>
            </w:pPr>
            <w:r>
              <w:rPr>
                <w:rFonts w:ascii="Tahoma" w:hAnsi="Tahoma"/>
                <w:color w:val="222222"/>
                <w:sz w:val="18"/>
              </w:rPr>
              <w:t>The app notices you did not log anything for a few days. You confirm on startup: "No, I genuinely had no spending on those days."</w:t>
            </w:r>
          </w:p>
        </w:tc>
        <w:tc>
          <w:tcPr>
            <w:tcW w:w="2100" w:type="dxa"/>
            <w:shd w:val="clear" w:color="auto" w:fill="F5F5F5"/>
          </w:tcPr>
          <w:p>
            <w:pPr>
              <w:spacing w:before="60" w:after="60"/>
              <w:jc w:val="left"/>
            </w:pPr>
            <w:r>
              <w:rPr>
                <w:rFonts w:ascii="Tahoma" w:hAnsi="Tahoma"/>
                <w:color w:val="222222"/>
                <w:sz w:val="18"/>
              </w:rPr>
              <w:t>+2 points per confirmed no-spend day.</w:t>
              <w:br/>
              <w:t>Maximum bonus: +10 pts.</w:t>
            </w:r>
          </w:p>
        </w:tc>
        <w:tc>
          <w:tcPr>
            <w:tcW w:w="3124" w:type="dxa"/>
            <w:shd w:val="clear" w:color="auto" w:fill="F5F5F5"/>
          </w:tcPr>
          <w:p>
            <w:pPr>
              <w:spacing w:before="60" w:after="60"/>
              <w:jc w:val="left"/>
            </w:pPr>
            <w:r>
              <w:rPr>
                <w:rFonts w:ascii="Tahoma" w:hAnsi="Tahoma"/>
                <w:color w:val="222222"/>
                <w:sz w:val="18"/>
              </w:rPr>
              <w:t>Rewards frugal behavior and honest reporting. Based on Nudge Theory (Thaler &amp; Sunstein, 2008).</w:t>
            </w:r>
          </w:p>
        </w:tc>
      </w:tr>
      <w:tr>
        <w:tc>
          <w:tcPr>
            <w:tcW w:w="1400" w:type="dxa"/>
            <w:shd w:val="clear" w:color="auto" w:fill="FFFFFF"/>
          </w:tcPr>
          <w:p>
            <w:pPr>
              <w:spacing w:before="60" w:after="60"/>
              <w:jc w:val="left"/>
            </w:pPr>
            <w:r>
              <w:rPr>
                <w:rFonts w:ascii="Tahoma" w:hAnsi="Tahoma"/>
                <w:color w:val="222222"/>
                <w:sz w:val="18"/>
              </w:rPr>
              <w:t>❌  Gap Penalty</w:t>
            </w:r>
          </w:p>
        </w:tc>
        <w:tc>
          <w:tcPr>
            <w:tcW w:w="2600" w:type="dxa"/>
            <w:shd w:val="clear" w:color="auto" w:fill="FFFFFF"/>
          </w:tcPr>
          <w:p>
            <w:pPr>
              <w:spacing w:before="60" w:after="60"/>
              <w:jc w:val="left"/>
            </w:pPr>
            <w:r>
              <w:rPr>
                <w:rFonts w:ascii="Tahoma" w:hAnsi="Tahoma"/>
                <w:color w:val="222222"/>
                <w:sz w:val="18"/>
              </w:rPr>
              <w:t>The app notices unlogged days. You confirm: "Yes, I spent money but forgot to log it."</w:t>
            </w:r>
          </w:p>
        </w:tc>
        <w:tc>
          <w:tcPr>
            <w:tcW w:w="2100" w:type="dxa"/>
            <w:shd w:val="clear" w:color="auto" w:fill="FFFFFF"/>
          </w:tcPr>
          <w:p>
            <w:pPr>
              <w:spacing w:before="60" w:after="60"/>
              <w:jc w:val="left"/>
            </w:pPr>
            <w:r>
              <w:rPr>
                <w:rFonts w:ascii="Tahoma" w:hAnsi="Tahoma"/>
                <w:color w:val="222222"/>
                <w:sz w:val="18"/>
              </w:rPr>
              <w:t>−3 points per unlogged day.</w:t>
              <w:br/>
              <w:t>Maximum penalty: −15 pts.</w:t>
            </w:r>
          </w:p>
        </w:tc>
        <w:tc>
          <w:tcPr>
            <w:tcW w:w="3124" w:type="dxa"/>
            <w:shd w:val="clear" w:color="auto" w:fill="FFFFFF"/>
          </w:tcPr>
          <w:p>
            <w:pPr>
              <w:spacing w:before="60" w:after="60"/>
              <w:jc w:val="left"/>
            </w:pPr>
            <w:r>
              <w:rPr>
                <w:rFonts w:ascii="Tahoma" w:hAnsi="Tahoma"/>
                <w:color w:val="222222"/>
                <w:sz w:val="18"/>
              </w:rPr>
              <w:t>Encourages consistent logging and accurate self-monitoring. Based on Ariely (2008) — accurate self-tracking improves financial behavior.</w:t>
            </w:r>
          </w:p>
        </w:tc>
      </w:tr>
    </w:tbl>
    <w:p>
      <w:pPr>
        <w:spacing w:after="80"/>
      </w:pPr>
    </w:p>
    <w:p>
      <w:pPr>
        <w:spacing w:before="200" w:after="40"/>
      </w:pPr>
      <w:r>
        <w:rPr>
          <w:rFonts w:ascii="Tahoma" w:hAnsi="Tahoma"/>
          <w:b/>
          <w:color w:val="5C0E24"/>
          <w:sz w:val="24"/>
        </w:rPr>
        <w:t>5.  Where Did This Formula Come From?</w:t>
      </w:r>
    </w:p>
    <w:p>
      <w:pPr>
        <w:spacing w:before="0" w:after="60"/>
      </w:pPr>
      <w:r>
        <w:rPr>
          <w:rFonts w:ascii="Tahoma" w:hAnsi="Tahoma"/>
          <w:b w:val="0"/>
          <w:i w:val="0"/>
          <w:color w:val="222222"/>
          <w:sz w:val="19"/>
        </w:rPr>
        <w:t>Each component of the FHS is grounded in a published academic framework or widely-accepted financial planning standard. The table below shows the specific source for each design decision.</w:t>
      </w:r>
    </w:p>
    <w:tbl>
      <w:tblPr>
        <w:tblLook w:firstColumn="1" w:firstRow="1" w:lastColumn="0" w:lastRow="0" w:noHBand="0" w:noVBand="1" w:val="04A0"/>
        <w:tblW w:w="10224" w:type="dxa"/>
        <w:jc w:val="lef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360"/>
        <w:gridCol w:w="3360"/>
        <w:gridCol w:w="3360"/>
      </w:tblGrid>
      <w:tr>
        <w:tc>
          <w:tcPr>
            <w:tcW w:w="2400" w:type="dxa"/>
            <w:shd w:val="clear" w:color="auto" w:fill="5C0E24"/>
          </w:tcPr>
          <w:p>
            <w:pPr>
              <w:spacing w:before="60" w:after="60"/>
              <w:jc w:val="center"/>
            </w:pPr>
            <w:r>
              <w:rPr>
                <w:rFonts w:ascii="Tahoma" w:hAnsi="Tahoma"/>
                <w:b/>
                <w:color w:val="FFFFFF"/>
                <w:sz w:val="18"/>
              </w:rPr>
              <w:t>FHS Component / Feature</w:t>
            </w:r>
          </w:p>
        </w:tc>
        <w:tc>
          <w:tcPr>
            <w:tcW w:w="4600" w:type="dxa"/>
            <w:shd w:val="clear" w:color="auto" w:fill="5C0E24"/>
          </w:tcPr>
          <w:p>
            <w:pPr>
              <w:spacing w:before="60" w:after="60"/>
              <w:jc w:val="center"/>
            </w:pPr>
            <w:r>
              <w:rPr>
                <w:rFonts w:ascii="Tahoma" w:hAnsi="Tahoma"/>
                <w:b/>
                <w:color w:val="FFFFFF"/>
                <w:sz w:val="18"/>
              </w:rPr>
              <w:t>Research It Comes From</w:t>
            </w:r>
          </w:p>
        </w:tc>
        <w:tc>
          <w:tcPr>
            <w:tcW w:w="3224" w:type="dxa"/>
            <w:shd w:val="clear" w:color="auto" w:fill="5C0E24"/>
          </w:tcPr>
          <w:p>
            <w:pPr>
              <w:spacing w:before="60" w:after="60"/>
              <w:jc w:val="center"/>
            </w:pPr>
            <w:r>
              <w:rPr>
                <w:rFonts w:ascii="Tahoma" w:hAnsi="Tahoma"/>
                <w:b/>
                <w:color w:val="FFFFFF"/>
                <w:sz w:val="18"/>
              </w:rPr>
              <w:t>Source</w:t>
            </w:r>
          </w:p>
        </w:tc>
      </w:tr>
      <w:tr>
        <w:tc>
          <w:tcPr>
            <w:tcW w:w="2400" w:type="dxa"/>
            <w:shd w:val="clear" w:color="auto" w:fill="FFFFFF"/>
          </w:tcPr>
          <w:p>
            <w:pPr>
              <w:spacing w:before="60" w:after="60"/>
              <w:jc w:val="left"/>
            </w:pPr>
            <w:r>
              <w:rPr>
                <w:rFonts w:ascii="Tahoma" w:hAnsi="Tahoma"/>
                <w:color w:val="222222"/>
                <w:sz w:val="18"/>
              </w:rPr>
              <w:t>0–100 score range and financial well-being definition</w:t>
            </w:r>
          </w:p>
        </w:tc>
        <w:tc>
          <w:tcPr>
            <w:tcW w:w="4600" w:type="dxa"/>
            <w:shd w:val="clear" w:color="auto" w:fill="FFFFFF"/>
          </w:tcPr>
          <w:p>
            <w:pPr>
              <w:spacing w:before="60" w:after="60"/>
              <w:jc w:val="left"/>
            </w:pPr>
            <w:r>
              <w:rPr>
                <w:rFonts w:ascii="Tahoma" w:hAnsi="Tahoma"/>
                <w:color w:val="222222"/>
                <w:sz w:val="18"/>
              </w:rPr>
              <w:t>The 0–100 scale and the concept of financial well-being come from the CFPB Financial Well-Being Scale definition (2017). SmartSpend uses the concept and scale — not the survey method.</w:t>
            </w:r>
          </w:p>
        </w:tc>
        <w:tc>
          <w:tcPr>
            <w:tcW w:w="3224" w:type="dxa"/>
            <w:shd w:val="clear" w:color="auto" w:fill="FFFFFF"/>
          </w:tcPr>
          <w:p>
            <w:pPr>
              <w:spacing w:before="60" w:after="60"/>
              <w:jc w:val="left"/>
            </w:pPr>
            <w:r>
              <w:rPr>
                <w:rFonts w:ascii="Tahoma" w:hAnsi="Tahoma"/>
                <w:color w:val="222222"/>
                <w:sz w:val="18"/>
              </w:rPr>
              <w:t>Consumer Financial Protection Bureau, 2017</w:t>
            </w:r>
          </w:p>
        </w:tc>
      </w:tr>
      <w:tr>
        <w:tc>
          <w:tcPr>
            <w:tcW w:w="2400" w:type="dxa"/>
            <w:shd w:val="clear" w:color="auto" w:fill="F5F5F5"/>
          </w:tcPr>
          <w:p>
            <w:pPr>
              <w:spacing w:before="60" w:after="60"/>
              <w:jc w:val="left"/>
            </w:pPr>
            <w:r>
              <w:rPr>
                <w:rFonts w:ascii="Tahoma" w:hAnsi="Tahoma"/>
                <w:color w:val="222222"/>
                <w:sz w:val="18"/>
              </w:rPr>
              <w:t>FHS as an Observed Indicator (not a survey)</w:t>
            </w:r>
          </w:p>
        </w:tc>
        <w:tc>
          <w:tcPr>
            <w:tcW w:w="4600" w:type="dxa"/>
            <w:shd w:val="clear" w:color="auto" w:fill="F5F5F5"/>
          </w:tcPr>
          <w:p>
            <w:pPr>
              <w:spacing w:before="60" w:after="60"/>
              <w:jc w:val="left"/>
            </w:pPr>
            <w:r>
              <w:rPr>
                <w:rFonts w:ascii="Tahoma" w:hAnsi="Tahoma"/>
                <w:color w:val="222222"/>
                <w:sz w:val="18"/>
              </w:rPr>
              <w:t>The CBA-MI (2018) dual-scale framework formally establishes that financial health can be measured from transaction records — not only surveys. SmartSpend's FHS follows this Observed Scale approach.</w:t>
            </w:r>
          </w:p>
        </w:tc>
        <w:tc>
          <w:tcPr>
            <w:tcW w:w="3224" w:type="dxa"/>
            <w:shd w:val="clear" w:color="auto" w:fill="F5F5F5"/>
          </w:tcPr>
          <w:p>
            <w:pPr>
              <w:spacing w:before="60" w:after="60"/>
              <w:jc w:val="left"/>
            </w:pPr>
            <w:r>
              <w:rPr>
                <w:rFonts w:ascii="Tahoma" w:hAnsi="Tahoma"/>
                <w:color w:val="222222"/>
                <w:sz w:val="18"/>
              </w:rPr>
              <w:t>Commonwealth Bank of Australia &amp; Melbourne Institute, 2018</w:t>
            </w:r>
          </w:p>
        </w:tc>
      </w:tr>
      <w:tr>
        <w:tc>
          <w:tcPr>
            <w:tcW w:w="2400" w:type="dxa"/>
            <w:shd w:val="clear" w:color="auto" w:fill="FFFFFF"/>
          </w:tcPr>
          <w:p>
            <w:pPr>
              <w:spacing w:before="60" w:after="60"/>
              <w:jc w:val="left"/>
            </w:pPr>
            <w:r>
              <w:rPr>
                <w:rFonts w:ascii="Tahoma" w:hAnsi="Tahoma"/>
                <w:color w:val="222222"/>
                <w:sz w:val="18"/>
              </w:rPr>
              <w:t>Savings Rate — 20% target</w:t>
            </w:r>
          </w:p>
        </w:tc>
        <w:tc>
          <w:tcPr>
            <w:tcW w:w="4600" w:type="dxa"/>
            <w:shd w:val="clear" w:color="auto" w:fill="FFFFFF"/>
          </w:tcPr>
          <w:p>
            <w:pPr>
              <w:spacing w:before="60" w:after="60"/>
              <w:jc w:val="left"/>
            </w:pPr>
            <w:r>
              <w:rPr>
                <w:rFonts w:ascii="Tahoma" w:hAnsi="Tahoma"/>
                <w:color w:val="222222"/>
                <w:sz w:val="18"/>
              </w:rPr>
              <w:t>The 50/30/20 budgeting rule allocates 20% of income to savings. This is the most widely cited personal finance allocation standard globally.</w:t>
            </w:r>
          </w:p>
        </w:tc>
        <w:tc>
          <w:tcPr>
            <w:tcW w:w="3224" w:type="dxa"/>
            <w:shd w:val="clear" w:color="auto" w:fill="FFFFFF"/>
          </w:tcPr>
          <w:p>
            <w:pPr>
              <w:spacing w:before="60" w:after="60"/>
              <w:jc w:val="left"/>
            </w:pPr>
            <w:r>
              <w:rPr>
                <w:rFonts w:ascii="Tahoma" w:hAnsi="Tahoma"/>
                <w:color w:val="222222"/>
                <w:sz w:val="18"/>
              </w:rPr>
              <w:t>Warren &amp; Tyagi (2005). All Your Worth.</w:t>
            </w:r>
          </w:p>
        </w:tc>
      </w:tr>
      <w:tr>
        <w:tc>
          <w:tcPr>
            <w:tcW w:w="2400" w:type="dxa"/>
            <w:shd w:val="clear" w:color="auto" w:fill="F5F5F5"/>
          </w:tcPr>
          <w:p>
            <w:pPr>
              <w:spacing w:before="60" w:after="60"/>
              <w:jc w:val="left"/>
            </w:pPr>
            <w:r>
              <w:rPr>
                <w:rFonts w:ascii="Tahoma" w:hAnsi="Tahoma"/>
                <w:color w:val="222222"/>
                <w:sz w:val="18"/>
              </w:rPr>
              <w:t>Overspend Control — daily budget monitoring</w:t>
            </w:r>
          </w:p>
        </w:tc>
        <w:tc>
          <w:tcPr>
            <w:tcW w:w="4600" w:type="dxa"/>
            <w:shd w:val="clear" w:color="auto" w:fill="F5F5F5"/>
          </w:tcPr>
          <w:p>
            <w:pPr>
              <w:spacing w:before="60" w:after="60"/>
              <w:jc w:val="left"/>
            </w:pPr>
            <w:r>
              <w:rPr>
                <w:rFonts w:ascii="Tahoma" w:hAnsi="Tahoma"/>
                <w:color w:val="222222"/>
                <w:sz w:val="18"/>
              </w:rPr>
              <w:t>The Financial Health Network's FinHealth Score® Spend pillar measures "spending less than income" as a core behavioral indicator.</w:t>
            </w:r>
          </w:p>
        </w:tc>
        <w:tc>
          <w:tcPr>
            <w:tcW w:w="3224" w:type="dxa"/>
            <w:shd w:val="clear" w:color="auto" w:fill="F5F5F5"/>
          </w:tcPr>
          <w:p>
            <w:pPr>
              <w:spacing w:before="60" w:after="60"/>
              <w:jc w:val="left"/>
            </w:pPr>
            <w:r>
              <w:rPr>
                <w:rFonts w:ascii="Tahoma" w:hAnsi="Tahoma"/>
                <w:color w:val="222222"/>
                <w:sz w:val="18"/>
              </w:rPr>
              <w:t>Financial Health Network (2021). FinHealth Score® Toolkit.</w:t>
            </w:r>
          </w:p>
        </w:tc>
      </w:tr>
      <w:tr>
        <w:tc>
          <w:tcPr>
            <w:tcW w:w="2400" w:type="dxa"/>
            <w:shd w:val="clear" w:color="auto" w:fill="FFFFFF"/>
          </w:tcPr>
          <w:p>
            <w:pPr>
              <w:spacing w:before="60" w:after="60"/>
              <w:jc w:val="left"/>
            </w:pPr>
            <w:r>
              <w:rPr>
                <w:rFonts w:ascii="Tahoma" w:hAnsi="Tahoma"/>
                <w:color w:val="222222"/>
                <w:sz w:val="18"/>
              </w:rPr>
              <w:t>Budget Adherence — category budgets</w:t>
            </w:r>
          </w:p>
        </w:tc>
        <w:tc>
          <w:tcPr>
            <w:tcW w:w="4600" w:type="dxa"/>
            <w:shd w:val="clear" w:color="auto" w:fill="FFFFFF"/>
          </w:tcPr>
          <w:p>
            <w:pPr>
              <w:spacing w:before="60" w:after="60"/>
              <w:jc w:val="left"/>
            </w:pPr>
            <w:r>
              <w:rPr>
                <w:rFonts w:ascii="Tahoma" w:hAnsi="Tahoma"/>
                <w:color w:val="222222"/>
                <w:sz w:val="18"/>
              </w:rPr>
              <w:t>Zero-based budgeting: assigning every peso a purpose and tracking category-level spending is associated with reduced overspending.</w:t>
            </w:r>
          </w:p>
        </w:tc>
        <w:tc>
          <w:tcPr>
            <w:tcW w:w="3224" w:type="dxa"/>
            <w:shd w:val="clear" w:color="auto" w:fill="FFFFFF"/>
          </w:tcPr>
          <w:p>
            <w:pPr>
              <w:spacing w:before="60" w:after="60"/>
              <w:jc w:val="left"/>
            </w:pPr>
            <w:r>
              <w:rPr>
                <w:rFonts w:ascii="Tahoma" w:hAnsi="Tahoma"/>
                <w:color w:val="222222"/>
                <w:sz w:val="18"/>
              </w:rPr>
              <w:t>Ramsey (2003). The Total Money Makeover.</w:t>
            </w:r>
          </w:p>
        </w:tc>
      </w:tr>
      <w:tr>
        <w:tc>
          <w:tcPr>
            <w:tcW w:w="2400" w:type="dxa"/>
            <w:shd w:val="clear" w:color="auto" w:fill="F5F5F5"/>
          </w:tcPr>
          <w:p>
            <w:pPr>
              <w:spacing w:before="60" w:after="60"/>
              <w:jc w:val="left"/>
            </w:pPr>
            <w:r>
              <w:rPr>
                <w:rFonts w:ascii="Tahoma" w:hAnsi="Tahoma"/>
                <w:color w:val="222222"/>
                <w:sz w:val="18"/>
              </w:rPr>
              <w:t>Logging Consistency — daily recording habit</w:t>
            </w:r>
          </w:p>
        </w:tc>
        <w:tc>
          <w:tcPr>
            <w:tcW w:w="4600" w:type="dxa"/>
            <w:shd w:val="clear" w:color="auto" w:fill="F5F5F5"/>
          </w:tcPr>
          <w:p>
            <w:pPr>
              <w:spacing w:before="60" w:after="60"/>
              <w:jc w:val="left"/>
            </w:pPr>
            <w:r>
              <w:rPr>
                <w:rFonts w:ascii="Tahoma" w:hAnsi="Tahoma"/>
                <w:color w:val="222222"/>
                <w:sz w:val="18"/>
              </w:rPr>
              <w:t>Self-monitoring of financial behavior is associated with increased transaction salience and more deliberate spending decisions.</w:t>
            </w:r>
          </w:p>
        </w:tc>
        <w:tc>
          <w:tcPr>
            <w:tcW w:w="3224" w:type="dxa"/>
            <w:shd w:val="clear" w:color="auto" w:fill="F5F5F5"/>
          </w:tcPr>
          <w:p>
            <w:pPr>
              <w:spacing w:before="60" w:after="60"/>
              <w:jc w:val="left"/>
            </w:pPr>
            <w:r>
              <w:rPr>
                <w:rFonts w:ascii="Tahoma" w:hAnsi="Tahoma"/>
                <w:color w:val="222222"/>
                <w:sz w:val="18"/>
              </w:rPr>
              <w:t>Thaler &amp; Sunstein (2008). Nudge; Mindfulsuite (2026).</w:t>
            </w:r>
          </w:p>
        </w:tc>
      </w:tr>
      <w:tr>
        <w:tc>
          <w:tcPr>
            <w:tcW w:w="2400" w:type="dxa"/>
            <w:shd w:val="clear" w:color="auto" w:fill="FFFFFF"/>
          </w:tcPr>
          <w:p>
            <w:pPr>
              <w:spacing w:before="60" w:after="60"/>
              <w:jc w:val="left"/>
            </w:pPr>
            <w:r>
              <w:rPr>
                <w:rFonts w:ascii="Tahoma" w:hAnsi="Tahoma"/>
                <w:color w:val="222222"/>
                <w:sz w:val="18"/>
              </w:rPr>
              <w:t>Warning Decay — score drops for ignored alerts</w:t>
            </w:r>
          </w:p>
        </w:tc>
        <w:tc>
          <w:tcPr>
            <w:tcW w:w="4600" w:type="dxa"/>
            <w:shd w:val="clear" w:color="auto" w:fill="FFFFFF"/>
          </w:tcPr>
          <w:p>
            <w:pPr>
              <w:spacing w:before="60" w:after="60"/>
              <w:jc w:val="left"/>
            </w:pPr>
            <w:r>
              <w:rPr>
                <w:rFonts w:ascii="Tahoma" w:hAnsi="Tahoma"/>
                <w:color w:val="222222"/>
                <w:sz w:val="18"/>
              </w:rPr>
              <w:t>Loss aversion: people are more motivated to prevent a loss than to achieve an equivalent gain. The score decline makes consequences real.</w:t>
            </w:r>
          </w:p>
        </w:tc>
        <w:tc>
          <w:tcPr>
            <w:tcW w:w="3224" w:type="dxa"/>
            <w:shd w:val="clear" w:color="auto" w:fill="FFFFFF"/>
          </w:tcPr>
          <w:p>
            <w:pPr>
              <w:spacing w:before="60" w:after="60"/>
              <w:jc w:val="left"/>
            </w:pPr>
            <w:r>
              <w:rPr>
                <w:rFonts w:ascii="Tahoma" w:hAnsi="Tahoma"/>
                <w:color w:val="222222"/>
                <w:sz w:val="18"/>
              </w:rPr>
              <w:t>Kahneman &amp; Tversky (1979). Prospect Theory.</w:t>
            </w:r>
          </w:p>
        </w:tc>
      </w:tr>
      <w:tr>
        <w:tc>
          <w:tcPr>
            <w:tcW w:w="2400" w:type="dxa"/>
            <w:shd w:val="clear" w:color="auto" w:fill="F5F5F5"/>
          </w:tcPr>
          <w:p>
            <w:pPr>
              <w:spacing w:before="60" w:after="60"/>
              <w:jc w:val="left"/>
            </w:pPr>
            <w:r>
              <w:rPr>
                <w:rFonts w:ascii="Tahoma" w:hAnsi="Tahoma"/>
                <w:color w:val="222222"/>
                <w:sz w:val="18"/>
              </w:rPr>
              <w:t>Lightweight Mode — for non-income users</w:t>
            </w:r>
          </w:p>
        </w:tc>
        <w:tc>
          <w:tcPr>
            <w:tcW w:w="4600" w:type="dxa"/>
            <w:shd w:val="clear" w:color="auto" w:fill="F5F5F5"/>
          </w:tcPr>
          <w:p>
            <w:pPr>
              <w:spacing w:before="60" w:after="60"/>
              <w:jc w:val="left"/>
            </w:pPr>
            <w:r>
              <w:rPr>
                <w:rFonts w:ascii="Tahoma" w:hAnsi="Tahoma"/>
                <w:color w:val="222222"/>
                <w:sz w:val="18"/>
              </w:rPr>
              <w:t>Financial health metrics must adapt to diverse income structures — students, freelancers, and informal workers cannot compute a savings rate.</w:t>
            </w:r>
          </w:p>
        </w:tc>
        <w:tc>
          <w:tcPr>
            <w:tcW w:w="3224" w:type="dxa"/>
            <w:shd w:val="clear" w:color="auto" w:fill="F5F5F5"/>
          </w:tcPr>
          <w:p>
            <w:pPr>
              <w:spacing w:before="60" w:after="60"/>
              <w:jc w:val="left"/>
            </w:pPr>
            <w:r>
              <w:rPr>
                <w:rFonts w:ascii="Tahoma" w:hAnsi="Tahoma"/>
                <w:color w:val="222222"/>
                <w:sz w:val="18"/>
              </w:rPr>
              <w:t>Financial Health Network (2021); UNSGSA (2021).</w:t>
            </w:r>
          </w:p>
        </w:tc>
      </w:tr>
      <w:tr>
        <w:tc>
          <w:tcPr>
            <w:tcW w:w="2400" w:type="dxa"/>
            <w:shd w:val="clear" w:color="auto" w:fill="FFFFFF"/>
          </w:tcPr>
          <w:p>
            <w:pPr>
              <w:spacing w:before="60" w:after="60"/>
              <w:jc w:val="left"/>
            </w:pPr>
            <w:r>
              <w:rPr>
                <w:rFonts w:ascii="Tahoma" w:hAnsi="Tahoma"/>
                <w:color w:val="222222"/>
                <w:sz w:val="18"/>
              </w:rPr>
              <w:t>Dual-mode formula framework</w:t>
            </w:r>
          </w:p>
        </w:tc>
        <w:tc>
          <w:tcPr>
            <w:tcW w:w="4600" w:type="dxa"/>
            <w:shd w:val="clear" w:color="auto" w:fill="FFFFFF"/>
          </w:tcPr>
          <w:p>
            <w:pPr>
              <w:spacing w:before="60" w:after="60"/>
              <w:jc w:val="left"/>
            </w:pPr>
            <w:r>
              <w:rPr>
                <w:rFonts w:ascii="Tahoma" w:hAnsi="Tahoma"/>
                <w:color w:val="222222"/>
                <w:sz w:val="18"/>
              </w:rPr>
              <w:t>The UNSGSA framework defines financial health as covering both spending control and savings habits — applicable to all demographics.</w:t>
            </w:r>
          </w:p>
        </w:tc>
        <w:tc>
          <w:tcPr>
            <w:tcW w:w="3224" w:type="dxa"/>
            <w:shd w:val="clear" w:color="auto" w:fill="FFFFFF"/>
          </w:tcPr>
          <w:p>
            <w:pPr>
              <w:spacing w:before="60" w:after="60"/>
              <w:jc w:val="left"/>
            </w:pPr>
            <w:r>
              <w:rPr>
                <w:rFonts w:ascii="Tahoma" w:hAnsi="Tahoma"/>
                <w:color w:val="222222"/>
                <w:sz w:val="18"/>
              </w:rPr>
              <w:t>UNSGSA (2021). Measuring Financial Health.</w:t>
            </w:r>
          </w:p>
        </w:tc>
      </w:tr>
    </w:tbl>
    <w:p>
      <w:pPr>
        <w:spacing w:after="80"/>
      </w:pPr>
    </w:p>
    <w:tbl>
      <w:tblPr>
        <w:tblLook w:firstColumn="1" w:firstRow="1" w:lastColumn="0" w:lastRow="0" w:noHBand="0" w:noVBand="1" w:val="04A0"/>
        <w:tblW w:w="10224" w:type="dxa"/>
        <w:tblBorders>
          <w:top w:val="single" w:sz="4" w:space="0" w:color="1A6B3A"/>
          <w:left w:val="single" w:sz="4" w:space="0" w:color="1A6B3A"/>
          <w:bottom w:val="single" w:sz="4" w:space="0" w:color="1A6B3A"/>
          <w:right w:val="single" w:sz="4" w:space="0" w:color="1A6B3A"/>
          <w:insideH w:val="single" w:sz="4" w:space="0" w:color="1A6B3A"/>
          <w:insideV w:val="single" w:sz="4" w:space="0" w:color="1A6B3A"/>
        </w:tblBorders>
      </w:tblPr>
      <w:tblGrid>
        <w:gridCol w:w="10080"/>
      </w:tblGrid>
      <w:tr>
        <w:tc>
          <w:tcPr>
            <w:tcW w:type="dxa" w:w="10080"/>
            <w:shd w:val="clear" w:color="auto" w:fill="EFFFEF"/>
          </w:tcPr>
          <w:p>
            <w:pPr>
              <w:spacing w:before="100" w:after="100"/>
              <w:jc w:val="left"/>
            </w:pPr>
            <w:r>
              <w:rPr>
                <w:rFonts w:ascii="Tahoma" w:hAnsi="Tahoma"/>
                <w:b w:val="0"/>
                <w:color w:val="1A6B3A"/>
                <w:sz w:val="19"/>
              </w:rPr>
              <w:t>🎓  ACADEMIC STANDING</w:t>
              <w:br/>
              <w:t>SmartSpend's FHS is the only mobile-first, offline-capable, Filipino-English financial health scoring system with a fully documented, traceable formula. Every component can be directly cited to a published academic or institutional framework. Unlike commercial apps (Cleo, BudgetPH) whose scoring formulas are proprietary and undisclosed, SmartSpend's FHS is fully transparent and defensible before an academic panel.</w:t>
            </w:r>
          </w:p>
        </w:tc>
      </w:tr>
    </w:tbl>
    <w:p>
      <w:pPr>
        <w:spacing w:after="60"/>
      </w:pPr>
    </w:p>
    <w:p>
      <w:pPr>
        <w:spacing w:before="200" w:after="40"/>
      </w:pPr>
      <w:r>
        <w:rPr>
          <w:rFonts w:ascii="Tahoma" w:hAnsi="Tahoma"/>
          <w:b/>
          <w:color w:val="5C0E24"/>
          <w:sz w:val="24"/>
        </w:rPr>
        <w:t>6.  Why Is This Relevant to Filipino Users?</w:t>
      </w:r>
    </w:p>
    <w:p>
      <w:pPr>
        <w:spacing w:before="0" w:after="60"/>
      </w:pPr>
      <w:r>
        <w:rPr>
          <w:rFonts w:ascii="Tahoma" w:hAnsi="Tahoma"/>
          <w:b w:val="0"/>
          <w:i w:val="0"/>
          <w:color w:val="222222"/>
          <w:sz w:val="19"/>
        </w:rPr>
        <w:t>The FHS was designed with the financial realities of Filipino households in mind — not Western banking behavior.</w:t>
      </w:r>
    </w:p>
    <w:tbl>
      <w:tblPr>
        <w:tblLook w:firstColumn="1" w:firstRow="1" w:lastColumn="0" w:lastRow="0" w:noHBand="0" w:noVBand="1" w:val="04A0"/>
        <w:tblW w:w="10224" w:type="dxa"/>
        <w:jc w:val="lef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5040"/>
        <w:gridCol w:w="5040"/>
      </w:tblGrid>
      <w:tr>
        <w:tc>
          <w:tcPr>
            <w:tcW w:w="3500" w:type="dxa"/>
            <w:shd w:val="clear" w:color="auto" w:fill="5C0E24"/>
          </w:tcPr>
          <w:p>
            <w:pPr>
              <w:spacing w:before="60" w:after="60"/>
              <w:jc w:val="center"/>
            </w:pPr>
            <w:r>
              <w:rPr>
                <w:rFonts w:ascii="Tahoma" w:hAnsi="Tahoma"/>
                <w:b/>
                <w:color w:val="FFFFFF"/>
                <w:sz w:val="18"/>
              </w:rPr>
              <w:t>Filipino Reality</w:t>
            </w:r>
          </w:p>
        </w:tc>
        <w:tc>
          <w:tcPr>
            <w:tcW w:w="6724" w:type="dxa"/>
            <w:shd w:val="clear" w:color="auto" w:fill="5C0E24"/>
          </w:tcPr>
          <w:p>
            <w:pPr>
              <w:spacing w:before="60" w:after="60"/>
              <w:jc w:val="center"/>
            </w:pPr>
            <w:r>
              <w:rPr>
                <w:rFonts w:ascii="Tahoma" w:hAnsi="Tahoma"/>
                <w:b/>
                <w:color w:val="FFFFFF"/>
                <w:sz w:val="18"/>
              </w:rPr>
              <w:t>How the FHS Addresses It</w:t>
            </w:r>
          </w:p>
        </w:tc>
      </w:tr>
      <w:tr>
        <w:tc>
          <w:tcPr>
            <w:tcW w:w="3500" w:type="dxa"/>
            <w:shd w:val="clear" w:color="auto" w:fill="FFFFFF"/>
          </w:tcPr>
          <w:p>
            <w:pPr>
              <w:spacing w:before="60" w:after="60"/>
              <w:jc w:val="left"/>
            </w:pPr>
            <w:r>
              <w:rPr>
                <w:rFonts w:ascii="Tahoma" w:hAnsi="Tahoma"/>
                <w:color w:val="222222"/>
                <w:sz w:val="18"/>
              </w:rPr>
              <w:t>Not everyone has a fixed monthly salary</w:t>
              <w:br/>
              <w:t>(students, freelancers, OFW, informal workers)</w:t>
            </w:r>
          </w:p>
        </w:tc>
        <w:tc>
          <w:tcPr>
            <w:tcW w:w="6724" w:type="dxa"/>
            <w:shd w:val="clear" w:color="auto" w:fill="FFFFFF"/>
          </w:tcPr>
          <w:p>
            <w:pPr>
              <w:spacing w:before="60" w:after="60"/>
              <w:jc w:val="left"/>
            </w:pPr>
            <w:r>
              <w:rPr>
                <w:rFonts w:ascii="Tahoma" w:hAnsi="Tahoma"/>
                <w:color w:val="222222"/>
                <w:sz w:val="18"/>
              </w:rPr>
              <w:t>Lightweight Mode removes the income requirement entirely. The score adapts to spending habits without requiring income data.</w:t>
            </w:r>
          </w:p>
        </w:tc>
      </w:tr>
      <w:tr>
        <w:tc>
          <w:tcPr>
            <w:tcW w:w="3500" w:type="dxa"/>
            <w:shd w:val="clear" w:color="auto" w:fill="F5F5F5"/>
          </w:tcPr>
          <w:p>
            <w:pPr>
              <w:spacing w:before="60" w:after="60"/>
              <w:jc w:val="left"/>
            </w:pPr>
            <w:r>
              <w:rPr>
                <w:rFonts w:ascii="Tahoma" w:hAnsi="Tahoma"/>
                <w:color w:val="222222"/>
                <w:sz w:val="18"/>
              </w:rPr>
              <w:t>Many Filipinos use GCash, Maya, or cash — not credit cards</w:t>
            </w:r>
          </w:p>
        </w:tc>
        <w:tc>
          <w:tcPr>
            <w:tcW w:w="6724" w:type="dxa"/>
            <w:shd w:val="clear" w:color="auto" w:fill="F5F5F5"/>
          </w:tcPr>
          <w:p>
            <w:pPr>
              <w:spacing w:before="60" w:after="60"/>
              <w:jc w:val="left"/>
            </w:pPr>
            <w:r>
              <w:rPr>
                <w:rFonts w:ascii="Tahoma" w:hAnsi="Tahoma"/>
                <w:color w:val="222222"/>
                <w:sz w:val="18"/>
              </w:rPr>
              <w:t>The FHS is computed from any expense logged in the app — regardless of payment method (cash, GCash, Maya, card, etc.).</w:t>
            </w:r>
          </w:p>
        </w:tc>
      </w:tr>
      <w:tr>
        <w:tc>
          <w:tcPr>
            <w:tcW w:w="3500" w:type="dxa"/>
            <w:shd w:val="clear" w:color="auto" w:fill="FFFFFF"/>
          </w:tcPr>
          <w:p>
            <w:pPr>
              <w:spacing w:before="60" w:after="60"/>
              <w:jc w:val="left"/>
            </w:pPr>
            <w:r>
              <w:rPr>
                <w:rFonts w:ascii="Tahoma" w:hAnsi="Tahoma"/>
                <w:color w:val="222222"/>
                <w:sz w:val="18"/>
              </w:rPr>
              <w:t>Budget warnings are often ignored in existing apps</w:t>
            </w:r>
          </w:p>
        </w:tc>
        <w:tc>
          <w:tcPr>
            <w:tcW w:w="6724" w:type="dxa"/>
            <w:shd w:val="clear" w:color="auto" w:fill="FFFFFF"/>
          </w:tcPr>
          <w:p>
            <w:pPr>
              <w:spacing w:before="60" w:after="60"/>
              <w:jc w:val="left"/>
            </w:pPr>
            <w:r>
              <w:rPr>
                <w:rFonts w:ascii="Tahoma" w:hAnsi="Tahoma"/>
                <w:color w:val="222222"/>
                <w:sz w:val="18"/>
              </w:rPr>
              <w:t>Warning Decay (−5 pts/day) gives ignored budget overruns a real consequence that users can see and feel. Based on loss aversion psychology.</w:t>
            </w:r>
          </w:p>
        </w:tc>
      </w:tr>
      <w:tr>
        <w:tc>
          <w:tcPr>
            <w:tcW w:w="3500" w:type="dxa"/>
            <w:shd w:val="clear" w:color="auto" w:fill="F5F5F5"/>
          </w:tcPr>
          <w:p>
            <w:pPr>
              <w:spacing w:before="60" w:after="60"/>
              <w:jc w:val="left"/>
            </w:pPr>
            <w:r>
              <w:rPr>
                <w:rFonts w:ascii="Tahoma" w:hAnsi="Tahoma"/>
                <w:color w:val="222222"/>
                <w:sz w:val="18"/>
              </w:rPr>
              <w:t>Irregular logging is common (busy parents, working students)</w:t>
            </w:r>
          </w:p>
        </w:tc>
        <w:tc>
          <w:tcPr>
            <w:tcW w:w="6724" w:type="dxa"/>
            <w:shd w:val="clear" w:color="auto" w:fill="F5F5F5"/>
          </w:tcPr>
          <w:p>
            <w:pPr>
              <w:spacing w:before="60" w:after="60"/>
              <w:jc w:val="left"/>
            </w:pPr>
            <w:r>
              <w:rPr>
                <w:rFonts w:ascii="Tahoma" w:hAnsi="Tahoma"/>
                <w:color w:val="222222"/>
                <w:sz w:val="18"/>
              </w:rPr>
              <w:t>The Gap Adjustment gives bonus points for honest reporting of genuine no-spend days — rewarding frugality, not just activity.</w:t>
            </w:r>
          </w:p>
        </w:tc>
      </w:tr>
      <w:tr>
        <w:tc>
          <w:tcPr>
            <w:tcW w:w="3500" w:type="dxa"/>
            <w:shd w:val="clear" w:color="auto" w:fill="FFFFFF"/>
          </w:tcPr>
          <w:p>
            <w:pPr>
              <w:spacing w:before="60" w:after="60"/>
              <w:jc w:val="left"/>
            </w:pPr>
            <w:r>
              <w:rPr>
                <w:rFonts w:ascii="Tahoma" w:hAnsi="Tahoma"/>
                <w:color w:val="222222"/>
                <w:sz w:val="18"/>
              </w:rPr>
              <w:t>14 Filipino-specific expense categories</w:t>
            </w:r>
          </w:p>
        </w:tc>
        <w:tc>
          <w:tcPr>
            <w:tcW w:w="6724" w:type="dxa"/>
            <w:shd w:val="clear" w:color="auto" w:fill="FFFFFF"/>
          </w:tcPr>
          <w:p>
            <w:pPr>
              <w:spacing w:before="60" w:after="60"/>
              <w:jc w:val="left"/>
            </w:pPr>
            <w:r>
              <w:rPr>
                <w:rFonts w:ascii="Tahoma" w:hAnsi="Tahoma"/>
                <w:color w:val="222222"/>
                <w:sz w:val="18"/>
              </w:rPr>
              <w:t>Food, Transportation (including jeepney, trike), Bills, Gaming, Personal Care, Education, Pets, etc. — categories matching actual Filipino spending patterns, not Western defaults.</w:t>
            </w:r>
          </w:p>
        </w:tc>
      </w:tr>
    </w:tbl>
    <w:p>
      <w:pPr>
        <w:spacing w:after="80"/>
      </w:pP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Tahoma" w:hAnsi="Tahoma"/>
        <w:color w:val="666666"/>
        <w:sz w:val="14"/>
      </w:rPr>
      <w:t>SmartSpend FHS Evaluator Brief  |  Lucid Frame  |  Lorma Colleges CCSE BSIT  |  AY 2026–2027  |  Confidential — For Evaluator Use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pPr>
    <w:rPr>
      <w:rFonts w:ascii="Tahoma" w:hAnsi="Tahom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