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Tahoma" w:hAnsi="Tahoma"/>
          <w:b/>
          <w:color w:val="5C0E24"/>
          <w:sz w:val="26"/>
        </w:rPr>
        <w:t>SmartSpend — System Usability Scale (SUS) Computation Sheet</w:t>
      </w:r>
    </w:p>
    <w:p>
      <w:pPr>
        <w:spacing w:before="0" w:after="40"/>
        <w:jc w:val="center"/>
      </w:pPr>
      <w:r>
        <w:rPr>
          <w:rFonts w:ascii="Tahoma" w:hAnsi="Tahoma"/>
          <w:b/>
          <w:color w:val="222222"/>
          <w:sz w:val="18"/>
        </w:rPr>
        <w:t>Capstone Project Evaluation  |  Lorma Colleges CCSE BSIT  |  AY 2026–2027, 1st Semester</w:t>
      </w:r>
    </w:p>
    <w:p>
      <w:pPr>
        <w:spacing w:before="0" w:after="40"/>
        <w:jc w:val="center"/>
      </w:pPr>
      <w:r>
        <w:rPr>
          <w:rFonts w:ascii="Tahoma" w:hAnsi="Tahoma"/>
          <w:b/>
          <w:color w:val="222222"/>
          <w:sz w:val="17"/>
        </w:rPr>
        <w:t>Project Manager &amp; QA Lead: Djaunathan Albert S. Madayag  |  Study Population: 30 Respondents (20 Parents 35–55, 10 Young Professionals 21–35)</w:t>
      </w:r>
    </w:p>
    <w:p>
      <w:pPr>
        <w:spacing w:before="0" w:after="80"/>
        <w:jc w:val="center"/>
      </w:pPr>
      <w:r>
        <w:rPr>
          <w:rFonts w:ascii="Tahoma" w:hAnsi="Tahoma"/>
          <w:b/>
          <w:color w:val="440011"/>
          <w:sz w:val="17"/>
        </w:rPr>
        <w:t>Formula:  Odd items (Q1,Q3,Q5,Q7,Q9): Adjusted = Raw − 1  |  Even items (Q2,Q4,Q6,Q8,Q10): Adjusted = 5 − Raw  |  SUS Score = Sum of 10 Adjusted Values × 2.5  |  Target: ≥ 80</w:t>
      </w:r>
    </w:p>
    <w:p>
      <w:pPr>
        <w:spacing w:before="40" w:after="40"/>
      </w:pPr>
      <w:r>
        <w:rPr>
          <w:rFonts w:ascii="Tahoma" w:hAnsi="Tahoma"/>
          <w:b/>
          <w:color w:val="2A4A7F"/>
          <w:sz w:val="17"/>
        </w:rPr>
        <w:t>SUS Questionnaire Items (respondent rates each 1–5: 1=Strongly Disagree, 5=Strongly Agree)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  <w:gridCol w:w="3485"/>
        <w:gridCol w:w="3485"/>
      </w:tblGrid>
      <w:tr>
        <w:tc>
          <w:tcPr>
            <w:tcW w:type="dxa" w:w="3485"/>
            <w:shd w:val="clear" w:color="auto" w:fill="F5EEF0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Q1: I think that I would like to use this system frequently.</w:t>
              <w:br/>
              <w:t>ODD  → Adj = Raw − 1</w:t>
            </w:r>
          </w:p>
        </w:tc>
        <w:tc>
          <w:tcPr>
            <w:tcW w:type="dxa" w:w="3485"/>
            <w:shd w:val="clear" w:color="auto" w:fill="FAF6F7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2A4A7F"/>
                <w:sz w:val="15"/>
              </w:rPr>
              <w:t>Q2: I found the system unnecessarily complex.</w:t>
              <w:br/>
              <w:t>EVEN → Adj = 5 − Raw</w:t>
            </w:r>
          </w:p>
        </w:tc>
        <w:tc>
          <w:tcPr>
            <w:tcW w:type="dxa" w:w="3485"/>
            <w:shd w:val="clear" w:color="auto" w:fill="F5EEF0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Q3: I thought the system was easy to use.</w:t>
              <w:br/>
              <w:t>ODD  → Adj = Raw − 1</w:t>
            </w:r>
          </w:p>
        </w:tc>
        <w:tc>
          <w:tcPr>
            <w:tcW w:type="dxa" w:w="3485"/>
            <w:shd w:val="clear" w:color="auto" w:fill="FAF6F7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2A4A7F"/>
                <w:sz w:val="15"/>
              </w:rPr>
              <w:t>Q4: I think that I would need support from a technical person.</w:t>
              <w:br/>
              <w:t>EVEN → Adj = 5 − Raw</w:t>
            </w:r>
          </w:p>
        </w:tc>
        <w:tc>
          <w:tcPr>
            <w:tcW w:type="dxa" w:w="3485"/>
            <w:shd w:val="clear" w:color="auto" w:fill="F5EEF0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Q5: I found the various functions in this system well integrated.</w:t>
              <w:br/>
              <w:t>ODD  → Adj = Raw − 1</w:t>
            </w:r>
          </w:p>
        </w:tc>
      </w:tr>
      <w:tr>
        <w:tc>
          <w:tcPr>
            <w:tcW w:type="dxa" w:w="3485"/>
            <w:shd w:val="clear" w:color="auto" w:fill="FAF6F7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2A4A7F"/>
                <w:sz w:val="15"/>
              </w:rPr>
              <w:t>Q6: I thought there was too much inconsistency in this system.</w:t>
              <w:br/>
              <w:t>EVEN → Adj = 5 − Raw</w:t>
            </w:r>
          </w:p>
        </w:tc>
        <w:tc>
          <w:tcPr>
            <w:tcW w:type="dxa" w:w="3485"/>
            <w:shd w:val="clear" w:color="auto" w:fill="F5EEF0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Q7: I would imagine that most people would learn this system quickly.</w:t>
              <w:br/>
              <w:t>ODD  → Adj = Raw − 1</w:t>
            </w:r>
          </w:p>
        </w:tc>
        <w:tc>
          <w:tcPr>
            <w:tcW w:type="dxa" w:w="3485"/>
            <w:shd w:val="clear" w:color="auto" w:fill="FAF6F7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2A4A7F"/>
                <w:sz w:val="15"/>
              </w:rPr>
              <w:t>Q8: I found the system very cumbersome / awkward to use.</w:t>
              <w:br/>
              <w:t>EVEN → Adj = 5 − Raw</w:t>
            </w:r>
          </w:p>
        </w:tc>
        <w:tc>
          <w:tcPr>
            <w:tcW w:type="dxa" w:w="3485"/>
            <w:shd w:val="clear" w:color="auto" w:fill="F5EEF0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Q9: I felt very confident using the system.</w:t>
              <w:br/>
              <w:t>ODD  → Adj = Raw − 1</w:t>
            </w:r>
          </w:p>
        </w:tc>
        <w:tc>
          <w:tcPr>
            <w:tcW w:type="dxa" w:w="3485"/>
            <w:shd w:val="clear" w:color="auto" w:fill="FAF6F7"/>
            <w:tcBorders>
              <w:top w:val="single" w:sz="3" w:space="0" w:color="CCAABB"/>
              <w:left w:val="single" w:sz="3" w:space="0" w:color="CCAABB"/>
              <w:bottom w:val="single" w:sz="3" w:space="0" w:color="CCAABB"/>
              <w:right w:val="single" w:sz="3" w:space="0" w:color="CCAABB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2A4A7F"/>
                <w:sz w:val="15"/>
              </w:rPr>
              <w:t>Q10: I needed to learn a lot of things before I could get going.</w:t>
              <w:br/>
              <w:t>EVEN → Adj = 5 − Raw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ascii="Tahoma" w:hAnsi="Tahoma"/>
          <w:b/>
          <w:color w:val="222222"/>
          <w:sz w:val="18"/>
        </w:rPr>
        <w:t>Table 1. SUS Raw Scores, Adjusted Values, and Final Scores — 30 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403"/>
            <w:shd w:val="clear" w:color="auto" w:fill="5C0E24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1037"/>
            <w:shd w:val="clear" w:color="auto" w:fill="5C0E24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Q1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Q2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Q3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Q4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Q5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Q6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Q7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Q8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Q9</w:t>
            </w:r>
          </w:p>
        </w:tc>
        <w:tc>
          <w:tcPr>
            <w:tcW w:type="dxa" w:w="446"/>
            <w:shd w:val="clear" w:color="auto" w:fill="2A4A7F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Q10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Q1*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Q2*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Q3*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Q4*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Q5*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Q6*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Q7*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Q8*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Q9*</w:t>
            </w:r>
          </w:p>
        </w:tc>
        <w:tc>
          <w:tcPr>
            <w:tcW w:type="dxa" w:w="446"/>
            <w:shd w:val="clear" w:color="auto" w:fill="1A6B3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Q10*</w:t>
            </w:r>
          </w:p>
        </w:tc>
        <w:tc>
          <w:tcPr>
            <w:tcW w:type="dxa" w:w="504"/>
            <w:shd w:val="clear" w:color="auto" w:fill="5C0E24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Σ</w:t>
            </w:r>
          </w:p>
        </w:tc>
        <w:tc>
          <w:tcPr>
            <w:tcW w:type="dxa" w:w="835"/>
            <w:shd w:val="clear" w:color="auto" w:fill="5C0E24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SUS</w:t>
              <w:br/>
              <w:t>Score</w:t>
            </w:r>
          </w:p>
        </w:tc>
      </w:tr>
      <w:tr>
        <w:tc>
          <w:tcPr>
            <w:tcW w:type="dxa" w:w="403"/>
            <w:shd w:val="clear" w:color="auto" w:fill="DDDDDD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037"/>
            <w:shd w:val="clear" w:color="auto" w:fill="DDDDDD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 scores (1–5) →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EEFF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Raw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446"/>
            <w:shd w:val="clear" w:color="auto" w:fill="DDFFEE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Adj</w:t>
            </w:r>
          </w:p>
        </w:tc>
        <w:tc>
          <w:tcPr>
            <w:tcW w:type="dxa" w:w="504"/>
            <w:shd w:val="clear" w:color="auto" w:fill="DDDDDD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Sum</w:t>
              <w:br/>
              <w:t>(max 40)</w:t>
            </w:r>
          </w:p>
        </w:tc>
        <w:tc>
          <w:tcPr>
            <w:tcW w:type="dxa" w:w="835"/>
            <w:shd w:val="clear" w:color="auto" w:fill="DDDDDD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5"/>
              </w:rPr>
              <w:t>Score</w:t>
              <w:br/>
              <w:t>(max 100)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3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4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5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6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7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8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9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10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11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12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13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14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15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16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17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18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19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20</w:t>
            </w:r>
          </w:p>
        </w:tc>
        <w:tc>
          <w:tcPr>
            <w:tcW w:type="dxa" w:w="1037"/>
            <w:shd w:val="clear" w:color="auto" w:fill="FFF0F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5C0E24"/>
                <w:sz w:val="15"/>
              </w:rPr>
              <w:t>Parent (35–55)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21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22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23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24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25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26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27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28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29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F8F8F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sz w:val="17"/>
              </w:rPr>
              <w:t>30</w:t>
            </w:r>
          </w:p>
        </w:tc>
        <w:tc>
          <w:tcPr>
            <w:tcW w:type="dxa" w:w="1037"/>
            <w:shd w:val="clear" w:color="auto" w:fill="F0FFF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 w:val="0"/>
                <w:i w:val="0"/>
                <w:color w:val="1A6B3A"/>
                <w:sz w:val="15"/>
              </w:rPr>
              <w:t>Young Prof. (21–35)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FFFDE7"/>
            <w:tcBorders>
              <w:top w:val="single" w:sz="4" w:space="0" w:color="CCBBAA"/>
              <w:left w:val="single" w:sz="4" w:space="0" w:color="CCBBAA"/>
              <w:bottom w:val="single" w:sz="4" w:space="0" w:color="CCBBAA"/>
              <w:right w:val="single" w:sz="4" w:space="0" w:color="CCBB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CCCCCC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446"/>
            <w:shd w:val="clear" w:color="auto" w:fill="E8F5E9"/>
            <w:tcBorders>
              <w:top w:val="single" w:sz="4" w:space="0" w:color="AACCAA"/>
              <w:left w:val="single" w:sz="4" w:space="0" w:color="AACCAA"/>
              <w:bottom w:val="single" w:sz="4" w:space="0" w:color="AACCAA"/>
              <w:right w:val="single" w:sz="4" w:space="0" w:color="AACC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BBCCBB"/>
                <w:sz w:val="16"/>
              </w:rPr>
              <w:t>_____</w:t>
            </w:r>
          </w:p>
        </w:tc>
        <w:tc>
          <w:tcPr>
            <w:tcW w:type="dxa" w:w="504"/>
            <w:shd w:val="clear" w:color="auto" w:fill="E3F2FD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7"/>
              </w:rPr>
              <w:t>____</w:t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______</w:t>
            </w:r>
          </w:p>
        </w:tc>
      </w:tr>
      <w:tr>
        <w:tc>
          <w:tcPr>
            <w:tcW w:type="dxa" w:w="403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1037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504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835"/>
            <w:shd w:val="clear" w:color="auto" w:fill="CCCCCC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"/>
            <w:shd w:val="clear" w:color="auto" w:fill="5C0E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6"/>
              </w:rPr>
              <w:t>—</w:t>
            </w:r>
          </w:p>
        </w:tc>
        <w:tc>
          <w:tcPr>
            <w:tcW w:type="dxa" w:w="1037"/>
            <w:shd w:val="clear" w:color="auto" w:fill="5C0E2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left"/>
            </w:pPr>
            <w:r>
              <w:rPr>
                <w:rFonts w:ascii="Tahoma" w:hAnsi="Tahoma"/>
                <w:b/>
                <w:i w:val="0"/>
                <w:color w:val="FFFFFF"/>
                <w:sz w:val="17"/>
              </w:rPr>
              <w:t>OVERALL AVERAGE (n=30)</w:t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446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504"/>
            <w:shd w:val="clear" w:color="auto" w:fill="EEE8F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sz w:val="16"/>
              </w:rPr>
            </w:r>
          </w:p>
        </w:tc>
        <w:tc>
          <w:tcPr>
            <w:tcW w:type="dxa" w:w="835"/>
            <w:shd w:val="clear" w:color="auto" w:fill="EDE7F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20"/>
              </w:rPr>
              <w:t>[  ____  ]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ascii="Tahoma" w:hAnsi="Tahoma"/>
          <w:b/>
          <w:color w:val="222222"/>
          <w:sz w:val="18"/>
        </w:rPr>
        <w:t>Table 2. SUS Score Interpretation Guide (Bangor et al., 2009; Brooke, 1996)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85"/>
        <w:gridCol w:w="3485"/>
        <w:gridCol w:w="3485"/>
        <w:gridCol w:w="3485"/>
        <w:gridCol w:w="3485"/>
      </w:tblGrid>
      <w:tr>
        <w:tc>
          <w:tcPr>
            <w:tcW w:type="dxa" w:w="2016"/>
            <w:shd w:val="clear" w:color="auto" w:fill="5C0E2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8"/>
              </w:rPr>
              <w:t>SUS Score Range</w:t>
            </w:r>
          </w:p>
        </w:tc>
        <w:tc>
          <w:tcPr>
            <w:tcW w:type="dxa" w:w="720"/>
            <w:shd w:val="clear" w:color="auto" w:fill="5C0E2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1872"/>
            <w:shd w:val="clear" w:color="auto" w:fill="5C0E2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8"/>
              </w:rPr>
              <w:t>Adjective</w:t>
              <w:br/>
              <w:t>(Bangor et al., 2009)</w:t>
            </w:r>
          </w:p>
        </w:tc>
        <w:tc>
          <w:tcPr>
            <w:tcW w:type="dxa" w:w="2016"/>
            <w:shd w:val="clear" w:color="auto" w:fill="5C0E2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8"/>
              </w:rPr>
              <w:t>Acceptability</w:t>
              <w:br/>
              <w:t>(Brooke, 1996)</w:t>
            </w:r>
          </w:p>
        </w:tc>
        <w:tc>
          <w:tcPr>
            <w:tcW w:type="dxa" w:w="2592"/>
            <w:shd w:val="clear" w:color="auto" w:fill="5C0E2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FFFFFF"/>
                <w:sz w:val="18"/>
              </w:rPr>
              <w:t>SmartSpend Target</w:t>
            </w:r>
          </w:p>
        </w:tc>
      </w:tr>
      <w:tr>
        <w:tc>
          <w:tcPr>
            <w:tcW w:type="dxa" w:w="2016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≥ 90.0</w:t>
            </w:r>
          </w:p>
        </w:tc>
        <w:tc>
          <w:tcPr>
            <w:tcW w:type="dxa" w:w="720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A+</w:t>
            </w:r>
          </w:p>
        </w:tc>
        <w:tc>
          <w:tcPr>
            <w:tcW w:type="dxa" w:w="1872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Best Imaginable</w:t>
            </w:r>
          </w:p>
        </w:tc>
        <w:tc>
          <w:tcPr>
            <w:tcW w:type="dxa" w:w="2016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Acceptable</w:t>
            </w:r>
          </w:p>
        </w:tc>
        <w:tc>
          <w:tcPr>
            <w:tcW w:type="dxa" w:w="2592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016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85.0 – 89.9</w:t>
            </w:r>
          </w:p>
        </w:tc>
        <w:tc>
          <w:tcPr>
            <w:tcW w:type="dxa" w:w="720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872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Excellent</w:t>
            </w:r>
          </w:p>
        </w:tc>
        <w:tc>
          <w:tcPr>
            <w:tcW w:type="dxa" w:w="2016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Acceptable</w:t>
            </w:r>
          </w:p>
        </w:tc>
        <w:tc>
          <w:tcPr>
            <w:tcW w:type="dxa" w:w="2592"/>
            <w:shd w:val="clear" w:color="auto" w:fill="E8F5E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016"/>
            <w:shd w:val="clear" w:color="auto" w:fill="C8E6C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80.0 – 84.9</w:t>
            </w:r>
          </w:p>
        </w:tc>
        <w:tc>
          <w:tcPr>
            <w:tcW w:type="dxa" w:w="720"/>
            <w:shd w:val="clear" w:color="auto" w:fill="C8E6C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B</w:t>
            </w:r>
          </w:p>
        </w:tc>
        <w:tc>
          <w:tcPr>
            <w:tcW w:type="dxa" w:w="1872"/>
            <w:shd w:val="clear" w:color="auto" w:fill="C8E6C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Good</w:t>
            </w:r>
          </w:p>
        </w:tc>
        <w:tc>
          <w:tcPr>
            <w:tcW w:type="dxa" w:w="2016"/>
            <w:shd w:val="clear" w:color="auto" w:fill="C8E6C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Acceptable</w:t>
            </w:r>
          </w:p>
        </w:tc>
        <w:tc>
          <w:tcPr>
            <w:tcW w:type="dxa" w:w="2592"/>
            <w:shd w:val="clear" w:color="auto" w:fill="C8E6C9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/>
                <w:i w:val="0"/>
                <w:color w:val="5C0E24"/>
                <w:sz w:val="18"/>
              </w:rPr>
              <w:t>← MINIMUM TARGET</w:t>
            </w:r>
          </w:p>
        </w:tc>
      </w:tr>
      <w:tr>
        <w:tc>
          <w:tcPr>
            <w:tcW w:type="dxa" w:w="2016"/>
            <w:shd w:val="clear" w:color="auto" w:fill="FFF9C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70.0 – 79.9</w:t>
            </w:r>
          </w:p>
        </w:tc>
        <w:tc>
          <w:tcPr>
            <w:tcW w:type="dxa" w:w="720"/>
            <w:shd w:val="clear" w:color="auto" w:fill="FFF9C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872"/>
            <w:shd w:val="clear" w:color="auto" w:fill="FFF9C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2016"/>
            <w:shd w:val="clear" w:color="auto" w:fill="FFF9C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Marginal</w:t>
            </w:r>
          </w:p>
        </w:tc>
        <w:tc>
          <w:tcPr>
            <w:tcW w:type="dxa" w:w="2592"/>
            <w:shd w:val="clear" w:color="auto" w:fill="FFF9C4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016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51.0 – 69.9</w:t>
            </w:r>
          </w:p>
        </w:tc>
        <w:tc>
          <w:tcPr>
            <w:tcW w:type="dxa" w:w="720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D</w:t>
            </w:r>
          </w:p>
        </w:tc>
        <w:tc>
          <w:tcPr>
            <w:tcW w:type="dxa" w:w="1872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Poor</w:t>
            </w:r>
          </w:p>
        </w:tc>
        <w:tc>
          <w:tcPr>
            <w:tcW w:type="dxa" w:w="2016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Marginal</w:t>
            </w:r>
          </w:p>
        </w:tc>
        <w:tc>
          <w:tcPr>
            <w:tcW w:type="dxa" w:w="2592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016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&lt; 51.0</w:t>
            </w:r>
          </w:p>
        </w:tc>
        <w:tc>
          <w:tcPr>
            <w:tcW w:type="dxa" w:w="720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F</w:t>
            </w:r>
          </w:p>
        </w:tc>
        <w:tc>
          <w:tcPr>
            <w:tcW w:type="dxa" w:w="1872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Awful</w:t>
            </w:r>
          </w:p>
        </w:tc>
        <w:tc>
          <w:tcPr>
            <w:tcW w:type="dxa" w:w="2016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  <w:t>Not Acceptable</w:t>
            </w:r>
          </w:p>
        </w:tc>
        <w:tc>
          <w:tcPr>
            <w:tcW w:type="dxa" w:w="2592"/>
            <w:shd w:val="clear" w:color="auto" w:fill="FFCCBC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</w:tcPr>
          <w:p>
            <w:pPr>
              <w:spacing w:before="20" w:after="20"/>
              <w:jc w:val="center"/>
            </w:pPr>
            <w:r>
              <w:rPr>
                <w:rFonts w:ascii="Tahoma" w:hAnsi="Tahoma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Tahoma" w:hAnsi="Tahoma"/>
          <w:b/>
          <w:color w:val="5C0E24"/>
          <w:sz w:val="18"/>
        </w:rPr>
        <w:t>Instructions for Djaunathan (QA Lead):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1.  Print this sheet or open in Word/Excel. After each respondent demo session, collect the filled SUS questionnaire.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2.  Enter their 10 raw scores (1–5) in the yellow cells (Q1–Q10 columns).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3.  Compute adjusted values — ODD items (Q1,Q3,Q5,Q7,Q9): subtract 1. EVEN items (Q2,Q4,Q6,Q8,Q10): subtract from 5.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4.  Enter adjusted values in the green cells (Q1*–Q10* columns).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5.  Sum all 10 adjusted values and enter in Σ column (maximum = 40).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6.  Multiply Σ × 2.5 = SUS Score. Enter in the purple SUS Score column (maximum = 100).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7.  After all 30 respondents are done: average the 30 SUS scores for the Overall Average.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8.  Compare the Overall Average to Table 2. Target is ≥ 80.0 (Grade B, "Good", Acceptable).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  <w:t>9.  Bring completed sheets to Brix so scores can be inserted into Chapter III of the manuscript.</w:t>
      </w:r>
    </w:p>
    <w:p>
      <w:pPr>
        <w:spacing w:before="20" w:after="20"/>
      </w:pPr>
      <w:r>
        <w:rPr>
          <w:rFonts w:ascii="Tahoma" w:hAnsi="Tahoma"/>
          <w:b w:val="0"/>
          <w:i w:val="0"/>
          <w:sz w:val="17"/>
        </w:rPr>
      </w:r>
    </w:p>
    <w:p>
      <w:pPr>
        <w:spacing w:before="20" w:after="20"/>
      </w:pPr>
      <w:r>
        <w:rPr>
          <w:rFonts w:ascii="Tahoma" w:hAnsi="Tahoma"/>
          <w:b/>
          <w:i/>
          <w:sz w:val="17"/>
        </w:rPr>
        <w:t>References:</w:t>
      </w:r>
    </w:p>
    <w:p>
      <w:pPr>
        <w:spacing w:before="20" w:after="20"/>
      </w:pPr>
      <w:r>
        <w:rPr>
          <w:rFonts w:ascii="Tahoma" w:hAnsi="Tahoma"/>
          <w:b w:val="0"/>
          <w:i/>
          <w:sz w:val="17"/>
        </w:rPr>
        <w:t>Brooke, J. (1996). SUS: A quick and dirty usability scale. In Usability evaluation in industry (pp. 189–194). Taylor &amp; Francis.</w:t>
      </w:r>
    </w:p>
    <w:p>
      <w:pPr>
        <w:spacing w:before="20" w:after="20"/>
      </w:pPr>
      <w:r>
        <w:rPr>
          <w:rFonts w:ascii="Tahoma" w:hAnsi="Tahoma"/>
          <w:b w:val="0"/>
          <w:i/>
          <w:sz w:val="17"/>
        </w:rPr>
        <w:t>Bangor, A., Kortum, P., &amp; Miller, J. (2009). Determining what individual SUS scores mean. Journal of Usability Studies, 4(3), 114–123.</w:t>
      </w:r>
    </w:p>
    <w:sectPr w:rsidR="00FC693F" w:rsidRPr="0006063C" w:rsidSect="00034616">
      <w:pgSz w:w="18720" w:h="122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