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80"/>
      </w:tblGrid>
      <w:tr>
        <w:tc>
          <w:tcPr>
            <w:tcW w:type="dxa" w:w="10080"/>
            <w:shd w:val="clear" w:color="auto" w:fill="1A3A6B"/>
          </w:tcPr>
          <w:p>
            <w:pPr>
              <w:spacing w:before="120" w:after="40"/>
              <w:jc w:val="center"/>
            </w:pPr>
            <w:r>
              <w:rPr>
                <w:rFonts w:ascii="Tahoma" w:hAnsi="Tahoma"/>
                <w:b/>
                <w:color w:val="FFFFFF"/>
                <w:sz w:val="32"/>
              </w:rPr>
              <w:t>SmartSpend — Application Brief</w:t>
            </w:r>
          </w:p>
          <w:p>
            <w:pPr>
              <w:spacing w:before="0" w:after="120"/>
              <w:jc w:val="center"/>
            </w:pPr>
            <w:r>
              <w:rPr>
                <w:rFonts w:ascii="Tahoma" w:hAnsi="Tahoma"/>
                <w:i/>
                <w:color w:val="FFFFCC"/>
                <w:sz w:val="19"/>
              </w:rPr>
              <w:t>What It Is · Who It Helps · What It Does · Why It Matters</w:t>
              <w:br/>
              <w:t>For Advisers, Validators, and Panel Evaluators</w:t>
              <w:br/>
              <w:t>Lucid Frame | Lorma Colleges CCSE BSIT | AY 2026–2027</w:t>
            </w:r>
          </w:p>
        </w:tc>
      </w:tr>
    </w:tbl>
    <w:p>
      <w:pPr>
        <w:spacing w:after="80"/>
      </w:pPr>
    </w:p>
    <w:tbl>
      <w:tblPr>
        <w:tblLook w:firstColumn="1" w:firstRow="1" w:lastColumn="0" w:lastRow="0" w:noHBand="0" w:noVBand="1" w:val="04A0"/>
        <w:tblW w:w="10224" w:type="dxa"/>
        <w:tblBorders>
          <w:top w:val="single" w:sz="4" w:space="0" w:color="1A3A6B"/>
          <w:left w:val="single" w:sz="4" w:space="0" w:color="1A3A6B"/>
          <w:bottom w:val="single" w:sz="4" w:space="0" w:color="1A3A6B"/>
          <w:right w:val="single" w:sz="4" w:space="0" w:color="1A3A6B"/>
          <w:insideH w:val="single" w:sz="4" w:space="0" w:color="1A3A6B"/>
          <w:insideV w:val="single" w:sz="4" w:space="0" w:color="1A3A6B"/>
        </w:tblBorders>
      </w:tblPr>
      <w:tblGrid>
        <w:gridCol w:w="10080"/>
      </w:tblGrid>
      <w:tr>
        <w:tc>
          <w:tcPr>
            <w:tcW w:type="dxa" w:w="10080"/>
            <w:shd w:val="clear" w:color="auto" w:fill="EEF4FF"/>
          </w:tcPr>
          <w:p>
            <w:pPr>
              <w:spacing w:before="100" w:after="100"/>
              <w:jc w:val="left"/>
            </w:pPr>
            <w:r>
              <w:rPr>
                <w:rFonts w:ascii="Tahoma" w:hAnsi="Tahoma"/>
                <w:b w:val="0"/>
                <w:color w:val="1A3A6B"/>
                <w:sz w:val="19"/>
              </w:rPr>
              <w:t>📋  PURPOSE OF THIS DOCUMENT</w:t>
              <w:br/>
              <w:t>This brief explains SmartSpend in plain terms — no technical background required. It covers: what the app is, what problem it solves, who it is designed for, what its main features are, how someone uses it, and what the Financial Health Score means. It is intended for advisers, expert validators, and evaluators who need to understand the app's relevance before reviewing or validating research materials.</w:t>
            </w:r>
          </w:p>
        </w:tc>
      </w:tr>
    </w:tbl>
    <w:p>
      <w:pPr>
        <w:spacing w:after="60"/>
      </w:pPr>
    </w:p>
    <w:p>
      <w:pPr>
        <w:spacing w:before="200" w:after="40"/>
      </w:pPr>
      <w:r>
        <w:rPr>
          <w:rFonts w:ascii="Tahoma" w:hAnsi="Tahoma"/>
          <w:b/>
          <w:color w:val="1A3A6B"/>
          <w:sz w:val="24"/>
        </w:rPr>
        <w:t>1.  What Is SmartSpend?</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5040"/>
        <w:gridCol w:w="5040"/>
      </w:tblGrid>
      <w:tr>
        <w:tc>
          <w:tcPr>
            <w:tcW w:w="2000" w:type="dxa"/>
            <w:shd w:val="clear" w:color="auto" w:fill="1A3A6B"/>
          </w:tcPr>
          <w:p>
            <w:pPr>
              <w:spacing w:before="60" w:after="60"/>
              <w:jc w:val="center"/>
            </w:pPr>
            <w:r>
              <w:rPr>
                <w:rFonts w:ascii="Tahoma" w:hAnsi="Tahoma"/>
                <w:b/>
                <w:color w:val="FFFFFF"/>
                <w:sz w:val="18"/>
              </w:rPr>
              <w:t>Item</w:t>
            </w:r>
          </w:p>
        </w:tc>
        <w:tc>
          <w:tcPr>
            <w:tcW w:w="8224" w:type="dxa"/>
            <w:shd w:val="clear" w:color="auto" w:fill="1A3A6B"/>
          </w:tcPr>
          <w:p>
            <w:pPr>
              <w:spacing w:before="60" w:after="60"/>
              <w:jc w:val="center"/>
            </w:pPr>
            <w:r>
              <w:rPr>
                <w:rFonts w:ascii="Tahoma" w:hAnsi="Tahoma"/>
                <w:b/>
                <w:color w:val="FFFFFF"/>
                <w:sz w:val="18"/>
              </w:rPr>
              <w:t>Detail</w:t>
            </w:r>
          </w:p>
        </w:tc>
      </w:tr>
      <w:tr>
        <w:tc>
          <w:tcPr>
            <w:tcW w:w="2000" w:type="dxa"/>
            <w:shd w:val="clear" w:color="auto" w:fill="FFFFFF"/>
          </w:tcPr>
          <w:p>
            <w:pPr>
              <w:spacing w:before="60" w:after="60"/>
              <w:jc w:val="left"/>
            </w:pPr>
            <w:r>
              <w:rPr>
                <w:rFonts w:ascii="Tahoma" w:hAnsi="Tahoma"/>
                <w:color w:val="222222"/>
                <w:sz w:val="19"/>
              </w:rPr>
              <w:t>Full Title</w:t>
            </w:r>
          </w:p>
        </w:tc>
        <w:tc>
          <w:tcPr>
            <w:tcW w:w="8224" w:type="dxa"/>
            <w:shd w:val="clear" w:color="auto" w:fill="FFFFFF"/>
          </w:tcPr>
          <w:p>
            <w:pPr>
              <w:spacing w:before="60" w:after="60"/>
              <w:jc w:val="left"/>
            </w:pPr>
            <w:r>
              <w:rPr>
                <w:rFonts w:ascii="Tahoma" w:hAnsi="Tahoma"/>
                <w:color w:val="222222"/>
                <w:sz w:val="19"/>
              </w:rPr>
              <w:t>SmartSpend: An AI-Assisted Multi-Modal Personal Financial Management Application for Filipino Users</w:t>
            </w:r>
          </w:p>
        </w:tc>
      </w:tr>
      <w:tr>
        <w:tc>
          <w:tcPr>
            <w:tcW w:w="2000" w:type="dxa"/>
            <w:shd w:val="clear" w:color="auto" w:fill="F5F5F5"/>
          </w:tcPr>
          <w:p>
            <w:pPr>
              <w:spacing w:before="60" w:after="60"/>
              <w:jc w:val="left"/>
            </w:pPr>
            <w:r>
              <w:rPr>
                <w:rFonts w:ascii="Tahoma" w:hAnsi="Tahoma"/>
                <w:color w:val="222222"/>
                <w:sz w:val="19"/>
              </w:rPr>
              <w:t>In Plain Terms</w:t>
            </w:r>
          </w:p>
        </w:tc>
        <w:tc>
          <w:tcPr>
            <w:tcW w:w="8224" w:type="dxa"/>
            <w:shd w:val="clear" w:color="auto" w:fill="F5F5F5"/>
          </w:tcPr>
          <w:p>
            <w:pPr>
              <w:spacing w:before="60" w:after="60"/>
              <w:jc w:val="left"/>
            </w:pPr>
            <w:r>
              <w:rPr>
                <w:rFonts w:ascii="Tahoma" w:hAnsi="Tahoma"/>
                <w:color w:val="222222"/>
                <w:sz w:val="19"/>
              </w:rPr>
              <w:t>A free Android app that helps Filipinos track their spending, manage budgets, set savings goals, and understand their financial habits — without filling out forms. You just tell the app what you spent in plain language, and it does the rest.</w:t>
            </w:r>
          </w:p>
        </w:tc>
      </w:tr>
      <w:tr>
        <w:tc>
          <w:tcPr>
            <w:tcW w:w="2000" w:type="dxa"/>
            <w:shd w:val="clear" w:color="auto" w:fill="FFFFFF"/>
          </w:tcPr>
          <w:p>
            <w:pPr>
              <w:spacing w:before="60" w:after="60"/>
              <w:jc w:val="left"/>
            </w:pPr>
            <w:r>
              <w:rPr>
                <w:rFonts w:ascii="Tahoma" w:hAnsi="Tahoma"/>
                <w:color w:val="222222"/>
                <w:sz w:val="19"/>
              </w:rPr>
              <w:t>Developed By</w:t>
            </w:r>
          </w:p>
        </w:tc>
        <w:tc>
          <w:tcPr>
            <w:tcW w:w="8224" w:type="dxa"/>
            <w:shd w:val="clear" w:color="auto" w:fill="FFFFFF"/>
          </w:tcPr>
          <w:p>
            <w:pPr>
              <w:spacing w:before="60" w:after="60"/>
              <w:jc w:val="left"/>
            </w:pPr>
            <w:r>
              <w:rPr>
                <w:rFonts w:ascii="Tahoma" w:hAnsi="Tahoma"/>
                <w:color w:val="222222"/>
                <w:sz w:val="19"/>
              </w:rPr>
              <w:t>Lucid Frame — Brix A. Directo (Lead Developer), Cyrille John M. Rubis (UI/UX &amp; Documentation), Djaunathan Albert S. Madayag (Project Manager &amp; QA)</w:t>
            </w:r>
          </w:p>
        </w:tc>
      </w:tr>
      <w:tr>
        <w:tc>
          <w:tcPr>
            <w:tcW w:w="2000" w:type="dxa"/>
            <w:shd w:val="clear" w:color="auto" w:fill="F5F5F5"/>
          </w:tcPr>
          <w:p>
            <w:pPr>
              <w:spacing w:before="60" w:after="60"/>
              <w:jc w:val="left"/>
            </w:pPr>
            <w:r>
              <w:rPr>
                <w:rFonts w:ascii="Tahoma" w:hAnsi="Tahoma"/>
                <w:color w:val="222222"/>
                <w:sz w:val="19"/>
              </w:rPr>
              <w:t>Institution</w:t>
            </w:r>
          </w:p>
        </w:tc>
        <w:tc>
          <w:tcPr>
            <w:tcW w:w="8224" w:type="dxa"/>
            <w:shd w:val="clear" w:color="auto" w:fill="F5F5F5"/>
          </w:tcPr>
          <w:p>
            <w:pPr>
              <w:spacing w:before="60" w:after="60"/>
              <w:jc w:val="left"/>
            </w:pPr>
            <w:r>
              <w:rPr>
                <w:rFonts w:ascii="Tahoma" w:hAnsi="Tahoma"/>
                <w:color w:val="222222"/>
                <w:sz w:val="19"/>
              </w:rPr>
              <w:t>Lorma Colleges — College of Computer Studies and Engineering (CCSE)</w:t>
            </w:r>
          </w:p>
        </w:tc>
      </w:tr>
      <w:tr>
        <w:tc>
          <w:tcPr>
            <w:tcW w:w="2000" w:type="dxa"/>
            <w:shd w:val="clear" w:color="auto" w:fill="FFFFFF"/>
          </w:tcPr>
          <w:p>
            <w:pPr>
              <w:spacing w:before="60" w:after="60"/>
              <w:jc w:val="left"/>
            </w:pPr>
            <w:r>
              <w:rPr>
                <w:rFonts w:ascii="Tahoma" w:hAnsi="Tahoma"/>
                <w:color w:val="222222"/>
                <w:sz w:val="19"/>
              </w:rPr>
              <w:t>Program</w:t>
            </w:r>
          </w:p>
        </w:tc>
        <w:tc>
          <w:tcPr>
            <w:tcW w:w="8224" w:type="dxa"/>
            <w:shd w:val="clear" w:color="auto" w:fill="FFFFFF"/>
          </w:tcPr>
          <w:p>
            <w:pPr>
              <w:spacing w:before="60" w:after="60"/>
              <w:jc w:val="left"/>
            </w:pPr>
            <w:r>
              <w:rPr>
                <w:rFonts w:ascii="Tahoma" w:hAnsi="Tahoma"/>
                <w:color w:val="222222"/>
                <w:sz w:val="19"/>
              </w:rPr>
              <w:t>Bachelor of Science in Information Technology (BSIT) — 4th Year, 1st Semester</w:t>
            </w:r>
          </w:p>
        </w:tc>
      </w:tr>
      <w:tr>
        <w:tc>
          <w:tcPr>
            <w:tcW w:w="2000" w:type="dxa"/>
            <w:shd w:val="clear" w:color="auto" w:fill="F5F5F5"/>
          </w:tcPr>
          <w:p>
            <w:pPr>
              <w:spacing w:before="60" w:after="60"/>
              <w:jc w:val="left"/>
            </w:pPr>
            <w:r>
              <w:rPr>
                <w:rFonts w:ascii="Tahoma" w:hAnsi="Tahoma"/>
                <w:color w:val="222222"/>
                <w:sz w:val="19"/>
              </w:rPr>
              <w:t>Adviser</w:t>
            </w:r>
          </w:p>
        </w:tc>
        <w:tc>
          <w:tcPr>
            <w:tcW w:w="8224" w:type="dxa"/>
            <w:shd w:val="clear" w:color="auto" w:fill="F5F5F5"/>
          </w:tcPr>
          <w:p>
            <w:pPr>
              <w:spacing w:before="60" w:after="60"/>
              <w:jc w:val="left"/>
            </w:pPr>
            <w:r>
              <w:rPr>
                <w:rFonts w:ascii="Tahoma" w:hAnsi="Tahoma"/>
                <w:color w:val="222222"/>
                <w:sz w:val="19"/>
              </w:rPr>
              <w:t>Ellen F. Mangaoang, MIT</w:t>
            </w:r>
          </w:p>
        </w:tc>
      </w:tr>
      <w:tr>
        <w:tc>
          <w:tcPr>
            <w:tcW w:w="2000" w:type="dxa"/>
            <w:shd w:val="clear" w:color="auto" w:fill="FFFFFF"/>
          </w:tcPr>
          <w:p>
            <w:pPr>
              <w:spacing w:before="60" w:after="60"/>
              <w:jc w:val="left"/>
            </w:pPr>
            <w:r>
              <w:rPr>
                <w:rFonts w:ascii="Tahoma" w:hAnsi="Tahoma"/>
                <w:color w:val="222222"/>
                <w:sz w:val="19"/>
              </w:rPr>
              <w:t>Platform</w:t>
            </w:r>
          </w:p>
        </w:tc>
        <w:tc>
          <w:tcPr>
            <w:tcW w:w="8224" w:type="dxa"/>
            <w:shd w:val="clear" w:color="auto" w:fill="FFFFFF"/>
          </w:tcPr>
          <w:p>
            <w:pPr>
              <w:spacing w:before="60" w:after="60"/>
              <w:jc w:val="left"/>
            </w:pPr>
            <w:r>
              <w:rPr>
                <w:rFonts w:ascii="Tahoma" w:hAnsi="Tahoma"/>
                <w:color w:val="222222"/>
                <w:sz w:val="19"/>
              </w:rPr>
              <w:t>Android phone — free to install, no subscription required</w:t>
            </w:r>
          </w:p>
        </w:tc>
      </w:tr>
      <w:tr>
        <w:tc>
          <w:tcPr>
            <w:tcW w:w="2000" w:type="dxa"/>
            <w:shd w:val="clear" w:color="auto" w:fill="F5F5F5"/>
          </w:tcPr>
          <w:p>
            <w:pPr>
              <w:spacing w:before="60" w:after="60"/>
              <w:jc w:val="left"/>
            </w:pPr>
            <w:r>
              <w:rPr>
                <w:rFonts w:ascii="Tahoma" w:hAnsi="Tahoma"/>
                <w:color w:val="222222"/>
                <w:sz w:val="19"/>
              </w:rPr>
              <w:t>Version</w:t>
            </w:r>
          </w:p>
        </w:tc>
        <w:tc>
          <w:tcPr>
            <w:tcW w:w="8224" w:type="dxa"/>
            <w:shd w:val="clear" w:color="auto" w:fill="F5F5F5"/>
          </w:tcPr>
          <w:p>
            <w:pPr>
              <w:spacing w:before="60" w:after="60"/>
              <w:jc w:val="left"/>
            </w:pPr>
            <w:r>
              <w:rPr>
                <w:rFonts w:ascii="Tahoma" w:hAnsi="Tahoma"/>
                <w:color w:val="222222"/>
                <w:sz w:val="19"/>
              </w:rPr>
              <w:t>2.9.19</w:t>
            </w:r>
          </w:p>
        </w:tc>
      </w:tr>
    </w:tbl>
    <w:p>
      <w:pPr>
        <w:spacing w:after="80"/>
      </w:pPr>
    </w:p>
    <w:p>
      <w:pPr>
        <w:spacing w:before="200" w:after="40"/>
      </w:pPr>
      <w:r>
        <w:rPr>
          <w:rFonts w:ascii="Tahoma" w:hAnsi="Tahoma"/>
          <w:b/>
          <w:color w:val="1A3A6B"/>
          <w:sz w:val="24"/>
        </w:rPr>
        <w:t>2.  The Problem SmartSpend Solves</w:t>
      </w:r>
    </w:p>
    <w:p>
      <w:pPr>
        <w:spacing w:before="0" w:after="60"/>
      </w:pPr>
      <w:r>
        <w:rPr>
          <w:rFonts w:ascii="Tahoma" w:hAnsi="Tahoma"/>
          <w:b w:val="0"/>
          <w:i w:val="0"/>
          <w:color w:val="222222"/>
          <w:sz w:val="19"/>
        </w:rPr>
        <w:t>Most Filipinos do not track their finances — not because they don't want to, but because doing so is too tedious. Traditional tools (notebooks, spreadsheets, manual apps) require you to open the app, tap through menus, select a category, type an amount, and save — for every single purchase. Most people give up within a week.</w:t>
      </w:r>
    </w:p>
    <w:p>
      <w:pPr>
        <w:spacing w:before="40" w:after="60"/>
      </w:pPr>
      <w:r>
        <w:rPr>
          <w:rFonts w:ascii="Tahoma" w:hAnsi="Tahoma"/>
          <w:b w:val="0"/>
          <w:i w:val="0"/>
          <w:color w:val="222222"/>
          <w:sz w:val="19"/>
        </w:rPr>
        <w:t>Three specific barriers prevent Filipinos from tracking finances consistently:</w:t>
      </w:r>
    </w:p>
    <w:p>
      <w:pPr>
        <w:spacing w:before="60" w:after="20"/>
        <w:ind w:left="288"/>
      </w:pPr>
      <w:r>
        <w:rPr>
          <w:rFonts w:ascii="Tahoma" w:hAnsi="Tahoma"/>
          <w:b/>
          <w:color w:val="5C0E24"/>
          <w:sz w:val="20"/>
        </w:rPr>
        <w:t xml:space="preserve">1.  Too much effort  </w:t>
      </w:r>
      <w:r>
        <w:rPr>
          <w:rFonts w:ascii="Tahoma" w:hAnsi="Tahoma"/>
          <w:color w:val="222222"/>
          <w:sz w:val="19"/>
        </w:rPr>
        <w:t>Logging a tricycle fare or a sari-sari store purchase manually, every time, is cognitively exhausting. Apps built for Western markets assume bank connectivity and credit cards — not GCash, cash, and jeepney fares.</w:t>
      </w:r>
    </w:p>
    <w:p>
      <w:pPr>
        <w:spacing w:before="60" w:after="20"/>
        <w:ind w:left="288"/>
      </w:pPr>
      <w:r>
        <w:rPr>
          <w:rFonts w:ascii="Tahoma" w:hAnsi="Tahoma"/>
          <w:b/>
          <w:color w:val="5C0E24"/>
          <w:sz w:val="20"/>
        </w:rPr>
        <w:t xml:space="preserve">2.  No local language support  </w:t>
      </w:r>
      <w:r>
        <w:rPr>
          <w:rFonts w:ascii="Tahoma" w:hAnsi="Tahoma"/>
          <w:color w:val="222222"/>
          <w:sz w:val="19"/>
        </w:rPr>
        <w:t>Most financial apps are English-only. Filipinos who naturally switch between English and Tagalog ("Taglish") cannot use them comfortably.</w:t>
      </w:r>
    </w:p>
    <w:p>
      <w:pPr>
        <w:spacing w:before="60" w:after="20"/>
        <w:ind w:left="288"/>
      </w:pPr>
      <w:r>
        <w:rPr>
          <w:rFonts w:ascii="Tahoma" w:hAnsi="Tahoma"/>
          <w:b/>
          <w:color w:val="5C0E24"/>
          <w:sz w:val="20"/>
        </w:rPr>
        <w:t xml:space="preserve">3.  No real consequences for bad spending  </w:t>
      </w:r>
      <w:r>
        <w:rPr>
          <w:rFonts w:ascii="Tahoma" w:hAnsi="Tahoma"/>
          <w:color w:val="222222"/>
          <w:sz w:val="19"/>
        </w:rPr>
        <w:t>Existing apps show charts of overspending — but seeing a red bar does not motivate change. There is no feedback that feels real or urgent.</w:t>
      </w:r>
    </w:p>
    <w:tbl>
      <w:tblPr>
        <w:tblLook w:firstColumn="1" w:firstRow="1" w:lastColumn="0" w:lastRow="0" w:noHBand="0" w:noVBand="1" w:val="04A0"/>
        <w:tblW w:w="10224" w:type="dxa"/>
        <w:tblBorders>
          <w:top w:val="single" w:sz="4" w:space="0" w:color="1A6B3A"/>
          <w:left w:val="single" w:sz="4" w:space="0" w:color="1A6B3A"/>
          <w:bottom w:val="single" w:sz="4" w:space="0" w:color="1A6B3A"/>
          <w:right w:val="single" w:sz="4" w:space="0" w:color="1A6B3A"/>
          <w:insideH w:val="single" w:sz="4" w:space="0" w:color="1A6B3A"/>
          <w:insideV w:val="single" w:sz="4" w:space="0" w:color="1A6B3A"/>
        </w:tblBorders>
      </w:tblPr>
      <w:tblGrid>
        <w:gridCol w:w="10080"/>
      </w:tblGrid>
      <w:tr>
        <w:tc>
          <w:tcPr>
            <w:tcW w:type="dxa" w:w="10080"/>
            <w:shd w:val="clear" w:color="auto" w:fill="EFFFEF"/>
          </w:tcPr>
          <w:p>
            <w:pPr>
              <w:spacing w:before="100" w:after="100"/>
              <w:jc w:val="left"/>
            </w:pPr>
            <w:r>
              <w:rPr>
                <w:rFonts w:ascii="Tahoma" w:hAnsi="Tahoma"/>
                <w:b w:val="0"/>
                <w:color w:val="1A6B3A"/>
                <w:sz w:val="19"/>
              </w:rPr>
              <w:t>✅  SMARTSPEND'S SOLUTION</w:t>
              <w:br/>
              <w:t>Instead of filling out a form, the user just says — or types — what they spent:</w:t>
              <w:br/>
              <w:br/>
              <w:t xml:space="preserve">  "Spent 30 pesos for jeepney"  →  logged automatically as Transportation</w:t>
              <w:br/>
              <w:t xml:space="preserve">  "Nagbayad ako ng 150 sa Grab kanina"  →  logged automatically</w:t>
              <w:br/>
              <w:t xml:space="preserve">  "Bought Jollibee chicken joy for 149"  →  logged as Food, tagged as Want</w:t>
              <w:br/>
              <w:t xml:space="preserve">  "Spent 30 jeep, 45 Sting, 100 load"  →  3 separate expenses logged at once</w:t>
              <w:br/>
              <w:br/>
              <w:t>The AI understands all of these, assigns the right category, and logs them. No tapping through menus. The whole thing takes under 5 seconds.</w:t>
            </w:r>
          </w:p>
        </w:tc>
      </w:tr>
    </w:tbl>
    <w:p>
      <w:pPr>
        <w:spacing w:after="60"/>
      </w:pPr>
    </w:p>
    <w:p>
      <w:pPr>
        <w:spacing w:before="200" w:after="40"/>
      </w:pPr>
      <w:r>
        <w:rPr>
          <w:rFonts w:ascii="Tahoma" w:hAnsi="Tahoma"/>
          <w:b/>
          <w:color w:val="1A3A6B"/>
          <w:sz w:val="24"/>
        </w:rPr>
        <w:t>3.  Who Is It Designed For?</w:t>
      </w:r>
    </w:p>
    <w:p>
      <w:pPr>
        <w:spacing w:before="0" w:after="60"/>
      </w:pPr>
      <w:r>
        <w:rPr>
          <w:rFonts w:ascii="Tahoma" w:hAnsi="Tahoma"/>
          <w:b w:val="0"/>
          <w:i w:val="0"/>
          <w:color w:val="222222"/>
          <w:sz w:val="19"/>
        </w:rPr>
        <w:t>SmartSpend was built specifically for two groups in San Fernando City, La Union, Philippines — but is usable by anyone.</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520"/>
        <w:gridCol w:w="2520"/>
        <w:gridCol w:w="2520"/>
        <w:gridCol w:w="2520"/>
      </w:tblGrid>
      <w:tr>
        <w:tc>
          <w:tcPr>
            <w:tcW w:w="1400" w:type="dxa"/>
            <w:shd w:val="clear" w:color="auto" w:fill="5C0E24"/>
          </w:tcPr>
          <w:p>
            <w:pPr>
              <w:spacing w:before="60" w:after="60"/>
              <w:jc w:val="center"/>
            </w:pPr>
            <w:r>
              <w:rPr>
                <w:rFonts w:ascii="Tahoma" w:hAnsi="Tahoma"/>
                <w:b/>
                <w:color w:val="FFFFFF"/>
                <w:sz w:val="18"/>
              </w:rPr>
              <w:t>Target User</w:t>
            </w:r>
          </w:p>
        </w:tc>
        <w:tc>
          <w:tcPr>
            <w:tcW w:w="600" w:type="dxa"/>
            <w:shd w:val="clear" w:color="auto" w:fill="5C0E24"/>
          </w:tcPr>
          <w:p>
            <w:pPr>
              <w:spacing w:before="60" w:after="60"/>
              <w:jc w:val="center"/>
            </w:pPr>
            <w:r>
              <w:rPr>
                <w:rFonts w:ascii="Tahoma" w:hAnsi="Tahoma"/>
                <w:b/>
                <w:color w:val="FFFFFF"/>
                <w:sz w:val="18"/>
              </w:rPr>
              <w:t>Age</w:t>
            </w:r>
          </w:p>
        </w:tc>
        <w:tc>
          <w:tcPr>
            <w:tcW w:w="3800" w:type="dxa"/>
            <w:shd w:val="clear" w:color="auto" w:fill="5C0E24"/>
          </w:tcPr>
          <w:p>
            <w:pPr>
              <w:spacing w:before="60" w:after="60"/>
              <w:jc w:val="center"/>
            </w:pPr>
            <w:r>
              <w:rPr>
                <w:rFonts w:ascii="Tahoma" w:hAnsi="Tahoma"/>
                <w:b/>
                <w:color w:val="FFFFFF"/>
                <w:sz w:val="18"/>
              </w:rPr>
              <w:t>Their Financial Reality</w:t>
            </w:r>
          </w:p>
        </w:tc>
        <w:tc>
          <w:tcPr>
            <w:tcW w:w="4424" w:type="dxa"/>
            <w:shd w:val="clear" w:color="auto" w:fill="5C0E24"/>
          </w:tcPr>
          <w:p>
            <w:pPr>
              <w:spacing w:before="60" w:after="60"/>
              <w:jc w:val="center"/>
            </w:pPr>
            <w:r>
              <w:rPr>
                <w:rFonts w:ascii="Tahoma" w:hAnsi="Tahoma"/>
                <w:b/>
                <w:color w:val="FFFFFF"/>
                <w:sz w:val="18"/>
              </w:rPr>
              <w:t>How SmartSpend Helps</w:t>
            </w:r>
          </w:p>
        </w:tc>
      </w:tr>
      <w:tr>
        <w:tc>
          <w:tcPr>
            <w:tcW w:w="1400" w:type="dxa"/>
            <w:shd w:val="clear" w:color="auto" w:fill="FFFFFF"/>
          </w:tcPr>
          <w:p>
            <w:pPr>
              <w:spacing w:before="60" w:after="60"/>
              <w:jc w:val="left"/>
            </w:pPr>
            <w:r>
              <w:rPr>
                <w:rFonts w:ascii="Tahoma" w:hAnsi="Tahoma"/>
                <w:color w:val="222222"/>
                <w:sz w:val="18"/>
              </w:rPr>
              <w:t>Parents</w:t>
              <w:br/>
              <w:t>(Primary)</w:t>
            </w:r>
          </w:p>
        </w:tc>
        <w:tc>
          <w:tcPr>
            <w:tcW w:w="600" w:type="dxa"/>
            <w:shd w:val="clear" w:color="auto" w:fill="FFFFFF"/>
          </w:tcPr>
          <w:p>
            <w:pPr>
              <w:spacing w:before="60" w:after="60"/>
              <w:jc w:val="left"/>
            </w:pPr>
            <w:r>
              <w:rPr>
                <w:rFonts w:ascii="Tahoma" w:hAnsi="Tahoma"/>
                <w:color w:val="222222"/>
                <w:sz w:val="18"/>
              </w:rPr>
              <w:t>35–55</w:t>
            </w:r>
          </w:p>
        </w:tc>
        <w:tc>
          <w:tcPr>
            <w:tcW w:w="3800" w:type="dxa"/>
            <w:shd w:val="clear" w:color="auto" w:fill="FFFFFF"/>
          </w:tcPr>
          <w:p>
            <w:pPr>
              <w:spacing w:before="60" w:after="60"/>
              <w:jc w:val="left"/>
            </w:pPr>
            <w:r>
              <w:rPr>
                <w:rFonts w:ascii="Tahoma" w:hAnsi="Tahoma"/>
                <w:color w:val="222222"/>
                <w:sz w:val="18"/>
              </w:rPr>
              <w:t>The main financial decision-maker in the household. Manages grocery budgets, utility bills, tuition payments, and debts. Often uses cash and GCash. Rarely tracks spending formally.</w:t>
            </w:r>
          </w:p>
        </w:tc>
        <w:tc>
          <w:tcPr>
            <w:tcW w:w="4424" w:type="dxa"/>
            <w:shd w:val="clear" w:color="auto" w:fill="FFFFFF"/>
          </w:tcPr>
          <w:p>
            <w:pPr>
              <w:spacing w:before="60" w:after="60"/>
              <w:jc w:val="left"/>
            </w:pPr>
            <w:r>
              <w:rPr>
                <w:rFonts w:ascii="Tahoma" w:hAnsi="Tahoma"/>
                <w:color w:val="222222"/>
                <w:sz w:val="18"/>
              </w:rPr>
              <w:t>Logs expenses by voice or chat — no typing required. Sets category budgets (food, transport, bills). FHS shows which habits need attention. Bill calendar tracks due dates automatically.</w:t>
            </w:r>
          </w:p>
        </w:tc>
      </w:tr>
      <w:tr>
        <w:tc>
          <w:tcPr>
            <w:tcW w:w="1400" w:type="dxa"/>
            <w:shd w:val="clear" w:color="auto" w:fill="F5F5F5"/>
          </w:tcPr>
          <w:p>
            <w:pPr>
              <w:spacing w:before="60" w:after="60"/>
              <w:jc w:val="left"/>
            </w:pPr>
            <w:r>
              <w:rPr>
                <w:rFonts w:ascii="Tahoma" w:hAnsi="Tahoma"/>
                <w:color w:val="222222"/>
                <w:sz w:val="18"/>
              </w:rPr>
              <w:t>Young Professionals</w:t>
              <w:br/>
              <w:t>(Secondary)</w:t>
            </w:r>
          </w:p>
        </w:tc>
        <w:tc>
          <w:tcPr>
            <w:tcW w:w="600" w:type="dxa"/>
            <w:shd w:val="clear" w:color="auto" w:fill="F5F5F5"/>
          </w:tcPr>
          <w:p>
            <w:pPr>
              <w:spacing w:before="60" w:after="60"/>
              <w:jc w:val="left"/>
            </w:pPr>
            <w:r>
              <w:rPr>
                <w:rFonts w:ascii="Tahoma" w:hAnsi="Tahoma"/>
                <w:color w:val="222222"/>
                <w:sz w:val="18"/>
              </w:rPr>
              <w:t>21–35</w:t>
            </w:r>
          </w:p>
        </w:tc>
        <w:tc>
          <w:tcPr>
            <w:tcW w:w="3800" w:type="dxa"/>
            <w:shd w:val="clear" w:color="auto" w:fill="F5F5F5"/>
          </w:tcPr>
          <w:p>
            <w:pPr>
              <w:spacing w:before="60" w:after="60"/>
              <w:jc w:val="left"/>
            </w:pPr>
            <w:r>
              <w:rPr>
                <w:rFonts w:ascii="Tahoma" w:hAnsi="Tahoma"/>
                <w:color w:val="222222"/>
                <w:sz w:val="18"/>
              </w:rPr>
              <w:t>Starting their financial life independently. Earns a salary but tends to overspend on wants. Uses GCash and Shopee frequently. Has debt (BNPL, loans) but no structured repayment plan.</w:t>
            </w:r>
          </w:p>
        </w:tc>
        <w:tc>
          <w:tcPr>
            <w:tcW w:w="4424" w:type="dxa"/>
            <w:shd w:val="clear" w:color="auto" w:fill="F5F5F5"/>
          </w:tcPr>
          <w:p>
            <w:pPr>
              <w:spacing w:before="60" w:after="60"/>
              <w:jc w:val="left"/>
            </w:pPr>
            <w:r>
              <w:rPr>
                <w:rFonts w:ascii="Tahoma" w:hAnsi="Tahoma"/>
                <w:color w:val="222222"/>
                <w:sz w:val="18"/>
              </w:rPr>
              <w:t>Tracks GCash and Shopee spending via screenshot import. FHS shows savings rate and budget compliance. AI suggests debt payoff strategies. Daily quests build consistent tracking habits.</w:t>
            </w:r>
          </w:p>
        </w:tc>
      </w:tr>
      <w:tr>
        <w:tc>
          <w:tcPr>
            <w:tcW w:w="1400" w:type="dxa"/>
            <w:shd w:val="clear" w:color="auto" w:fill="FFFFFF"/>
          </w:tcPr>
          <w:p>
            <w:pPr>
              <w:spacing w:before="60" w:after="60"/>
              <w:jc w:val="left"/>
            </w:pPr>
            <w:r>
              <w:rPr>
                <w:rFonts w:ascii="Tahoma" w:hAnsi="Tahoma"/>
                <w:color w:val="222222"/>
                <w:sz w:val="18"/>
              </w:rPr>
              <w:t>Students</w:t>
            </w:r>
          </w:p>
        </w:tc>
        <w:tc>
          <w:tcPr>
            <w:tcW w:w="600" w:type="dxa"/>
            <w:shd w:val="clear" w:color="auto" w:fill="FFFFFF"/>
          </w:tcPr>
          <w:p>
            <w:pPr>
              <w:spacing w:before="60" w:after="60"/>
              <w:jc w:val="left"/>
            </w:pPr>
            <w:r>
              <w:rPr>
                <w:rFonts w:ascii="Tahoma" w:hAnsi="Tahoma"/>
                <w:color w:val="222222"/>
                <w:sz w:val="18"/>
              </w:rPr>
              <w:t>15–25</w:t>
            </w:r>
          </w:p>
        </w:tc>
        <w:tc>
          <w:tcPr>
            <w:tcW w:w="3800" w:type="dxa"/>
            <w:shd w:val="clear" w:color="auto" w:fill="FFFFFF"/>
          </w:tcPr>
          <w:p>
            <w:pPr>
              <w:spacing w:before="60" w:after="60"/>
              <w:jc w:val="left"/>
            </w:pPr>
            <w:r>
              <w:rPr>
                <w:rFonts w:ascii="Tahoma" w:hAnsi="Tahoma"/>
                <w:color w:val="222222"/>
                <w:sz w:val="18"/>
              </w:rPr>
              <w:t>Manages a limited allowance. No fixed monthly income.</w:t>
            </w:r>
          </w:p>
        </w:tc>
        <w:tc>
          <w:tcPr>
            <w:tcW w:w="4424" w:type="dxa"/>
            <w:shd w:val="clear" w:color="auto" w:fill="FFFFFF"/>
          </w:tcPr>
          <w:p>
            <w:pPr>
              <w:spacing w:before="60" w:after="60"/>
              <w:jc w:val="left"/>
            </w:pPr>
            <w:r>
              <w:rPr>
                <w:rFonts w:ascii="Tahoma" w:hAnsi="Tahoma"/>
                <w:color w:val="222222"/>
                <w:sz w:val="18"/>
              </w:rPr>
              <w:t>Lightweight Mode works without income input. App shows "Allowance" instead of "Salary." Streak-based scoring rewards daily logging habits.</w:t>
            </w:r>
          </w:p>
        </w:tc>
      </w:tr>
    </w:tbl>
    <w:p>
      <w:pPr>
        <w:spacing w:after="80"/>
      </w:pPr>
    </w:p>
    <w:p>
      <w:pPr>
        <w:spacing w:before="200" w:after="40"/>
      </w:pPr>
      <w:r>
        <w:rPr>
          <w:rFonts w:ascii="Tahoma" w:hAnsi="Tahoma"/>
          <w:b/>
          <w:color w:val="1A3A6B"/>
          <w:sz w:val="24"/>
        </w:rPr>
        <w:t>4.  Main Features — What the App Actually Does</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360"/>
        <w:gridCol w:w="3360"/>
        <w:gridCol w:w="3360"/>
      </w:tblGrid>
      <w:tr>
        <w:tc>
          <w:tcPr>
            <w:tcW w:w="1700" w:type="dxa"/>
            <w:shd w:val="clear" w:color="auto" w:fill="5C0E24"/>
          </w:tcPr>
          <w:p>
            <w:pPr>
              <w:spacing w:before="60" w:after="60"/>
              <w:jc w:val="center"/>
            </w:pPr>
            <w:r>
              <w:rPr>
                <w:rFonts w:ascii="Tahoma" w:hAnsi="Tahoma"/>
                <w:b/>
                <w:color w:val="FFFFFF"/>
                <w:sz w:val="18"/>
              </w:rPr>
              <w:t>Feature</w:t>
            </w:r>
          </w:p>
        </w:tc>
        <w:tc>
          <w:tcPr>
            <w:tcW w:w="4100" w:type="dxa"/>
            <w:shd w:val="clear" w:color="auto" w:fill="5C0E24"/>
          </w:tcPr>
          <w:p>
            <w:pPr>
              <w:spacing w:before="60" w:after="60"/>
              <w:jc w:val="center"/>
            </w:pPr>
            <w:r>
              <w:rPr>
                <w:rFonts w:ascii="Tahoma" w:hAnsi="Tahoma"/>
                <w:b/>
                <w:color w:val="FFFFFF"/>
                <w:sz w:val="18"/>
              </w:rPr>
              <w:t>What It Does</w:t>
            </w:r>
          </w:p>
        </w:tc>
        <w:tc>
          <w:tcPr>
            <w:tcW w:w="4424" w:type="dxa"/>
            <w:shd w:val="clear" w:color="auto" w:fill="5C0E24"/>
          </w:tcPr>
          <w:p>
            <w:pPr>
              <w:spacing w:before="60" w:after="60"/>
              <w:jc w:val="center"/>
            </w:pPr>
            <w:r>
              <w:rPr>
                <w:rFonts w:ascii="Tahoma" w:hAnsi="Tahoma"/>
                <w:b/>
                <w:color w:val="FFFFFF"/>
                <w:sz w:val="18"/>
              </w:rPr>
              <w:t>Why It Matters</w:t>
            </w:r>
          </w:p>
        </w:tc>
      </w:tr>
      <w:tr>
        <w:tc>
          <w:tcPr>
            <w:tcW w:w="1700" w:type="dxa"/>
            <w:shd w:val="clear" w:color="auto" w:fill="FFFFFF"/>
          </w:tcPr>
          <w:p>
            <w:pPr>
              <w:spacing w:before="60" w:after="60"/>
              <w:jc w:val="left"/>
            </w:pPr>
            <w:r>
              <w:rPr>
                <w:rFonts w:ascii="Tahoma" w:hAnsi="Tahoma"/>
                <w:color w:val="222222"/>
                <w:sz w:val="18"/>
              </w:rPr>
              <w:t>🤖  AI Chat</w:t>
              <w:br/>
              <w:t>(Log by talking)</w:t>
            </w:r>
          </w:p>
        </w:tc>
        <w:tc>
          <w:tcPr>
            <w:tcW w:w="4100" w:type="dxa"/>
            <w:shd w:val="clear" w:color="auto" w:fill="FFFFFF"/>
          </w:tcPr>
          <w:p>
            <w:pPr>
              <w:spacing w:before="60" w:after="60"/>
              <w:jc w:val="left"/>
            </w:pPr>
            <w:r>
              <w:rPr>
                <w:rFonts w:ascii="Tahoma" w:hAnsi="Tahoma"/>
                <w:color w:val="222222"/>
                <w:sz w:val="18"/>
              </w:rPr>
              <w:t>You type or speak what you spent — in English, Tagalog, or Taglish. The AI understands and logs it automatically with the right category, tags it as Need or Want, and even handles multiple items in one message.</w:t>
            </w:r>
          </w:p>
        </w:tc>
        <w:tc>
          <w:tcPr>
            <w:tcW w:w="4424" w:type="dxa"/>
            <w:shd w:val="clear" w:color="auto" w:fill="FFFFFF"/>
          </w:tcPr>
          <w:p>
            <w:pPr>
              <w:spacing w:before="60" w:after="60"/>
              <w:jc w:val="left"/>
            </w:pPr>
            <w:r>
              <w:rPr>
                <w:rFonts w:ascii="Tahoma" w:hAnsi="Tahoma"/>
                <w:color w:val="222222"/>
                <w:sz w:val="18"/>
              </w:rPr>
              <w:t>Removes manual entry friction. Works with local language and local context (knows Jollibee is Food, GrabFood is delivery, jeepney is Transport).</w:t>
            </w:r>
          </w:p>
        </w:tc>
      </w:tr>
      <w:tr>
        <w:tc>
          <w:tcPr>
            <w:tcW w:w="1700" w:type="dxa"/>
            <w:shd w:val="clear" w:color="auto" w:fill="F5F5F5"/>
          </w:tcPr>
          <w:p>
            <w:pPr>
              <w:spacing w:before="60" w:after="60"/>
              <w:jc w:val="left"/>
            </w:pPr>
            <w:r>
              <w:rPr>
                <w:rFonts w:ascii="Tahoma" w:hAnsi="Tahoma"/>
                <w:color w:val="222222"/>
                <w:sz w:val="18"/>
              </w:rPr>
              <w:t>📷  Smart Import</w:t>
              <w:br/>
              <w:t>(Import from screenshots/receipts)</w:t>
            </w:r>
          </w:p>
        </w:tc>
        <w:tc>
          <w:tcPr>
            <w:tcW w:w="4100" w:type="dxa"/>
            <w:shd w:val="clear" w:color="auto" w:fill="F5F5F5"/>
          </w:tcPr>
          <w:p>
            <w:pPr>
              <w:spacing w:before="60" w:after="60"/>
              <w:jc w:val="left"/>
            </w:pPr>
            <w:r>
              <w:rPr>
                <w:rFonts w:ascii="Tahoma" w:hAnsi="Tahoma"/>
                <w:color w:val="222222"/>
                <w:sz w:val="18"/>
              </w:rPr>
              <w:t>4 ways to add expenses beyond typing: scan a receipt with the camera, scan a barcode, paste GCash/bank history text, or pick up to 10 screenshots (Shopee, GCash, Steam, Netflix, BPI, etc.). The app detects the platform and extracts transactions automatically.</w:t>
            </w:r>
          </w:p>
        </w:tc>
        <w:tc>
          <w:tcPr>
            <w:tcW w:w="4424" w:type="dxa"/>
            <w:shd w:val="clear" w:color="auto" w:fill="F5F5F5"/>
          </w:tcPr>
          <w:p>
            <w:pPr>
              <w:spacing w:before="60" w:after="60"/>
              <w:jc w:val="left"/>
            </w:pPr>
            <w:r>
              <w:rPr>
                <w:rFonts w:ascii="Tahoma" w:hAnsi="Tahoma"/>
                <w:color w:val="222222"/>
                <w:sz w:val="18"/>
              </w:rPr>
              <w:t>Handles the reality that many PH users receive digital receipts as screenshots — not printouts. Supports 40+ Philippine platforms.</w:t>
            </w:r>
          </w:p>
        </w:tc>
      </w:tr>
      <w:tr>
        <w:tc>
          <w:tcPr>
            <w:tcW w:w="1700" w:type="dxa"/>
            <w:shd w:val="clear" w:color="auto" w:fill="FFFFFF"/>
          </w:tcPr>
          <w:p>
            <w:pPr>
              <w:spacing w:before="60" w:after="60"/>
              <w:jc w:val="left"/>
            </w:pPr>
            <w:r>
              <w:rPr>
                <w:rFonts w:ascii="Tahoma" w:hAnsi="Tahoma"/>
                <w:color w:val="222222"/>
                <w:sz w:val="18"/>
              </w:rPr>
              <w:t>📊  Financial Health Score</w:t>
              <w:br/>
              <w:t>(0–100 score)</w:t>
            </w:r>
          </w:p>
        </w:tc>
        <w:tc>
          <w:tcPr>
            <w:tcW w:w="4100" w:type="dxa"/>
            <w:shd w:val="clear" w:color="auto" w:fill="FFFFFF"/>
          </w:tcPr>
          <w:p>
            <w:pPr>
              <w:spacing w:before="60" w:after="60"/>
              <w:jc w:val="left"/>
            </w:pPr>
            <w:r>
              <w:rPr>
                <w:rFonts w:ascii="Tahoma" w:hAnsi="Tahoma"/>
                <w:color w:val="222222"/>
                <w:sz w:val="18"/>
              </w:rPr>
              <w:t>A score from 0 to 100 computed from actual behavior — how much you save, how often you stay within budget, whether you log consistently. Updates automatically. Full breakdown shows exactly what is bringing the score up or down.</w:t>
            </w:r>
          </w:p>
        </w:tc>
        <w:tc>
          <w:tcPr>
            <w:tcW w:w="4424" w:type="dxa"/>
            <w:shd w:val="clear" w:color="auto" w:fill="FFFFFF"/>
          </w:tcPr>
          <w:p>
            <w:pPr>
              <w:spacing w:before="60" w:after="60"/>
              <w:jc w:val="left"/>
            </w:pPr>
            <w:r>
              <w:rPr>
                <w:rFonts w:ascii="Tahoma" w:hAnsi="Tahoma"/>
                <w:color w:val="222222"/>
                <w:sz w:val="18"/>
              </w:rPr>
              <w:t>Gives users a simple, actionable number instead of raw charts. Grounded in international financial health frameworks (FinHealth Network, UNSGSA, CBA-MI). Adapts to whether the user tracks income or not.</w:t>
            </w:r>
          </w:p>
        </w:tc>
      </w:tr>
      <w:tr>
        <w:tc>
          <w:tcPr>
            <w:tcW w:w="1700" w:type="dxa"/>
            <w:shd w:val="clear" w:color="auto" w:fill="F5F5F5"/>
          </w:tcPr>
          <w:p>
            <w:pPr>
              <w:spacing w:before="60" w:after="60"/>
              <w:jc w:val="left"/>
            </w:pPr>
            <w:r>
              <w:rPr>
                <w:rFonts w:ascii="Tahoma" w:hAnsi="Tahoma"/>
                <w:color w:val="222222"/>
                <w:sz w:val="18"/>
              </w:rPr>
              <w:t>💰  Budgets, Goals &amp; Wallets</w:t>
            </w:r>
          </w:p>
        </w:tc>
        <w:tc>
          <w:tcPr>
            <w:tcW w:w="4100" w:type="dxa"/>
            <w:shd w:val="clear" w:color="auto" w:fill="F5F5F5"/>
          </w:tcPr>
          <w:p>
            <w:pPr>
              <w:spacing w:before="60" w:after="60"/>
              <w:jc w:val="left"/>
            </w:pPr>
            <w:r>
              <w:rPr>
                <w:rFonts w:ascii="Tahoma" w:hAnsi="Tahoma"/>
                <w:color w:val="222222"/>
                <w:sz w:val="18"/>
              </w:rPr>
              <w:t>Set monthly limits per spending category (Food ₱3,000, Transport ₱1,000, etc.). Create savings goals with target amounts and deadlines. Track actual cash across GCash, Maya, BDO, BPI, and 30+ PH banks. Set daily, weekly, or monthly spending caps.</w:t>
            </w:r>
          </w:p>
        </w:tc>
        <w:tc>
          <w:tcPr>
            <w:tcW w:w="4424" w:type="dxa"/>
            <w:shd w:val="clear" w:color="auto" w:fill="F5F5F5"/>
          </w:tcPr>
          <w:p>
            <w:pPr>
              <w:spacing w:before="60" w:after="60"/>
              <w:jc w:val="left"/>
            </w:pPr>
            <w:r>
              <w:rPr>
                <w:rFonts w:ascii="Tahoma" w:hAnsi="Tahoma"/>
                <w:color w:val="222222"/>
                <w:sz w:val="18"/>
              </w:rPr>
              <w:t>Covers the full personal finance cycle: track spending → set limits → build savings → monitor cash.</w:t>
            </w:r>
          </w:p>
        </w:tc>
      </w:tr>
      <w:tr>
        <w:tc>
          <w:tcPr>
            <w:tcW w:w="1700" w:type="dxa"/>
            <w:shd w:val="clear" w:color="auto" w:fill="FFFFFF"/>
          </w:tcPr>
          <w:p>
            <w:pPr>
              <w:spacing w:before="60" w:after="60"/>
              <w:jc w:val="left"/>
            </w:pPr>
            <w:r>
              <w:rPr>
                <w:rFonts w:ascii="Tahoma" w:hAnsi="Tahoma"/>
                <w:color w:val="222222"/>
                <w:sz w:val="18"/>
              </w:rPr>
              <w:t>🏦  Philippine-Specific Tools</w:t>
            </w:r>
          </w:p>
        </w:tc>
        <w:tc>
          <w:tcPr>
            <w:tcW w:w="4100" w:type="dxa"/>
            <w:shd w:val="clear" w:color="auto" w:fill="FFFFFF"/>
          </w:tcPr>
          <w:p>
            <w:pPr>
              <w:spacing w:before="60" w:after="60"/>
              <w:jc w:val="left"/>
            </w:pPr>
            <w:r>
              <w:rPr>
                <w:rFonts w:ascii="Tahoma" w:hAnsi="Tahoma"/>
                <w:color w:val="222222"/>
                <w:sz w:val="18"/>
              </w:rPr>
              <w:t>AI can compute SSS, PhilHealth, and Pag-IBIG contributions. Knows BIR TRAIN Law tax brackets. Understands GCash, Maya, ShopeePayLater, Jollibee, sari-sari stores. 14 expense categories adapted to Filipino spending (including Gaming, Pets, Gifts). 57 currencies supported with live exchange rates.</w:t>
            </w:r>
          </w:p>
        </w:tc>
        <w:tc>
          <w:tcPr>
            <w:tcW w:w="4424" w:type="dxa"/>
            <w:shd w:val="clear" w:color="auto" w:fill="FFFFFF"/>
          </w:tcPr>
          <w:p>
            <w:pPr>
              <w:spacing w:before="60" w:after="60"/>
              <w:jc w:val="left"/>
            </w:pPr>
            <w:r>
              <w:rPr>
                <w:rFonts w:ascii="Tahoma" w:hAnsi="Tahoma"/>
                <w:color w:val="222222"/>
                <w:sz w:val="18"/>
              </w:rPr>
              <w:t>Built for Filipino users — not adapted from a Western app. Understands the financial services Filipinos actually use.</w:t>
            </w:r>
          </w:p>
        </w:tc>
      </w:tr>
      <w:tr>
        <w:tc>
          <w:tcPr>
            <w:tcW w:w="1700" w:type="dxa"/>
            <w:shd w:val="clear" w:color="auto" w:fill="F5F5F5"/>
          </w:tcPr>
          <w:p>
            <w:pPr>
              <w:spacing w:before="60" w:after="60"/>
              <w:jc w:val="left"/>
            </w:pPr>
            <w:r>
              <w:rPr>
                <w:rFonts w:ascii="Tahoma" w:hAnsi="Tahoma"/>
                <w:color w:val="222222"/>
                <w:sz w:val="18"/>
              </w:rPr>
              <w:t>🎮  Gamification</w:t>
            </w:r>
          </w:p>
        </w:tc>
        <w:tc>
          <w:tcPr>
            <w:tcW w:w="4100" w:type="dxa"/>
            <w:shd w:val="clear" w:color="auto" w:fill="F5F5F5"/>
          </w:tcPr>
          <w:p>
            <w:pPr>
              <w:spacing w:before="60" w:after="60"/>
              <w:jc w:val="left"/>
            </w:pPr>
            <w:r>
              <w:rPr>
                <w:rFonts w:ascii="Tahoma" w:hAnsi="Tahoma"/>
                <w:color w:val="222222"/>
                <w:sz w:val="18"/>
              </w:rPr>
              <w:t>23 achievement badges for financial milestones. 10 rotating daily quests (log an expense, stay under budget, etc.). Streak counter for consecutive logging days. Spending Personality card labels your style based on actual data.</w:t>
            </w:r>
          </w:p>
        </w:tc>
        <w:tc>
          <w:tcPr>
            <w:tcW w:w="4424" w:type="dxa"/>
            <w:shd w:val="clear" w:color="auto" w:fill="F5F5F5"/>
          </w:tcPr>
          <w:p>
            <w:pPr>
              <w:spacing w:before="60" w:after="60"/>
              <w:jc w:val="left"/>
            </w:pPr>
            <w:r>
              <w:rPr>
                <w:rFonts w:ascii="Tahoma" w:hAnsi="Tahoma"/>
                <w:color w:val="222222"/>
                <w:sz w:val="18"/>
              </w:rPr>
              <w:t>Research shows gamification increases financial tracking consistency. Keeps users engaged and rewards positive habits without lecturing.</w:t>
            </w:r>
          </w:p>
        </w:tc>
      </w:tr>
      <w:tr>
        <w:tc>
          <w:tcPr>
            <w:tcW w:w="1700" w:type="dxa"/>
            <w:shd w:val="clear" w:color="auto" w:fill="FFFFFF"/>
          </w:tcPr>
          <w:p>
            <w:pPr>
              <w:spacing w:before="60" w:after="60"/>
              <w:jc w:val="left"/>
            </w:pPr>
            <w:r>
              <w:rPr>
                <w:rFonts w:ascii="Tahoma" w:hAnsi="Tahoma"/>
                <w:color w:val="222222"/>
                <w:sz w:val="18"/>
              </w:rPr>
              <w:t>🔒  Privacy &amp; Offline</w:t>
            </w:r>
          </w:p>
        </w:tc>
        <w:tc>
          <w:tcPr>
            <w:tcW w:w="4100" w:type="dxa"/>
            <w:shd w:val="clear" w:color="auto" w:fill="FFFFFF"/>
          </w:tcPr>
          <w:p>
            <w:pPr>
              <w:spacing w:before="60" w:after="60"/>
              <w:jc w:val="left"/>
            </w:pPr>
            <w:r>
              <w:rPr>
                <w:rFonts w:ascii="Tahoma" w:hAnsi="Tahoma"/>
                <w:color w:val="222222"/>
                <w:sz w:val="18"/>
              </w:rPr>
              <w:t>All data stored locally on the device — no mandatory cloud account. Works fully offline (AI chat requires internet, everything else does not). Does not connect to your bank account. Optional PIN + biometric lock.</w:t>
            </w:r>
          </w:p>
        </w:tc>
        <w:tc>
          <w:tcPr>
            <w:tcW w:w="4424" w:type="dxa"/>
            <w:shd w:val="clear" w:color="auto" w:fill="FFFFFF"/>
          </w:tcPr>
          <w:p>
            <w:pPr>
              <w:spacing w:before="60" w:after="60"/>
              <w:jc w:val="left"/>
            </w:pPr>
            <w:r>
              <w:rPr>
                <w:rFonts w:ascii="Tahoma" w:hAnsi="Tahoma"/>
                <w:color w:val="222222"/>
                <w:sz w:val="18"/>
              </w:rPr>
              <w:t>Addresses internet access gaps in provincial Philippines. Compliant with the Philippine Data Privacy Act (RA 10173).</w:t>
            </w:r>
          </w:p>
        </w:tc>
      </w:tr>
    </w:tbl>
    <w:p>
      <w:pPr>
        <w:spacing w:after="80"/>
      </w:pPr>
    </w:p>
    <w:p>
      <w:pPr>
        <w:spacing w:before="200" w:after="40"/>
      </w:pPr>
      <w:r>
        <w:rPr>
          <w:rFonts w:ascii="Tahoma" w:hAnsi="Tahoma"/>
          <w:b/>
          <w:color w:val="1A3A6B"/>
          <w:sz w:val="24"/>
        </w:rPr>
        <w:t>5.  The Financial Health Score — Explained Simply</w:t>
      </w:r>
    </w:p>
    <w:p>
      <w:pPr>
        <w:spacing w:before="0" w:after="60"/>
      </w:pPr>
      <w:r>
        <w:rPr>
          <w:rFonts w:ascii="Tahoma" w:hAnsi="Tahoma"/>
          <w:b w:val="0"/>
          <w:i w:val="0"/>
          <w:color w:val="222222"/>
          <w:sz w:val="19"/>
        </w:rPr>
        <w:t>This is SmartSpend's most important academic contribution. Here is what it is in plain terms:</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5040"/>
        <w:gridCol w:w="5040"/>
      </w:tblGrid>
      <w:tr>
        <w:tc>
          <w:tcPr>
            <w:tcW w:w="2400" w:type="dxa"/>
            <w:shd w:val="clear" w:color="auto" w:fill="5C0E24"/>
          </w:tcPr>
          <w:p>
            <w:pPr>
              <w:spacing w:before="60" w:after="60"/>
              <w:jc w:val="center"/>
            </w:pPr>
            <w:r>
              <w:rPr>
                <w:rFonts w:ascii="Tahoma" w:hAnsi="Tahoma"/>
                <w:b/>
                <w:color w:val="FFFFFF"/>
                <w:sz w:val="18"/>
              </w:rPr>
              <w:t>Question</w:t>
            </w:r>
          </w:p>
        </w:tc>
        <w:tc>
          <w:tcPr>
            <w:tcW w:w="7824" w:type="dxa"/>
            <w:shd w:val="clear" w:color="auto" w:fill="5C0E24"/>
          </w:tcPr>
          <w:p>
            <w:pPr>
              <w:spacing w:before="60" w:after="60"/>
              <w:jc w:val="center"/>
            </w:pPr>
            <w:r>
              <w:rPr>
                <w:rFonts w:ascii="Tahoma" w:hAnsi="Tahoma"/>
                <w:b/>
                <w:color w:val="FFFFFF"/>
                <w:sz w:val="18"/>
              </w:rPr>
              <w:t>Answer</w:t>
            </w:r>
          </w:p>
        </w:tc>
      </w:tr>
      <w:tr>
        <w:tc>
          <w:tcPr>
            <w:tcW w:w="2400" w:type="dxa"/>
            <w:shd w:val="clear" w:color="auto" w:fill="FFFFFF"/>
          </w:tcPr>
          <w:p>
            <w:pPr>
              <w:spacing w:before="60" w:after="60"/>
              <w:jc w:val="left"/>
            </w:pPr>
            <w:r>
              <w:rPr>
                <w:rFonts w:ascii="Tahoma" w:hAnsi="Tahoma"/>
                <w:color w:val="222222"/>
                <w:sz w:val="19"/>
              </w:rPr>
              <w:t>What is it?</w:t>
            </w:r>
          </w:p>
        </w:tc>
        <w:tc>
          <w:tcPr>
            <w:tcW w:w="7824" w:type="dxa"/>
            <w:shd w:val="clear" w:color="auto" w:fill="FFFFFF"/>
          </w:tcPr>
          <w:p>
            <w:pPr>
              <w:spacing w:before="60" w:after="60"/>
              <w:jc w:val="left"/>
            </w:pPr>
            <w:r>
              <w:rPr>
                <w:rFonts w:ascii="Tahoma" w:hAnsi="Tahoma"/>
                <w:color w:val="222222"/>
                <w:sz w:val="19"/>
              </w:rPr>
              <w:t>A number from 0 to 100 that shows how well you are managing your money this month. Higher = better. It resets at the start of each month.</w:t>
            </w:r>
          </w:p>
        </w:tc>
      </w:tr>
      <w:tr>
        <w:tc>
          <w:tcPr>
            <w:tcW w:w="2400" w:type="dxa"/>
            <w:shd w:val="clear" w:color="auto" w:fill="F5F5F5"/>
          </w:tcPr>
          <w:p>
            <w:pPr>
              <w:spacing w:before="60" w:after="60"/>
              <w:jc w:val="left"/>
            </w:pPr>
            <w:r>
              <w:rPr>
                <w:rFonts w:ascii="Tahoma" w:hAnsi="Tahoma"/>
                <w:color w:val="222222"/>
                <w:sz w:val="19"/>
              </w:rPr>
              <w:t>How is it computed?</w:t>
            </w:r>
          </w:p>
        </w:tc>
        <w:tc>
          <w:tcPr>
            <w:tcW w:w="7824" w:type="dxa"/>
            <w:shd w:val="clear" w:color="auto" w:fill="F5F5F5"/>
          </w:tcPr>
          <w:p>
            <w:pPr>
              <w:spacing w:before="60" w:after="60"/>
              <w:jc w:val="left"/>
            </w:pPr>
            <w:r>
              <w:rPr>
                <w:rFonts w:ascii="Tahoma" w:hAnsi="Tahoma"/>
                <w:color w:val="222222"/>
                <w:sz w:val="19"/>
              </w:rPr>
              <w:t>The app adds up 4 components — each worth up to 25 points:</w:t>
              <w:br/>
              <w:br/>
              <w:t>1.  Savings Rate — Are you saving at least 20% of your income? (25 pts)</w:t>
              <w:br/>
              <w:t>2.  Overspend Control — Did you stay within your daily budget most days? (25 pts)</w:t>
              <w:br/>
              <w:t>3.  Budget Adherence — Are your category budgets still on track? (25 pts)</w:t>
              <w:br/>
              <w:t>4.  Logging Consistency — Are you recording expenses regularly this month? (25 pts)</w:t>
              <w:br/>
              <w:br/>
              <w:t>Add all four: maximum score = 100.</w:t>
            </w:r>
          </w:p>
        </w:tc>
      </w:tr>
      <w:tr>
        <w:tc>
          <w:tcPr>
            <w:tcW w:w="2400" w:type="dxa"/>
            <w:shd w:val="clear" w:color="auto" w:fill="FFFFFF"/>
          </w:tcPr>
          <w:p>
            <w:pPr>
              <w:spacing w:before="60" w:after="60"/>
              <w:jc w:val="left"/>
            </w:pPr>
            <w:r>
              <w:rPr>
                <w:rFonts w:ascii="Tahoma" w:hAnsi="Tahoma"/>
                <w:color w:val="222222"/>
                <w:sz w:val="19"/>
              </w:rPr>
              <w:t>What if the user has no fixed income?</w:t>
            </w:r>
          </w:p>
        </w:tc>
        <w:tc>
          <w:tcPr>
            <w:tcW w:w="7824" w:type="dxa"/>
            <w:shd w:val="clear" w:color="auto" w:fill="FFFFFF"/>
          </w:tcPr>
          <w:p>
            <w:pPr>
              <w:spacing w:before="60" w:after="60"/>
              <w:jc w:val="left"/>
            </w:pPr>
            <w:r>
              <w:rPr>
                <w:rFonts w:ascii="Tahoma" w:hAnsi="Tahoma"/>
                <w:color w:val="222222"/>
                <w:sz w:val="19"/>
              </w:rPr>
              <w:t>Lightweight Mode replaces the income-based components with habit-based ones:</w:t>
              <w:br/>
              <w:br/>
              <w:t>1.  Spending Restraint — Are you within your self-set limit? (25 pts)</w:t>
              <w:br/>
              <w:t>2.  Logging Consistency — Same as above. (25 pts)</w:t>
              <w:br/>
              <w:t>3.  Category Balance — Is spending spread across categories, not concentrated? (25 pts)</w:t>
              <w:br/>
              <w:t>4.  Habit Streak — Consecutive days logged (full score at 14-day streak). (25 pts)</w:t>
              <w:br/>
              <w:br/>
              <w:t>This mode is for students, freelancers, and anyone without a regular paycheck.</w:t>
            </w:r>
          </w:p>
        </w:tc>
      </w:tr>
      <w:tr>
        <w:tc>
          <w:tcPr>
            <w:tcW w:w="2400" w:type="dxa"/>
            <w:shd w:val="clear" w:color="auto" w:fill="F5F5F5"/>
          </w:tcPr>
          <w:p>
            <w:pPr>
              <w:spacing w:before="60" w:after="60"/>
              <w:jc w:val="left"/>
            </w:pPr>
            <w:r>
              <w:rPr>
                <w:rFonts w:ascii="Tahoma" w:hAnsi="Tahoma"/>
                <w:color w:val="222222"/>
                <w:sz w:val="19"/>
              </w:rPr>
              <w:t>Does the score go up or down automatically?</w:t>
            </w:r>
          </w:p>
        </w:tc>
        <w:tc>
          <w:tcPr>
            <w:tcW w:w="7824" w:type="dxa"/>
            <w:shd w:val="clear" w:color="auto" w:fill="F5F5F5"/>
          </w:tcPr>
          <w:p>
            <w:pPr>
              <w:spacing w:before="60" w:after="60"/>
              <w:jc w:val="left"/>
            </w:pPr>
            <w:r>
              <w:rPr>
                <w:rFonts w:ascii="Tahoma" w:hAnsi="Tahoma"/>
                <w:color w:val="222222"/>
                <w:sz w:val="19"/>
              </w:rPr>
              <w:t>Yes. Two adjustments can shift the final score:</w:t>
              <w:br/>
              <w:br/>
              <w:t>• Warning Decay: If you exceed a budget and keep spending in that category the next day, the score drops by 5 points per day (max −15). Resets when spending is controlled.</w:t>
              <w:br/>
              <w:br/>
              <w:t>• Gap Adjustment: If you missed logging for a few days and the app asks you about it, confirming genuine no-spend days gives a +2 pts/day bonus. Admitting forgotten purchases gives a −3 pts/day penalty.</w:t>
            </w:r>
          </w:p>
        </w:tc>
      </w:tr>
      <w:tr>
        <w:tc>
          <w:tcPr>
            <w:tcW w:w="2400" w:type="dxa"/>
            <w:shd w:val="clear" w:color="auto" w:fill="FFFFFF"/>
          </w:tcPr>
          <w:p>
            <w:pPr>
              <w:spacing w:before="60" w:after="60"/>
              <w:jc w:val="left"/>
            </w:pPr>
            <w:r>
              <w:rPr>
                <w:rFonts w:ascii="Tahoma" w:hAnsi="Tahoma"/>
                <w:color w:val="222222"/>
                <w:sz w:val="19"/>
              </w:rPr>
              <w:t>Where does the target 80+ score come from?</w:t>
            </w:r>
          </w:p>
        </w:tc>
        <w:tc>
          <w:tcPr>
            <w:tcW w:w="7824" w:type="dxa"/>
            <w:shd w:val="clear" w:color="auto" w:fill="FFFFFF"/>
          </w:tcPr>
          <w:p>
            <w:pPr>
              <w:spacing w:before="60" w:after="60"/>
              <w:jc w:val="left"/>
            </w:pPr>
            <w:r>
              <w:rPr>
                <w:rFonts w:ascii="Tahoma" w:hAnsi="Tahoma"/>
                <w:color w:val="222222"/>
                <w:sz w:val="19"/>
              </w:rPr>
              <w:t>SmartSpend targets a SUS usability score of ≥80 and uses the same 80-point threshold as the "Good" benchmark in the Bangor, Kortum &amp; Miller (2009) interpretation scale.</w:t>
              <w:br/>
              <w:br/>
              <w:t>For the FHS itself, a score of 80+ means the user is saving at least their target, staying within budget most days, and logging consistently — a solid financial health profile.</w:t>
            </w:r>
          </w:p>
        </w:tc>
      </w:tr>
      <w:tr>
        <w:tc>
          <w:tcPr>
            <w:tcW w:w="2400" w:type="dxa"/>
            <w:shd w:val="clear" w:color="auto" w:fill="F5F5F5"/>
          </w:tcPr>
          <w:p>
            <w:pPr>
              <w:spacing w:before="60" w:after="60"/>
              <w:jc w:val="left"/>
            </w:pPr>
            <w:r>
              <w:rPr>
                <w:rFonts w:ascii="Tahoma" w:hAnsi="Tahoma"/>
                <w:color w:val="222222"/>
                <w:sz w:val="19"/>
              </w:rPr>
              <w:t>Is this the same as the CFPB survey scale?</w:t>
            </w:r>
          </w:p>
        </w:tc>
        <w:tc>
          <w:tcPr>
            <w:tcW w:w="7824" w:type="dxa"/>
            <w:shd w:val="clear" w:color="auto" w:fill="F5F5F5"/>
          </w:tcPr>
          <w:p>
            <w:pPr>
              <w:spacing w:before="60" w:after="60"/>
              <w:jc w:val="left"/>
            </w:pPr>
            <w:r>
              <w:rPr>
                <w:rFonts w:ascii="Tahoma" w:hAnsi="Tahoma"/>
                <w:color w:val="222222"/>
                <w:sz w:val="19"/>
              </w:rPr>
              <w:t>No. The CFPB Financial Well-Being Scale is a 10-question survey asking how you feel about your finances (perceived security, anxiety). It is subjective.</w:t>
              <w:br/>
              <w:br/>
              <w:t>SmartSpend's FHS is objective — computed from real transaction records, not feelings. This is formally called an Observed Financial Health Indicator (FHI), per the Commonwealth Bank of Australia &amp; Melbourne Institute (CBA-MI, 2018) dual-scale framework.</w:t>
            </w:r>
          </w:p>
        </w:tc>
      </w:tr>
    </w:tbl>
    <w:p>
      <w:pPr>
        <w:spacing w:after="80"/>
      </w:pPr>
    </w:p>
    <w:p>
      <w:pPr>
        <w:spacing w:before="200" w:after="40"/>
      </w:pPr>
      <w:r>
        <w:rPr>
          <w:rFonts w:ascii="Tahoma" w:hAnsi="Tahoma"/>
          <w:b/>
          <w:color w:val="1A3A6B"/>
          <w:sz w:val="24"/>
        </w:rPr>
        <w:t>6.  How to Use SmartSpend — 6 Steps</w:t>
      </w: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800" w:type="dxa"/>
            <w:shd w:val="clear" w:color="auto" w:fill="1A3A6B"/>
          </w:tcPr>
          <w:p>
            <w:pPr>
              <w:spacing w:before="120" w:after="120"/>
              <w:jc w:val="center"/>
            </w:pPr>
            <w:r>
              <w:rPr>
                <w:rFonts w:ascii="Tahoma" w:hAnsi="Tahoma"/>
                <w:b/>
                <w:color w:val="FFFFFF"/>
                <w:sz w:val="28"/>
              </w:rPr>
              <w:t>1</w:t>
            </w:r>
          </w:p>
        </w:tc>
        <w:tc>
          <w:tcPr>
            <w:tcW w:w="9424" w:type="dxa"/>
            <w:shd w:val="clear" w:color="auto" w:fill="EEF4FF"/>
          </w:tcPr>
          <w:p>
            <w:pPr>
              <w:spacing w:before="80" w:after="0"/>
            </w:pPr>
            <w:r>
              <w:rPr>
                <w:rFonts w:ascii="Tahoma" w:hAnsi="Tahoma"/>
                <w:b/>
                <w:color w:val="1A3A6B"/>
                <w:sz w:val="20"/>
              </w:rPr>
              <w:t xml:space="preserve">Install:  </w:t>
            </w:r>
            <w:r>
              <w:rPr>
                <w:rFonts w:ascii="Tahoma" w:hAnsi="Tahoma"/>
                <w:color w:val="222222"/>
                <w:sz w:val="19"/>
              </w:rPr>
              <w:t>Download the APK file provided by the researchers. Install it on an Android phone (allow installation from unknown sources if prompted — this is normal for test apps not yet on the Play Store).</w:t>
            </w:r>
          </w:p>
          <w:p>
            <w:pPr>
              <w:spacing w:before="0" w:after="80"/>
            </w:pP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800" w:type="dxa"/>
            <w:shd w:val="clear" w:color="auto" w:fill="1A3A6B"/>
          </w:tcPr>
          <w:p>
            <w:pPr>
              <w:spacing w:before="120" w:after="120"/>
              <w:jc w:val="center"/>
            </w:pPr>
            <w:r>
              <w:rPr>
                <w:rFonts w:ascii="Tahoma" w:hAnsi="Tahoma"/>
                <w:b/>
                <w:color w:val="FFFFFF"/>
                <w:sz w:val="28"/>
              </w:rPr>
              <w:t>2</w:t>
            </w:r>
          </w:p>
        </w:tc>
        <w:tc>
          <w:tcPr>
            <w:tcW w:w="9424" w:type="dxa"/>
            <w:shd w:val="clear" w:color="auto" w:fill="EEF4FF"/>
          </w:tcPr>
          <w:p>
            <w:pPr>
              <w:spacing w:before="80" w:after="0"/>
            </w:pPr>
            <w:r>
              <w:rPr>
                <w:rFonts w:ascii="Tahoma" w:hAnsi="Tahoma"/>
                <w:b/>
                <w:color w:val="1A3A6B"/>
                <w:sz w:val="20"/>
              </w:rPr>
              <w:t xml:space="preserve">Open &amp; Log In:  </w:t>
            </w:r>
            <w:r>
              <w:rPr>
                <w:rFonts w:ascii="Tahoma" w:hAnsi="Tahoma"/>
                <w:color w:val="222222"/>
                <w:sz w:val="19"/>
              </w:rPr>
              <w:t>Tap "Try Demo" to explore with pre-loaded sample data — no account needed. Or create a free account with Google or email.</w:t>
            </w:r>
          </w:p>
          <w:p>
            <w:pPr>
              <w:spacing w:before="0" w:after="80"/>
            </w:pP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800" w:type="dxa"/>
            <w:shd w:val="clear" w:color="auto" w:fill="1A3A6B"/>
          </w:tcPr>
          <w:p>
            <w:pPr>
              <w:spacing w:before="120" w:after="120"/>
              <w:jc w:val="center"/>
            </w:pPr>
            <w:r>
              <w:rPr>
                <w:rFonts w:ascii="Tahoma" w:hAnsi="Tahoma"/>
                <w:b/>
                <w:color w:val="FFFFFF"/>
                <w:sz w:val="28"/>
              </w:rPr>
              <w:t>3</w:t>
            </w:r>
          </w:p>
        </w:tc>
        <w:tc>
          <w:tcPr>
            <w:tcW w:w="9424" w:type="dxa"/>
            <w:shd w:val="clear" w:color="auto" w:fill="EEF4FF"/>
          </w:tcPr>
          <w:p>
            <w:pPr>
              <w:spacing w:before="80" w:after="0"/>
            </w:pPr>
            <w:r>
              <w:rPr>
                <w:rFonts w:ascii="Tahoma" w:hAnsi="Tahoma"/>
                <w:b/>
                <w:color w:val="1A3A6B"/>
                <w:sz w:val="20"/>
              </w:rPr>
              <w:t xml:space="preserve">Set Up:  </w:t>
            </w:r>
            <w:r>
              <w:rPr>
                <w:rFonts w:ascii="Tahoma" w:hAnsi="Tahoma"/>
                <w:color w:val="222222"/>
                <w:sz w:val="19"/>
              </w:rPr>
              <w:t>Choose your account type (Student, Employed, etc.) and optionally enter your monthly income or allowance. This helps the AI give more accurate advice.</w:t>
            </w:r>
          </w:p>
          <w:p>
            <w:pPr>
              <w:spacing w:before="0" w:after="80"/>
            </w:pP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800" w:type="dxa"/>
            <w:shd w:val="clear" w:color="auto" w:fill="1A3A6B"/>
          </w:tcPr>
          <w:p>
            <w:pPr>
              <w:spacing w:before="120" w:after="120"/>
              <w:jc w:val="center"/>
            </w:pPr>
            <w:r>
              <w:rPr>
                <w:rFonts w:ascii="Tahoma" w:hAnsi="Tahoma"/>
                <w:b/>
                <w:color w:val="FFFFFF"/>
                <w:sz w:val="28"/>
              </w:rPr>
              <w:t>4</w:t>
            </w:r>
          </w:p>
        </w:tc>
        <w:tc>
          <w:tcPr>
            <w:tcW w:w="9424" w:type="dxa"/>
            <w:shd w:val="clear" w:color="auto" w:fill="EEF4FF"/>
          </w:tcPr>
          <w:p>
            <w:pPr>
              <w:spacing w:before="80" w:after="0"/>
            </w:pPr>
            <w:r>
              <w:rPr>
                <w:rFonts w:ascii="Tahoma" w:hAnsi="Tahoma"/>
                <w:b/>
                <w:color w:val="1A3A6B"/>
                <w:sz w:val="20"/>
              </w:rPr>
              <w:t xml:space="preserve">Log Expenses:  </w:t>
            </w:r>
            <w:r>
              <w:rPr>
                <w:rFonts w:ascii="Tahoma" w:hAnsi="Tahoma"/>
                <w:color w:val="222222"/>
                <w:sz w:val="19"/>
              </w:rPr>
              <w:t>Tap the AI button at the bottom center. Say or type what you spent. For example: "Spent 30 pesos for jeepney" or "Nagbayad ako ng 150 sa GCash." The AI logs it instantly.</w:t>
            </w:r>
          </w:p>
          <w:p>
            <w:pPr>
              <w:spacing w:before="0" w:after="80"/>
            </w:pP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800" w:type="dxa"/>
            <w:shd w:val="clear" w:color="auto" w:fill="1A3A6B"/>
          </w:tcPr>
          <w:p>
            <w:pPr>
              <w:spacing w:before="120" w:after="120"/>
              <w:jc w:val="center"/>
            </w:pPr>
            <w:r>
              <w:rPr>
                <w:rFonts w:ascii="Tahoma" w:hAnsi="Tahoma"/>
                <w:b/>
                <w:color w:val="FFFFFF"/>
                <w:sz w:val="28"/>
              </w:rPr>
              <w:t>5</w:t>
            </w:r>
          </w:p>
        </w:tc>
        <w:tc>
          <w:tcPr>
            <w:tcW w:w="9424" w:type="dxa"/>
            <w:shd w:val="clear" w:color="auto" w:fill="EEF4FF"/>
          </w:tcPr>
          <w:p>
            <w:pPr>
              <w:spacing w:before="80" w:after="0"/>
            </w:pPr>
            <w:r>
              <w:rPr>
                <w:rFonts w:ascii="Tahoma" w:hAnsi="Tahoma"/>
                <w:b/>
                <w:color w:val="1A3A6B"/>
                <w:sz w:val="20"/>
              </w:rPr>
              <w:t xml:space="preserve">Check Your Score:  </w:t>
            </w:r>
            <w:r>
              <w:rPr>
                <w:rFonts w:ascii="Tahoma" w:hAnsi="Tahoma"/>
                <w:color w:val="222222"/>
                <w:sz w:val="19"/>
              </w:rPr>
              <w:t>Your Financial Health Score (0–100) appears on the home screen. Tap it to see which of the 4 components is pulling it up or down, with plain-language tips for each.</w:t>
            </w:r>
          </w:p>
          <w:p>
            <w:pPr>
              <w:spacing w:before="0" w:after="80"/>
            </w:pPr>
          </w:p>
        </w:tc>
      </w:tr>
    </w:tbl>
    <w:p>
      <w:pPr>
        <w:spacing w:after="40"/>
      </w:pPr>
    </w:p>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040"/>
        <w:gridCol w:w="5040"/>
      </w:tblGrid>
      <w:tr>
        <w:tc>
          <w:tcPr>
            <w:tcW w:w="800" w:type="dxa"/>
            <w:shd w:val="clear" w:color="auto" w:fill="1A3A6B"/>
          </w:tcPr>
          <w:p>
            <w:pPr>
              <w:spacing w:before="120" w:after="120"/>
              <w:jc w:val="center"/>
            </w:pPr>
            <w:r>
              <w:rPr>
                <w:rFonts w:ascii="Tahoma" w:hAnsi="Tahoma"/>
                <w:b/>
                <w:color w:val="FFFFFF"/>
                <w:sz w:val="28"/>
              </w:rPr>
              <w:t>6</w:t>
            </w:r>
          </w:p>
        </w:tc>
        <w:tc>
          <w:tcPr>
            <w:tcW w:w="9424" w:type="dxa"/>
            <w:shd w:val="clear" w:color="auto" w:fill="EEF4FF"/>
          </w:tcPr>
          <w:p>
            <w:pPr>
              <w:spacing w:before="80" w:after="0"/>
            </w:pPr>
            <w:r>
              <w:rPr>
                <w:rFonts w:ascii="Tahoma" w:hAnsi="Tahoma"/>
                <w:b/>
                <w:color w:val="1A3A6B"/>
                <w:sz w:val="20"/>
              </w:rPr>
              <w:t xml:space="preserve">Explore Features:  </w:t>
            </w:r>
            <w:r>
              <w:rPr>
                <w:rFonts w:ascii="Tahoma" w:hAnsi="Tahoma"/>
                <w:color w:val="222222"/>
                <w:sz w:val="19"/>
              </w:rPr>
              <w:t>Tap Analytics for spending charts and the 50/30/20 tracker. Tap the Hub icon for Budgets, Goals, Debts, the Bill Calendar, and more.</w:t>
            </w:r>
          </w:p>
          <w:p>
            <w:pPr>
              <w:spacing w:before="0" w:after="80"/>
            </w:pPr>
          </w:p>
        </w:tc>
      </w:tr>
    </w:tbl>
    <w:p>
      <w:pPr>
        <w:spacing w:after="40"/>
      </w:pPr>
    </w:p>
    <w:p>
      <w:pPr>
        <w:spacing w:before="200" w:after="40"/>
      </w:pPr>
      <w:r>
        <w:rPr>
          <w:rFonts w:ascii="Tahoma" w:hAnsi="Tahoma"/>
          <w:b/>
          <w:color w:val="1A3A6B"/>
          <w:sz w:val="24"/>
        </w:rPr>
        <w:t>7.  Why This Research Is Relevant</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5040"/>
        <w:gridCol w:w="5040"/>
      </w:tblGrid>
      <w:tr>
        <w:tc>
          <w:tcPr>
            <w:tcW w:w="3200" w:type="dxa"/>
            <w:shd w:val="clear" w:color="auto" w:fill="5C0E24"/>
          </w:tcPr>
          <w:p>
            <w:pPr>
              <w:spacing w:before="60" w:after="60"/>
              <w:jc w:val="center"/>
            </w:pPr>
            <w:r>
              <w:rPr>
                <w:rFonts w:ascii="Tahoma" w:hAnsi="Tahoma"/>
                <w:b/>
                <w:color w:val="FFFFFF"/>
                <w:sz w:val="18"/>
              </w:rPr>
              <w:t>Research Question</w:t>
            </w:r>
          </w:p>
        </w:tc>
        <w:tc>
          <w:tcPr>
            <w:tcW w:w="7024" w:type="dxa"/>
            <w:shd w:val="clear" w:color="auto" w:fill="5C0E24"/>
          </w:tcPr>
          <w:p>
            <w:pPr>
              <w:spacing w:before="60" w:after="60"/>
              <w:jc w:val="center"/>
            </w:pPr>
            <w:r>
              <w:rPr>
                <w:rFonts w:ascii="Tahoma" w:hAnsi="Tahoma"/>
                <w:b/>
                <w:color w:val="FFFFFF"/>
                <w:sz w:val="18"/>
              </w:rPr>
              <w:t>SmartSpend's Answer</w:t>
            </w:r>
          </w:p>
        </w:tc>
      </w:tr>
      <w:tr>
        <w:tc>
          <w:tcPr>
            <w:tcW w:w="3200" w:type="dxa"/>
            <w:shd w:val="clear" w:color="auto" w:fill="FFFFFF"/>
          </w:tcPr>
          <w:p>
            <w:pPr>
              <w:spacing w:before="60" w:after="60"/>
              <w:jc w:val="left"/>
            </w:pPr>
            <w:r>
              <w:rPr>
                <w:rFonts w:ascii="Tahoma" w:hAnsi="Tahoma"/>
                <w:color w:val="222222"/>
                <w:sz w:val="19"/>
              </w:rPr>
              <w:t>Is there a gap in financial management tools for Filipino users?</w:t>
            </w:r>
          </w:p>
        </w:tc>
        <w:tc>
          <w:tcPr>
            <w:tcW w:w="7024" w:type="dxa"/>
            <w:shd w:val="clear" w:color="auto" w:fill="FFFFFF"/>
          </w:tcPr>
          <w:p>
            <w:pPr>
              <w:spacing w:before="60" w:after="60"/>
              <w:jc w:val="left"/>
            </w:pPr>
            <w:r>
              <w:rPr>
                <w:rFonts w:ascii="Tahoma" w:hAnsi="Tahoma"/>
                <w:color w:val="222222"/>
                <w:sz w:val="19"/>
              </w:rPr>
              <w:t>Yes — documented by BSP (2021, 2025). Less than 50% of Filipino adults have formal bank accounts. Existing apps do not support Taglish, GCash imports, or offline operation in provincial areas.</w:t>
            </w:r>
          </w:p>
        </w:tc>
      </w:tr>
      <w:tr>
        <w:tc>
          <w:tcPr>
            <w:tcW w:w="3200" w:type="dxa"/>
            <w:shd w:val="clear" w:color="auto" w:fill="F5F5F5"/>
          </w:tcPr>
          <w:p>
            <w:pPr>
              <w:spacing w:before="60" w:after="60"/>
              <w:jc w:val="left"/>
            </w:pPr>
            <w:r>
              <w:rPr>
                <w:rFonts w:ascii="Tahoma" w:hAnsi="Tahoma"/>
                <w:color w:val="222222"/>
                <w:sz w:val="19"/>
              </w:rPr>
              <w:t>Is AI appropriate for a personal finance app?</w:t>
            </w:r>
          </w:p>
        </w:tc>
        <w:tc>
          <w:tcPr>
            <w:tcW w:w="7024" w:type="dxa"/>
            <w:shd w:val="clear" w:color="auto" w:fill="F5F5F5"/>
          </w:tcPr>
          <w:p>
            <w:pPr>
              <w:spacing w:before="60" w:after="60"/>
              <w:jc w:val="left"/>
            </w:pPr>
            <w:r>
              <w:rPr>
                <w:rFonts w:ascii="Tahoma" w:hAnsi="Tahoma"/>
                <w:color w:val="222222"/>
                <w:sz w:val="19"/>
              </w:rPr>
              <w:t>Yes — LLMs reduce manual logging friction, the leading reason Filipinos abandon financial tracking apps (Stefanov et al., 2024; Hean et al., 2025; BSP, 2021). SmartSpend's AI executes 34 autonomous actions on the user's behalf.</w:t>
            </w:r>
          </w:p>
        </w:tc>
      </w:tr>
      <w:tr>
        <w:tc>
          <w:tcPr>
            <w:tcW w:w="3200" w:type="dxa"/>
            <w:shd w:val="clear" w:color="auto" w:fill="FFFFFF"/>
          </w:tcPr>
          <w:p>
            <w:pPr>
              <w:spacing w:before="60" w:after="60"/>
              <w:jc w:val="left"/>
            </w:pPr>
            <w:r>
              <w:rPr>
                <w:rFonts w:ascii="Tahoma" w:hAnsi="Tahoma"/>
                <w:color w:val="222222"/>
                <w:sz w:val="19"/>
              </w:rPr>
              <w:t>Is the Financial Health Score academically grounded?</w:t>
            </w:r>
          </w:p>
        </w:tc>
        <w:tc>
          <w:tcPr>
            <w:tcW w:w="7024" w:type="dxa"/>
            <w:shd w:val="clear" w:color="auto" w:fill="FFFFFF"/>
          </w:tcPr>
          <w:p>
            <w:pPr>
              <w:spacing w:before="60" w:after="60"/>
              <w:jc w:val="left"/>
            </w:pPr>
            <w:r>
              <w:rPr>
                <w:rFonts w:ascii="Tahoma" w:hAnsi="Tahoma"/>
                <w:color w:val="222222"/>
                <w:sz w:val="19"/>
              </w:rPr>
              <w:t>Yes — grounded in the Financial Health Network FinHealth Score® (2021), UNSGSA (2021), and CBA-MI (2018) observed-scale framework. Every component traces to a published academic or institutional standard.</w:t>
            </w:r>
          </w:p>
        </w:tc>
      </w:tr>
      <w:tr>
        <w:tc>
          <w:tcPr>
            <w:tcW w:w="3200" w:type="dxa"/>
            <w:shd w:val="clear" w:color="auto" w:fill="F5F5F5"/>
          </w:tcPr>
          <w:p>
            <w:pPr>
              <w:spacing w:before="60" w:after="60"/>
              <w:jc w:val="left"/>
            </w:pPr>
            <w:r>
              <w:rPr>
                <w:rFonts w:ascii="Tahoma" w:hAnsi="Tahoma"/>
                <w:color w:val="222222"/>
                <w:sz w:val="19"/>
              </w:rPr>
              <w:t>Is the usability evaluation methodology sound?</w:t>
            </w:r>
          </w:p>
        </w:tc>
        <w:tc>
          <w:tcPr>
            <w:tcW w:w="7024" w:type="dxa"/>
            <w:shd w:val="clear" w:color="auto" w:fill="F5F5F5"/>
          </w:tcPr>
          <w:p>
            <w:pPr>
              <w:spacing w:before="60" w:after="60"/>
              <w:jc w:val="left"/>
            </w:pPr>
            <w:r>
              <w:rPr>
                <w:rFonts w:ascii="Tahoma" w:hAnsi="Tahoma"/>
                <w:color w:val="222222"/>
                <w:sz w:val="19"/>
              </w:rPr>
              <w:t>Yes — the System Usability Scale (Brooke, 1996; Bangor et al., 2009) is the most widely validated usability instrument in human-computer interaction. A purposive sample of N=30 is appropriate and sufficient for prototype usability testing per Nielsen (1993) and Faulkner (2003).</w:t>
            </w:r>
          </w:p>
        </w:tc>
      </w:tr>
      <w:tr>
        <w:tc>
          <w:tcPr>
            <w:tcW w:w="3200" w:type="dxa"/>
            <w:shd w:val="clear" w:color="auto" w:fill="FFFFFF"/>
          </w:tcPr>
          <w:p>
            <w:pPr>
              <w:spacing w:before="60" w:after="60"/>
              <w:jc w:val="left"/>
            </w:pPr>
            <w:r>
              <w:rPr>
                <w:rFonts w:ascii="Tahoma" w:hAnsi="Tahoma"/>
                <w:color w:val="222222"/>
                <w:sz w:val="19"/>
              </w:rPr>
              <w:t>Does SmartSpend comply with Philippine law?</w:t>
            </w:r>
          </w:p>
        </w:tc>
        <w:tc>
          <w:tcPr>
            <w:tcW w:w="7024" w:type="dxa"/>
            <w:shd w:val="clear" w:color="auto" w:fill="FFFFFF"/>
          </w:tcPr>
          <w:p>
            <w:pPr>
              <w:spacing w:before="60" w:after="60"/>
              <w:jc w:val="left"/>
            </w:pPr>
            <w:r>
              <w:rPr>
                <w:rFonts w:ascii="Tahoma" w:hAnsi="Tahoma"/>
                <w:color w:val="222222"/>
                <w:sz w:val="19"/>
              </w:rPr>
              <w:t>Yes — the app implements RA 10173 (Data Privacy Act) compliance through: on-device data storage, on-device redaction of account numbers before any cloud processing, granular consent, and an optional App Lock. It also follows the NIST AI Risk Management Framework guidelines.</w:t>
            </w:r>
          </w:p>
        </w:tc>
      </w:tr>
    </w:tbl>
    <w:p>
      <w:pPr>
        <w:spacing w:after="80"/>
      </w:pPr>
    </w:p>
    <w:tbl>
      <w:tblPr>
        <w:tblLook w:firstColumn="1" w:firstRow="1" w:lastColumn="0" w:lastRow="0" w:noHBand="0" w:noVBand="1" w:val="04A0"/>
        <w:tblW w:w="10224" w:type="dxa"/>
        <w:tblBorders>
          <w:top w:val="single" w:sz="4" w:space="0" w:color="5C0E24"/>
          <w:left w:val="single" w:sz="4" w:space="0" w:color="5C0E24"/>
          <w:bottom w:val="single" w:sz="4" w:space="0" w:color="5C0E24"/>
          <w:right w:val="single" w:sz="4" w:space="0" w:color="5C0E24"/>
          <w:insideH w:val="single" w:sz="4" w:space="0" w:color="5C0E24"/>
          <w:insideV w:val="single" w:sz="4" w:space="0" w:color="5C0E24"/>
        </w:tblBorders>
      </w:tblPr>
      <w:tblGrid>
        <w:gridCol w:w="10080"/>
      </w:tblGrid>
      <w:tr>
        <w:tc>
          <w:tcPr>
            <w:tcW w:type="dxa" w:w="10080"/>
            <w:shd w:val="clear" w:color="auto" w:fill="FFF3F5"/>
          </w:tcPr>
          <w:p>
            <w:pPr>
              <w:spacing w:before="100" w:after="100"/>
              <w:jc w:val="left"/>
            </w:pPr>
            <w:r>
              <w:rPr>
                <w:rFonts w:ascii="Tahoma" w:hAnsi="Tahoma"/>
                <w:b/>
                <w:color w:val="5C0E24"/>
                <w:sz w:val="19"/>
              </w:rPr>
              <w:t>📌  BOTTOM LINE FOR THE EVALUATOR</w:t>
              <w:br/>
              <w:t>SmartSpend is a real, fully-working Android app that solves a documented Filipino problem — the inability to track finances consistently — using AI, offline-first architecture, and a behaviorally grounded scoring system. Every design decision is backed by published research. The app is free, works without a bank account, and is specifically adapted for Filipino language, platforms, and financial services.</w:t>
            </w:r>
          </w:p>
        </w:tc>
      </w:tr>
    </w:tbl>
    <w:p>
      <w:pPr>
        <w:spacing w:after="60"/>
      </w:pP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ahoma" w:hAnsi="Tahoma"/>
        <w:color w:val="666666"/>
        <w:sz w:val="14"/>
      </w:rPr>
      <w:t>SmartSpend Application Brief  |  Lucid Frame  |  Lorma Colleges CCSE BSIT  |  AY 2026–2027  |  For Adviser / Evaluator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pPr>
    <w:rPr>
      <w:rFonts w:ascii="Tahoma" w:hAnsi="Tahom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