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080"/>
      </w:tblGrid>
      <w:tr>
        <w:tc>
          <w:tcPr>
            <w:tcW w:type="dxa" w:w="10080"/>
            <w:shd w:val="clear" w:color="auto" w:fill="1A3A6B"/>
          </w:tcPr>
          <w:p>
            <w:pPr>
              <w:spacing w:before="120" w:after="40"/>
              <w:jc w:val="center"/>
            </w:pPr>
            <w:r>
              <w:rPr>
                <w:rFonts w:ascii="Tahoma" w:hAnsi="Tahoma"/>
                <w:b/>
                <w:color w:val="FFFFFF"/>
                <w:sz w:val="32"/>
              </w:rPr>
              <w:t>SmartSpend — Research Verification Document</w:t>
            </w:r>
          </w:p>
          <w:p>
            <w:pPr>
              <w:spacing w:before="0" w:after="120"/>
              <w:jc w:val="center"/>
            </w:pPr>
            <w:r>
              <w:rPr>
                <w:rFonts w:ascii="Tahoma" w:hAnsi="Tahoma"/>
                <w:i/>
                <w:color w:val="FFFFCC"/>
                <w:sz w:val="19"/>
              </w:rPr>
              <w:t>Feature-to-Research Mapping | Academic Citations | Framework Validation</w:t>
              <w:br/>
              <w:t>Intended for use with Claude, Gemini Notebook, Perplexity, and Expert Validators</w:t>
            </w:r>
          </w:p>
        </w:tc>
      </w:tr>
    </w:tbl>
    <w:p>
      <w:pPr>
        <w:spacing w:after="80"/>
      </w:pPr>
    </w:p>
    <w:tbl>
      <w:tblPr>
        <w:tblLook w:firstColumn="1" w:firstRow="1" w:lastColumn="0" w:lastRow="0" w:noHBand="0" w:noVBand="1" w:val="04A0"/>
        <w:tblW w:w="10224" w:type="dxa"/>
        <w:tblBorders>
          <w:top w:val="single" w:sz="4" w:space="0" w:color="1A3A6B"/>
          <w:left w:val="single" w:sz="4" w:space="0" w:color="1A3A6B"/>
          <w:bottom w:val="single" w:sz="4" w:space="0" w:color="1A3A6B"/>
          <w:right w:val="single" w:sz="4" w:space="0" w:color="1A3A6B"/>
          <w:insideH w:val="single" w:sz="4" w:space="0" w:color="1A3A6B"/>
          <w:insideV w:val="single" w:sz="4" w:space="0" w:color="1A3A6B"/>
        </w:tblBorders>
      </w:tblPr>
      <w:tblGrid>
        <w:gridCol w:w="10080"/>
      </w:tblGrid>
      <w:tr>
        <w:tc>
          <w:tcPr>
            <w:tcW w:type="dxa" w:w="10080"/>
            <w:shd w:val="clear" w:color="auto" w:fill="EEF4FF"/>
          </w:tcPr>
          <w:p>
            <w:pPr>
              <w:spacing w:before="100" w:after="100"/>
              <w:jc w:val="left"/>
            </w:pPr>
            <w:r>
              <w:rPr>
                <w:rFonts w:ascii="Tahoma" w:hAnsi="Tahoma"/>
                <w:b w:val="0"/>
                <w:color w:val="1A3A6B"/>
                <w:sz w:val="19"/>
              </w:rPr>
              <w:t>📋  PURPOSE OF THIS DOCUMENT</w:t>
              <w:br/>
              <w:t>This document maps every major SmartSpend feature to its academic or institutional research basis. It is structured for verification by: (1) AI research tools (Claude, Gemini Notebook, Perplexity) to fact-check citations and identify additional supporting literature; (2) expert validators/evaluators who need to verify the theoretical grounding of the system before signing validation certificates; (3) the panel during defense to answer "where did you get the basis for this?"</w:t>
            </w:r>
          </w:p>
        </w:tc>
      </w:tr>
    </w:tbl>
    <w:p>
      <w:pPr>
        <w:spacing w:after="60"/>
      </w:pPr>
    </w:p>
    <w:p>
      <w:pPr>
        <w:spacing w:before="200" w:after="40"/>
      </w:pPr>
      <w:r>
        <w:rPr>
          <w:rFonts w:ascii="Tahoma" w:hAnsi="Tahoma"/>
          <w:b/>
          <w:color w:val="1A3A6B"/>
          <w:sz w:val="24"/>
        </w:rPr>
        <w:t>1.  Complete Feature-to-Research Mapping</w:t>
      </w:r>
    </w:p>
    <w:p>
      <w:pPr>
        <w:spacing w:before="0" w:after="60"/>
      </w:pPr>
      <w:r>
        <w:rPr>
          <w:rFonts w:ascii="Tahoma" w:hAnsi="Tahoma"/>
          <w:b w:val="0"/>
          <w:i w:val="0"/>
          <w:color w:val="222222"/>
          <w:sz w:val="19"/>
        </w:rPr>
        <w:t>The table below lists every major SmartSpend feature, the theoretical framework or research it is grounded in, and the full APA citation. All citations are verifiable through the URLs or DOIs provided.</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360"/>
        <w:gridCol w:w="3360"/>
        <w:gridCol w:w="3360"/>
      </w:tblGrid>
      <w:tr>
        <w:tc>
          <w:tcPr>
            <w:tcW w:w="2400" w:type="dxa"/>
            <w:shd w:val="clear" w:color="auto" w:fill="1A3A6B"/>
          </w:tcPr>
          <w:p>
            <w:pPr>
              <w:spacing w:before="60" w:after="60"/>
              <w:jc w:val="center"/>
            </w:pPr>
            <w:r>
              <w:rPr>
                <w:rFonts w:ascii="Tahoma" w:hAnsi="Tahoma"/>
                <w:b/>
                <w:color w:val="FFFFFF"/>
                <w:sz w:val="18"/>
              </w:rPr>
              <w:t>Feature / Component</w:t>
            </w:r>
          </w:p>
        </w:tc>
        <w:tc>
          <w:tcPr>
            <w:tcW w:w="3400" w:type="dxa"/>
            <w:shd w:val="clear" w:color="auto" w:fill="1A3A6B"/>
          </w:tcPr>
          <w:p>
            <w:pPr>
              <w:spacing w:before="60" w:after="60"/>
              <w:jc w:val="center"/>
            </w:pPr>
            <w:r>
              <w:rPr>
                <w:rFonts w:ascii="Tahoma" w:hAnsi="Tahoma"/>
                <w:b/>
                <w:color w:val="FFFFFF"/>
                <w:sz w:val="18"/>
              </w:rPr>
              <w:t>Research Basis / Framework</w:t>
            </w:r>
          </w:p>
        </w:tc>
        <w:tc>
          <w:tcPr>
            <w:tcW w:w="4224" w:type="dxa"/>
            <w:shd w:val="clear" w:color="auto" w:fill="1A3A6B"/>
          </w:tcPr>
          <w:p>
            <w:pPr>
              <w:spacing w:before="60" w:after="60"/>
              <w:jc w:val="center"/>
            </w:pPr>
            <w:r>
              <w:rPr>
                <w:rFonts w:ascii="Tahoma" w:hAnsi="Tahoma"/>
                <w:b/>
                <w:color w:val="FFFFFF"/>
                <w:sz w:val="18"/>
              </w:rPr>
              <w:t>Key Citation (APA)</w:t>
            </w:r>
          </w:p>
        </w:tc>
      </w:tr>
      <w:tr>
        <w:tc>
          <w:tcPr>
            <w:tcW w:w="2400" w:type="dxa"/>
            <w:shd w:val="clear" w:color="auto" w:fill="FFFFFF"/>
          </w:tcPr>
          <w:p>
            <w:pPr>
              <w:spacing w:before="60" w:after="60"/>
              <w:jc w:val="left"/>
            </w:pPr>
            <w:r>
              <w:rPr>
                <w:rFonts w:ascii="Tahoma" w:hAnsi="Tahoma"/>
                <w:color w:val="222222"/>
                <w:sz w:val="16"/>
              </w:rPr>
              <w:t>Financial Health Score (FHS) — overall concept</w:t>
            </w:r>
          </w:p>
        </w:tc>
        <w:tc>
          <w:tcPr>
            <w:tcW w:w="3400" w:type="dxa"/>
            <w:shd w:val="clear" w:color="auto" w:fill="FFFFFF"/>
          </w:tcPr>
          <w:p>
            <w:pPr>
              <w:spacing w:before="60" w:after="60"/>
              <w:jc w:val="left"/>
            </w:pPr>
            <w:r>
              <w:rPr>
                <w:rFonts w:ascii="Tahoma" w:hAnsi="Tahoma"/>
                <w:color w:val="222222"/>
                <w:sz w:val="16"/>
              </w:rPr>
              <w:t>FinHealth Score® Framework (4 pillars: Spend, Save, Borrow, Plan &amp; Protect) + UNSGSA Financial Health Measurement Framework</w:t>
            </w:r>
          </w:p>
        </w:tc>
        <w:tc>
          <w:tcPr>
            <w:tcW w:w="4224" w:type="dxa"/>
            <w:shd w:val="clear" w:color="auto" w:fill="FFFFFF"/>
          </w:tcPr>
          <w:p>
            <w:pPr>
              <w:spacing w:before="60" w:after="60"/>
              <w:jc w:val="left"/>
            </w:pPr>
            <w:r>
              <w:rPr>
                <w:rFonts w:ascii="Tahoma" w:hAnsi="Tahoma"/>
                <w:color w:val="222222"/>
                <w:sz w:val="16"/>
              </w:rPr>
              <w:t>Financial Health Network (2021). FinHealth Score® Toolkit. https://finhealthnetwork.org</w:t>
              <w:br/>
              <w:t>UNSGSA (2021). Measuring financial health: A framework for practitioners. https://www.unsgsa.org</w:t>
            </w:r>
          </w:p>
        </w:tc>
      </w:tr>
      <w:tr>
        <w:tc>
          <w:tcPr>
            <w:tcW w:w="2400" w:type="dxa"/>
            <w:shd w:val="clear" w:color="auto" w:fill="F5F5F5"/>
          </w:tcPr>
          <w:p>
            <w:pPr>
              <w:spacing w:before="60" w:after="60"/>
              <w:jc w:val="left"/>
            </w:pPr>
            <w:r>
              <w:rPr>
                <w:rFonts w:ascii="Tahoma" w:hAnsi="Tahoma"/>
                <w:color w:val="222222"/>
                <w:sz w:val="16"/>
              </w:rPr>
              <w:t>FHS — Savings Rate component (20% target)</w:t>
            </w:r>
          </w:p>
        </w:tc>
        <w:tc>
          <w:tcPr>
            <w:tcW w:w="3400" w:type="dxa"/>
            <w:shd w:val="clear" w:color="auto" w:fill="F5F5F5"/>
          </w:tcPr>
          <w:p>
            <w:pPr>
              <w:spacing w:before="60" w:after="60"/>
              <w:jc w:val="left"/>
            </w:pPr>
            <w:r>
              <w:rPr>
                <w:rFonts w:ascii="Tahoma" w:hAnsi="Tahoma"/>
                <w:color w:val="222222"/>
                <w:sz w:val="16"/>
              </w:rPr>
              <w:t>50/30/20 Budgeting Rule — allocate 20% of after-tax income to savings and debt repayment</w:t>
            </w:r>
          </w:p>
        </w:tc>
        <w:tc>
          <w:tcPr>
            <w:tcW w:w="4224" w:type="dxa"/>
            <w:shd w:val="clear" w:color="auto" w:fill="F5F5F5"/>
          </w:tcPr>
          <w:p>
            <w:pPr>
              <w:spacing w:before="60" w:after="60"/>
              <w:jc w:val="left"/>
            </w:pPr>
            <w:r>
              <w:rPr>
                <w:rFonts w:ascii="Tahoma" w:hAnsi="Tahoma"/>
                <w:color w:val="222222"/>
                <w:sz w:val="16"/>
              </w:rPr>
              <w:t>Warren, E., &amp; Tyagi, A. W. (2005). All your worth: The ultimate lifetime money plan. Free Press.</w:t>
            </w:r>
          </w:p>
        </w:tc>
      </w:tr>
      <w:tr>
        <w:tc>
          <w:tcPr>
            <w:tcW w:w="2400" w:type="dxa"/>
            <w:shd w:val="clear" w:color="auto" w:fill="FFFFFF"/>
          </w:tcPr>
          <w:p>
            <w:pPr>
              <w:spacing w:before="60" w:after="60"/>
              <w:jc w:val="left"/>
            </w:pPr>
            <w:r>
              <w:rPr>
                <w:rFonts w:ascii="Tahoma" w:hAnsi="Tahoma"/>
                <w:color w:val="222222"/>
                <w:sz w:val="16"/>
              </w:rPr>
              <w:t>FHS — Overspend Control component</w:t>
            </w:r>
          </w:p>
        </w:tc>
        <w:tc>
          <w:tcPr>
            <w:tcW w:w="3400" w:type="dxa"/>
            <w:shd w:val="clear" w:color="auto" w:fill="FFFFFF"/>
          </w:tcPr>
          <w:p>
            <w:pPr>
              <w:spacing w:before="60" w:after="60"/>
              <w:jc w:val="left"/>
            </w:pPr>
            <w:r>
              <w:rPr>
                <w:rFonts w:ascii="Tahoma" w:hAnsi="Tahoma"/>
                <w:color w:val="222222"/>
                <w:sz w:val="16"/>
              </w:rPr>
              <w:t>FinHealth Score® Spend pillar — "spending less than income" as measurable daily behavior</w:t>
            </w:r>
          </w:p>
        </w:tc>
        <w:tc>
          <w:tcPr>
            <w:tcW w:w="4224" w:type="dxa"/>
            <w:shd w:val="clear" w:color="auto" w:fill="FFFFFF"/>
          </w:tcPr>
          <w:p>
            <w:pPr>
              <w:spacing w:before="60" w:after="60"/>
              <w:jc w:val="left"/>
            </w:pPr>
            <w:r>
              <w:rPr>
                <w:rFonts w:ascii="Tahoma" w:hAnsi="Tahoma"/>
                <w:color w:val="222222"/>
                <w:sz w:val="16"/>
              </w:rPr>
              <w:t>Financial Health Network (2021). FinHealth Score® Toolkit.</w:t>
            </w:r>
          </w:p>
        </w:tc>
      </w:tr>
      <w:tr>
        <w:tc>
          <w:tcPr>
            <w:tcW w:w="2400" w:type="dxa"/>
            <w:shd w:val="clear" w:color="auto" w:fill="F5F5F5"/>
          </w:tcPr>
          <w:p>
            <w:pPr>
              <w:spacing w:before="60" w:after="60"/>
              <w:jc w:val="left"/>
            </w:pPr>
            <w:r>
              <w:rPr>
                <w:rFonts w:ascii="Tahoma" w:hAnsi="Tahoma"/>
                <w:color w:val="222222"/>
                <w:sz w:val="16"/>
              </w:rPr>
              <w:t>FHS — Budget Adherence component</w:t>
            </w:r>
          </w:p>
        </w:tc>
        <w:tc>
          <w:tcPr>
            <w:tcW w:w="3400" w:type="dxa"/>
            <w:shd w:val="clear" w:color="auto" w:fill="F5F5F5"/>
          </w:tcPr>
          <w:p>
            <w:pPr>
              <w:spacing w:before="60" w:after="60"/>
              <w:jc w:val="left"/>
            </w:pPr>
            <w:r>
              <w:rPr>
                <w:rFonts w:ascii="Tahoma" w:hAnsi="Tahoma"/>
                <w:color w:val="222222"/>
                <w:sz w:val="16"/>
              </w:rPr>
              <w:t>Zero-based budgeting theory — category-level budget setting reduces overspending by 32%</w:t>
            </w:r>
          </w:p>
        </w:tc>
        <w:tc>
          <w:tcPr>
            <w:tcW w:w="4224" w:type="dxa"/>
            <w:shd w:val="clear" w:color="auto" w:fill="F5F5F5"/>
          </w:tcPr>
          <w:p>
            <w:pPr>
              <w:spacing w:before="60" w:after="60"/>
              <w:jc w:val="left"/>
            </w:pPr>
            <w:r>
              <w:rPr>
                <w:rFonts w:ascii="Tahoma" w:hAnsi="Tahoma"/>
                <w:color w:val="222222"/>
                <w:sz w:val="16"/>
              </w:rPr>
              <w:t>Ramsey, D. (2003). The total money makeover. Thomas Nelson.</w:t>
              <w:br/>
              <w:t>YNAB independent research on budgeting behavior.</w:t>
            </w:r>
          </w:p>
        </w:tc>
      </w:tr>
      <w:tr>
        <w:tc>
          <w:tcPr>
            <w:tcW w:w="2400" w:type="dxa"/>
            <w:shd w:val="clear" w:color="auto" w:fill="FFFFFF"/>
          </w:tcPr>
          <w:p>
            <w:pPr>
              <w:spacing w:before="60" w:after="60"/>
              <w:jc w:val="left"/>
            </w:pPr>
            <w:r>
              <w:rPr>
                <w:rFonts w:ascii="Tahoma" w:hAnsi="Tahoma"/>
                <w:color w:val="222222"/>
                <w:sz w:val="16"/>
              </w:rPr>
              <w:t>FHS — Logging Consistency component</w:t>
            </w:r>
          </w:p>
        </w:tc>
        <w:tc>
          <w:tcPr>
            <w:tcW w:w="3400" w:type="dxa"/>
            <w:shd w:val="clear" w:color="auto" w:fill="FFFFFF"/>
          </w:tcPr>
          <w:p>
            <w:pPr>
              <w:spacing w:before="60" w:after="60"/>
              <w:jc w:val="left"/>
            </w:pPr>
            <w:r>
              <w:rPr>
                <w:rFonts w:ascii="Tahoma" w:hAnsi="Tahoma"/>
                <w:color w:val="222222"/>
                <w:sz w:val="16"/>
              </w:rPr>
              <w:t>Behavioral tracking: consistent expense recording reduces discretionary spending 10–20%</w:t>
            </w:r>
          </w:p>
        </w:tc>
        <w:tc>
          <w:tcPr>
            <w:tcW w:w="4224" w:type="dxa"/>
            <w:shd w:val="clear" w:color="auto" w:fill="FFFFFF"/>
          </w:tcPr>
          <w:p>
            <w:pPr>
              <w:spacing w:before="60" w:after="60"/>
              <w:jc w:val="left"/>
            </w:pPr>
            <w:r>
              <w:rPr>
                <w:rFonts w:ascii="Tahoma" w:hAnsi="Tahoma"/>
                <w:color w:val="222222"/>
                <w:sz w:val="16"/>
              </w:rPr>
              <w:t>Mindfulsuite (2026). The impact of expense tracking on financial behavior. https://mindfulsuite.com</w:t>
              <w:br/>
              <w:t>Thaler, R. H., &amp; Sunstein, C. R. (2008). Nudge. Yale University Press.</w:t>
            </w:r>
          </w:p>
        </w:tc>
      </w:tr>
      <w:tr>
        <w:tc>
          <w:tcPr>
            <w:tcW w:w="2400" w:type="dxa"/>
            <w:shd w:val="clear" w:color="auto" w:fill="F5F5F5"/>
          </w:tcPr>
          <w:p>
            <w:pPr>
              <w:spacing w:before="60" w:after="60"/>
              <w:jc w:val="left"/>
            </w:pPr>
            <w:r>
              <w:rPr>
                <w:rFonts w:ascii="Tahoma" w:hAnsi="Tahoma"/>
                <w:color w:val="222222"/>
                <w:sz w:val="16"/>
              </w:rPr>
              <w:t>FHS — Lightweight Mode (no income required)</w:t>
            </w:r>
          </w:p>
        </w:tc>
        <w:tc>
          <w:tcPr>
            <w:tcW w:w="3400" w:type="dxa"/>
            <w:shd w:val="clear" w:color="auto" w:fill="F5F5F5"/>
          </w:tcPr>
          <w:p>
            <w:pPr>
              <w:spacing w:before="60" w:after="60"/>
              <w:jc w:val="left"/>
            </w:pPr>
            <w:r>
              <w:rPr>
                <w:rFonts w:ascii="Tahoma" w:hAnsi="Tahoma"/>
                <w:color w:val="222222"/>
                <w:sz w:val="16"/>
              </w:rPr>
              <w:t>FHN acknowledges financial health metrics must adapt to diverse income structures (students, informal workers)</w:t>
            </w:r>
          </w:p>
        </w:tc>
        <w:tc>
          <w:tcPr>
            <w:tcW w:w="4224" w:type="dxa"/>
            <w:shd w:val="clear" w:color="auto" w:fill="F5F5F5"/>
          </w:tcPr>
          <w:p>
            <w:pPr>
              <w:spacing w:before="60" w:after="60"/>
              <w:jc w:val="left"/>
            </w:pPr>
            <w:r>
              <w:rPr>
                <w:rFonts w:ascii="Tahoma" w:hAnsi="Tahoma"/>
                <w:color w:val="222222"/>
                <w:sz w:val="16"/>
              </w:rPr>
              <w:t>Financial Health Network (2021). FinHealth Score® Toolkit.</w:t>
            </w:r>
          </w:p>
        </w:tc>
      </w:tr>
      <w:tr>
        <w:tc>
          <w:tcPr>
            <w:tcW w:w="2400" w:type="dxa"/>
            <w:shd w:val="clear" w:color="auto" w:fill="FFFFFF"/>
          </w:tcPr>
          <w:p>
            <w:pPr>
              <w:spacing w:before="60" w:after="60"/>
              <w:jc w:val="left"/>
            </w:pPr>
            <w:r>
              <w:rPr>
                <w:rFonts w:ascii="Tahoma" w:hAnsi="Tahoma"/>
                <w:color w:val="222222"/>
                <w:sz w:val="16"/>
              </w:rPr>
              <w:t>FHS — Warning Decay adjustment</w:t>
            </w:r>
          </w:p>
        </w:tc>
        <w:tc>
          <w:tcPr>
            <w:tcW w:w="3400" w:type="dxa"/>
            <w:shd w:val="clear" w:color="auto" w:fill="FFFFFF"/>
          </w:tcPr>
          <w:p>
            <w:pPr>
              <w:spacing w:before="60" w:after="60"/>
              <w:jc w:val="left"/>
            </w:pPr>
            <w:r>
              <w:rPr>
                <w:rFonts w:ascii="Tahoma" w:hAnsi="Tahoma"/>
                <w:color w:val="222222"/>
                <w:sz w:val="16"/>
              </w:rPr>
              <w:t>Loss aversion theory — score decline makes consequence of ignoring budget alerts concrete; losses motivate more than gains</w:t>
            </w:r>
          </w:p>
        </w:tc>
        <w:tc>
          <w:tcPr>
            <w:tcW w:w="4224" w:type="dxa"/>
            <w:shd w:val="clear" w:color="auto" w:fill="FFFFFF"/>
          </w:tcPr>
          <w:p>
            <w:pPr>
              <w:spacing w:before="60" w:after="60"/>
              <w:jc w:val="left"/>
            </w:pPr>
            <w:r>
              <w:rPr>
                <w:rFonts w:ascii="Tahoma" w:hAnsi="Tahoma"/>
                <w:color w:val="222222"/>
                <w:sz w:val="16"/>
              </w:rPr>
              <w:t>Kahneman, D., &amp; Tversky, A. (1979). Prospect theory. Econometrica, 47(2), 263–292.</w:t>
            </w:r>
          </w:p>
        </w:tc>
      </w:tr>
      <w:tr>
        <w:tc>
          <w:tcPr>
            <w:tcW w:w="2400" w:type="dxa"/>
            <w:shd w:val="clear" w:color="auto" w:fill="F5F5F5"/>
          </w:tcPr>
          <w:p>
            <w:pPr>
              <w:spacing w:before="60" w:after="60"/>
              <w:jc w:val="left"/>
            </w:pPr>
            <w:r>
              <w:rPr>
                <w:rFonts w:ascii="Tahoma" w:hAnsi="Tahoma"/>
                <w:color w:val="222222"/>
                <w:sz w:val="16"/>
              </w:rPr>
              <w:t>FHS — Gap Adjustment bonus</w:t>
            </w:r>
          </w:p>
        </w:tc>
        <w:tc>
          <w:tcPr>
            <w:tcW w:w="3400" w:type="dxa"/>
            <w:shd w:val="clear" w:color="auto" w:fill="F5F5F5"/>
          </w:tcPr>
          <w:p>
            <w:pPr>
              <w:spacing w:before="60" w:after="60"/>
              <w:jc w:val="left"/>
            </w:pPr>
            <w:r>
              <w:rPr>
                <w:rFonts w:ascii="Tahoma" w:hAnsi="Tahoma"/>
                <w:color w:val="222222"/>
                <w:sz w:val="16"/>
              </w:rPr>
              <w:t>Nudge theory — reward genuine frugal behavior; accurate self-monitoring principle</w:t>
            </w:r>
          </w:p>
        </w:tc>
        <w:tc>
          <w:tcPr>
            <w:tcW w:w="4224" w:type="dxa"/>
            <w:shd w:val="clear" w:color="auto" w:fill="F5F5F5"/>
          </w:tcPr>
          <w:p>
            <w:pPr>
              <w:spacing w:before="60" w:after="60"/>
              <w:jc w:val="left"/>
            </w:pPr>
            <w:r>
              <w:rPr>
                <w:rFonts w:ascii="Tahoma" w:hAnsi="Tahoma"/>
                <w:color w:val="222222"/>
                <w:sz w:val="16"/>
              </w:rPr>
              <w:t>Thaler &amp; Sunstein (2008). Nudge.</w:t>
              <w:br/>
              <w:t>Ariely, D. (2008). Predictably irrational. HarperCollins.</w:t>
            </w:r>
          </w:p>
        </w:tc>
      </w:tr>
      <w:tr>
        <w:tc>
          <w:tcPr>
            <w:tcW w:w="2400" w:type="dxa"/>
            <w:shd w:val="clear" w:color="auto" w:fill="FFFFFF"/>
          </w:tcPr>
          <w:p>
            <w:pPr>
              <w:spacing w:before="60" w:after="60"/>
              <w:jc w:val="left"/>
            </w:pPr>
            <w:r>
              <w:rPr>
                <w:rFonts w:ascii="Tahoma" w:hAnsi="Tahoma"/>
                <w:color w:val="222222"/>
                <w:sz w:val="16"/>
              </w:rPr>
              <w:t>FHS — overall concept</w:t>
            </w:r>
          </w:p>
        </w:tc>
        <w:tc>
          <w:tcPr>
            <w:tcW w:w="3400" w:type="dxa"/>
            <w:shd w:val="clear" w:color="auto" w:fill="FFFFFF"/>
          </w:tcPr>
          <w:p>
            <w:pPr>
              <w:spacing w:before="60" w:after="60"/>
              <w:jc w:val="left"/>
            </w:pPr>
            <w:r>
              <w:rPr>
                <w:rFonts w:ascii="Tahoma" w:hAnsi="Tahoma"/>
                <w:color w:val="222222"/>
                <w:sz w:val="16"/>
              </w:rPr>
              <w:t>Prototype Observed Financial Health Indicator (FHI) — CBA-MI (2018) dual-scale model separates Reported (survey-based) from Observed (transaction-derived) financial health. UNSGSA (2021) framework provides the 4-domain structure.</w:t>
            </w:r>
          </w:p>
        </w:tc>
        <w:tc>
          <w:tcPr>
            <w:tcW w:w="4224" w:type="dxa"/>
            <w:shd w:val="clear" w:color="auto" w:fill="FFFFFF"/>
          </w:tcPr>
          <w:p>
            <w:pPr>
              <w:spacing w:before="60" w:after="60"/>
              <w:jc w:val="left"/>
            </w:pPr>
            <w:r>
              <w:rPr>
                <w:rFonts w:ascii="Tahoma" w:hAnsi="Tahoma"/>
                <w:color w:val="222222"/>
                <w:sz w:val="16"/>
              </w:rPr>
              <w:t>CBA-MI (2018). Measuring financial resilience. Melbourne Institute.</w:t>
              <w:br/>
              <w:t>Financial Health Network (2021). FinHealth Score® Toolkit.</w:t>
              <w:br/>
              <w:t>UNSGSA (2021). Measuring financial health: A framework for practitioners.</w:t>
            </w:r>
          </w:p>
        </w:tc>
      </w:tr>
      <w:tr>
        <w:tc>
          <w:tcPr>
            <w:tcW w:w="2400" w:type="dxa"/>
            <w:shd w:val="clear" w:color="auto" w:fill="F5F5F5"/>
          </w:tcPr>
          <w:p>
            <w:pPr>
              <w:spacing w:before="60" w:after="60"/>
              <w:jc w:val="left"/>
            </w:pPr>
            <w:r>
              <w:rPr>
                <w:rFonts w:ascii="Tahoma" w:hAnsi="Tahoma"/>
                <w:color w:val="222222"/>
                <w:sz w:val="16"/>
              </w:rPr>
              <w:t>FHS 0–100 scale (definition only, not validation)</w:t>
            </w:r>
          </w:p>
        </w:tc>
        <w:tc>
          <w:tcPr>
            <w:tcW w:w="3400" w:type="dxa"/>
            <w:shd w:val="clear" w:color="auto" w:fill="F5F5F5"/>
          </w:tcPr>
          <w:p>
            <w:pPr>
              <w:spacing w:before="60" w:after="60"/>
              <w:jc w:val="left"/>
            </w:pPr>
            <w:r>
              <w:rPr>
                <w:rFonts w:ascii="Tahoma" w:hAnsi="Tahoma"/>
                <w:color w:val="222222"/>
                <w:sz w:val="16"/>
              </w:rPr>
              <w:t>CFPB Financial Well-Being Scale — provides the validated 0–100 concept and definition of financial well-being. IMPORTANT: SmartSpend's FHS is a transaction-derived Observed FHI — the CFPB scale is a subjective 10-item psychometric survey. The CFPB scale does NOT validate SmartSpend's formula; it provides the definitional grounding only.</w:t>
            </w:r>
          </w:p>
        </w:tc>
        <w:tc>
          <w:tcPr>
            <w:tcW w:w="4224" w:type="dxa"/>
            <w:shd w:val="clear" w:color="auto" w:fill="F5F5F5"/>
          </w:tcPr>
          <w:p>
            <w:pPr>
              <w:spacing w:before="60" w:after="60"/>
              <w:jc w:val="left"/>
            </w:pPr>
            <w:r>
              <w:rPr>
                <w:rFonts w:ascii="Tahoma" w:hAnsi="Tahoma"/>
                <w:color w:val="222222"/>
                <w:sz w:val="16"/>
              </w:rPr>
              <w:t>Consumer Financial Protection Bureau (2017). Financial well-being scale: Scale development technical report. https://files.consumerfinance.gov/f/documents/201705_cfpb_financial-well-being-scale-technical-report.pdf</w:t>
            </w:r>
          </w:p>
        </w:tc>
      </w:tr>
      <w:tr>
        <w:tc>
          <w:tcPr>
            <w:tcW w:w="2400" w:type="dxa"/>
            <w:shd w:val="clear" w:color="auto" w:fill="FFFFFF"/>
          </w:tcPr>
          <w:p>
            <w:pPr>
              <w:spacing w:before="60" w:after="60"/>
              <w:jc w:val="left"/>
            </w:pPr>
            <w:r>
              <w:rPr>
                <w:rFonts w:ascii="Tahoma" w:hAnsi="Tahoma"/>
                <w:color w:val="222222"/>
                <w:sz w:val="16"/>
              </w:rPr>
              <w:t>AI Chat — LLM for personal finance</w:t>
            </w:r>
          </w:p>
        </w:tc>
        <w:tc>
          <w:tcPr>
            <w:tcW w:w="3400" w:type="dxa"/>
            <w:shd w:val="clear" w:color="auto" w:fill="FFFFFF"/>
          </w:tcPr>
          <w:p>
            <w:pPr>
              <w:spacing w:before="60" w:after="60"/>
              <w:jc w:val="left"/>
            </w:pPr>
            <w:r>
              <w:rPr>
                <w:rFonts w:ascii="Tahoma" w:hAnsi="Tahoma"/>
                <w:color w:val="222222"/>
                <w:sz w:val="16"/>
              </w:rPr>
              <w:t>LLMs reduce manual effort in financial data entry and enable conversational financial guidance at scale</w:t>
            </w:r>
          </w:p>
        </w:tc>
        <w:tc>
          <w:tcPr>
            <w:tcW w:w="4224" w:type="dxa"/>
            <w:shd w:val="clear" w:color="auto" w:fill="FFFFFF"/>
          </w:tcPr>
          <w:p>
            <w:pPr>
              <w:spacing w:before="60" w:after="60"/>
              <w:jc w:val="left"/>
            </w:pPr>
            <w:r>
              <w:rPr>
                <w:rFonts w:ascii="Tahoma" w:hAnsi="Tahoma"/>
                <w:color w:val="222222"/>
                <w:sz w:val="16"/>
              </w:rPr>
              <w:t>Hean, O., et al. (2025). Can AI help with your personal finances? Applied Economics. https://doi.org/10.1080/00036846.2025.2450384</w:t>
              <w:br/>
              <w:t>Li, Y., et al. (2024). Large language models in finance. Neural Computing and Applications. https://doi.org/10.1007/s00521-024-10495-6</w:t>
            </w:r>
          </w:p>
        </w:tc>
      </w:tr>
      <w:tr>
        <w:tc>
          <w:tcPr>
            <w:tcW w:w="2400" w:type="dxa"/>
            <w:shd w:val="clear" w:color="auto" w:fill="F5F5F5"/>
          </w:tcPr>
          <w:p>
            <w:pPr>
              <w:spacing w:before="60" w:after="60"/>
              <w:jc w:val="left"/>
            </w:pPr>
            <w:r>
              <w:rPr>
                <w:rFonts w:ascii="Tahoma" w:hAnsi="Tahoma"/>
                <w:color w:val="222222"/>
                <w:sz w:val="16"/>
              </w:rPr>
              <w:t>AI Chat — Agentic AI architecture (34 actions)</w:t>
            </w:r>
          </w:p>
        </w:tc>
        <w:tc>
          <w:tcPr>
            <w:tcW w:w="3400" w:type="dxa"/>
            <w:shd w:val="clear" w:color="auto" w:fill="F5F5F5"/>
          </w:tcPr>
          <w:p>
            <w:pPr>
              <w:spacing w:before="60" w:after="60"/>
              <w:jc w:val="left"/>
            </w:pPr>
            <w:r>
              <w:rPr>
                <w:rFonts w:ascii="Tahoma" w:hAnsi="Tahoma"/>
                <w:color w:val="222222"/>
                <w:sz w:val="16"/>
              </w:rPr>
              <w:t>Agentic AI: perceive → decide → act loop with autonomous data management in financial services</w:t>
            </w:r>
          </w:p>
        </w:tc>
        <w:tc>
          <w:tcPr>
            <w:tcW w:w="4224" w:type="dxa"/>
            <w:shd w:val="clear" w:color="auto" w:fill="F5F5F5"/>
          </w:tcPr>
          <w:p>
            <w:pPr>
              <w:spacing w:before="60" w:after="60"/>
              <w:jc w:val="left"/>
            </w:pPr>
            <w:r>
              <w:rPr>
                <w:rFonts w:ascii="Tahoma" w:hAnsi="Tahoma"/>
                <w:color w:val="222222"/>
                <w:sz w:val="16"/>
              </w:rPr>
              <w:t>World Economic Forum (2024). How agentic AI will transform financial services. https://www.weforum.org</w:t>
              <w:br/>
              <w:t>IBM (2025). Agentic AI in financial services. https://www.ibm.com/think/insights/agentic-ai-financial-services-ethical-adoption</w:t>
            </w:r>
          </w:p>
        </w:tc>
      </w:tr>
      <w:tr>
        <w:tc>
          <w:tcPr>
            <w:tcW w:w="2400" w:type="dxa"/>
            <w:shd w:val="clear" w:color="auto" w:fill="FFFFFF"/>
          </w:tcPr>
          <w:p>
            <w:pPr>
              <w:spacing w:before="60" w:after="60"/>
              <w:jc w:val="left"/>
            </w:pPr>
            <w:r>
              <w:rPr>
                <w:rFonts w:ascii="Tahoma" w:hAnsi="Tahoma"/>
                <w:color w:val="222222"/>
                <w:sz w:val="16"/>
              </w:rPr>
              <w:t>AI — Context Injection (not RAG)</w:t>
            </w:r>
          </w:p>
        </w:tc>
        <w:tc>
          <w:tcPr>
            <w:tcW w:w="3400" w:type="dxa"/>
            <w:shd w:val="clear" w:color="auto" w:fill="FFFFFF"/>
          </w:tcPr>
          <w:p>
            <w:pPr>
              <w:spacing w:before="60" w:after="60"/>
              <w:jc w:val="left"/>
            </w:pPr>
            <w:r>
              <w:rPr>
                <w:rFonts w:ascii="Tahoma" w:hAnsi="Tahoma"/>
                <w:color w:val="222222"/>
                <w:sz w:val="16"/>
              </w:rPr>
              <w:t>For small per-user datasets (~5K tokens), direct context injection is simpler and faster than RAG, which is designed for thousands of documents</w:t>
            </w:r>
          </w:p>
        </w:tc>
        <w:tc>
          <w:tcPr>
            <w:tcW w:w="4224" w:type="dxa"/>
            <w:shd w:val="clear" w:color="auto" w:fill="FFFFFF"/>
          </w:tcPr>
          <w:p>
            <w:pPr>
              <w:spacing w:before="60" w:after="60"/>
              <w:jc w:val="left"/>
            </w:pPr>
            <w:r>
              <w:rPr>
                <w:rFonts w:ascii="Tahoma" w:hAnsi="Tahoma"/>
                <w:color w:val="222222"/>
                <w:sz w:val="16"/>
              </w:rPr>
              <w:t>Davenport, T. H., &amp; Mittal, N. (2022). All-in on AI. Harvard Business Review Press.</w:t>
              <w:br/>
              <w:t>Li, Y., et al. (2024). Large language models in finance.</w:t>
            </w:r>
          </w:p>
        </w:tc>
      </w:tr>
      <w:tr>
        <w:tc>
          <w:tcPr>
            <w:tcW w:w="2400" w:type="dxa"/>
            <w:shd w:val="clear" w:color="auto" w:fill="F5F5F5"/>
          </w:tcPr>
          <w:p>
            <w:pPr>
              <w:spacing w:before="60" w:after="60"/>
              <w:jc w:val="left"/>
            </w:pPr>
            <w:r>
              <w:rPr>
                <w:rFonts w:ascii="Tahoma" w:hAnsi="Tahoma"/>
                <w:color w:val="222222"/>
                <w:sz w:val="16"/>
              </w:rPr>
              <w:t>AI — Taglish / Filipino-English support</w:t>
            </w:r>
          </w:p>
        </w:tc>
        <w:tc>
          <w:tcPr>
            <w:tcW w:w="3400" w:type="dxa"/>
            <w:shd w:val="clear" w:color="auto" w:fill="F5F5F5"/>
          </w:tcPr>
          <w:p>
            <w:pPr>
              <w:spacing w:before="60" w:after="60"/>
              <w:jc w:val="left"/>
            </w:pPr>
            <w:r>
              <w:rPr>
                <w:rFonts w:ascii="Tahoma" w:hAnsi="Tahoma"/>
                <w:color w:val="222222"/>
                <w:sz w:val="16"/>
              </w:rPr>
              <w:t>LLaMA 4 Scout: Tagalog is one of 12 explicitly fine-tuned languages. Gemini: multilingual training includes Filipino.</w:t>
            </w:r>
          </w:p>
        </w:tc>
        <w:tc>
          <w:tcPr>
            <w:tcW w:w="4224" w:type="dxa"/>
            <w:shd w:val="clear" w:color="auto" w:fill="F5F5F5"/>
          </w:tcPr>
          <w:p>
            <w:pPr>
              <w:spacing w:before="60" w:after="60"/>
              <w:jc w:val="left"/>
            </w:pPr>
            <w:r>
              <w:rPr>
                <w:rFonts w:ascii="Tahoma" w:hAnsi="Tahoma"/>
                <w:color w:val="222222"/>
                <w:sz w:val="16"/>
              </w:rPr>
              <w:t>Meta AI (2025). Llama 4 Scout model card. https://developer.meta.com/ai/docs/model-cards-and-prompt-formats/llama4/</w:t>
              <w:br/>
              <w:t>Google DeepMind (2024). Gemini technical report.</w:t>
            </w:r>
          </w:p>
        </w:tc>
      </w:tr>
      <w:tr>
        <w:tc>
          <w:tcPr>
            <w:tcW w:w="2400" w:type="dxa"/>
            <w:shd w:val="clear" w:color="auto" w:fill="FFFFFF"/>
          </w:tcPr>
          <w:p>
            <w:pPr>
              <w:spacing w:before="60" w:after="60"/>
              <w:jc w:val="left"/>
            </w:pPr>
            <w:r>
              <w:rPr>
                <w:rFonts w:ascii="Tahoma" w:hAnsi="Tahoma"/>
                <w:color w:val="222222"/>
                <w:sz w:val="16"/>
              </w:rPr>
              <w:t>Multi-modal input (voice, OCR, barcode, screenshots)</w:t>
            </w:r>
          </w:p>
        </w:tc>
        <w:tc>
          <w:tcPr>
            <w:tcW w:w="3400" w:type="dxa"/>
            <w:shd w:val="clear" w:color="auto" w:fill="FFFFFF"/>
          </w:tcPr>
          <w:p>
            <w:pPr>
              <w:spacing w:before="60" w:after="60"/>
              <w:jc w:val="left"/>
            </w:pPr>
            <w:r>
              <w:rPr>
                <w:rFonts w:ascii="Tahoma" w:hAnsi="Tahoma"/>
                <w:color w:val="222222"/>
                <w:sz w:val="16"/>
              </w:rPr>
              <w:t>Multi-modal input reduces adoption friction — the primary reason cited by Filipinos for not using financial tracking apps</w:t>
            </w:r>
          </w:p>
        </w:tc>
        <w:tc>
          <w:tcPr>
            <w:tcW w:w="4224" w:type="dxa"/>
            <w:shd w:val="clear" w:color="auto" w:fill="FFFFFF"/>
          </w:tcPr>
          <w:p>
            <w:pPr>
              <w:spacing w:before="60" w:after="60"/>
              <w:jc w:val="left"/>
            </w:pPr>
            <w:r>
              <w:rPr>
                <w:rFonts w:ascii="Tahoma" w:hAnsi="Tahoma"/>
                <w:color w:val="222222"/>
                <w:sz w:val="16"/>
              </w:rPr>
              <w:t>Stefanov, T., et al. (2024). Personal finance management application. TEM Journal, 13(3), 2066–2075. https://doi.org/10.18421/TEM133-34</w:t>
              <w:br/>
              <w:t>IJERT (2026). AI-driven personal finance assistant. https://www.ijert.org</w:t>
            </w:r>
          </w:p>
        </w:tc>
      </w:tr>
      <w:tr>
        <w:tc>
          <w:tcPr>
            <w:tcW w:w="2400" w:type="dxa"/>
            <w:shd w:val="clear" w:color="auto" w:fill="F5F5F5"/>
          </w:tcPr>
          <w:p>
            <w:pPr>
              <w:spacing w:before="60" w:after="60"/>
              <w:jc w:val="left"/>
            </w:pPr>
            <w:r>
              <w:rPr>
                <w:rFonts w:ascii="Tahoma" w:hAnsi="Tahoma"/>
                <w:color w:val="222222"/>
                <w:sz w:val="16"/>
              </w:rPr>
              <w:t>Impulse Pause mechanic</w:t>
            </w:r>
          </w:p>
        </w:tc>
        <w:tc>
          <w:tcPr>
            <w:tcW w:w="3400" w:type="dxa"/>
            <w:shd w:val="clear" w:color="auto" w:fill="F5F5F5"/>
          </w:tcPr>
          <w:p>
            <w:pPr>
              <w:spacing w:before="60" w:after="60"/>
              <w:jc w:val="left"/>
            </w:pPr>
            <w:r>
              <w:rPr>
                <w:rFonts w:ascii="Tahoma" w:hAnsi="Tahoma"/>
                <w:color w:val="222222"/>
                <w:sz w:val="16"/>
              </w:rPr>
              <w:t>Loss aversion + Nudge theory — framing large Want purchases in terms of goal impact triggers deliberate decision-making</w:t>
            </w:r>
          </w:p>
        </w:tc>
        <w:tc>
          <w:tcPr>
            <w:tcW w:w="4224" w:type="dxa"/>
            <w:shd w:val="clear" w:color="auto" w:fill="F5F5F5"/>
          </w:tcPr>
          <w:p>
            <w:pPr>
              <w:spacing w:before="60" w:after="60"/>
              <w:jc w:val="left"/>
            </w:pPr>
            <w:r>
              <w:rPr>
                <w:rFonts w:ascii="Tahoma" w:hAnsi="Tahoma"/>
                <w:color w:val="222222"/>
                <w:sz w:val="16"/>
              </w:rPr>
              <w:t>Kahneman &amp; Tversky (1979). Prospect theory.</w:t>
              <w:br/>
              <w:t>Thaler &amp; Sunstein (2008). Nudge.</w:t>
            </w:r>
          </w:p>
        </w:tc>
      </w:tr>
      <w:tr>
        <w:tc>
          <w:tcPr>
            <w:tcW w:w="2400" w:type="dxa"/>
            <w:shd w:val="clear" w:color="auto" w:fill="FFFFFF"/>
          </w:tcPr>
          <w:p>
            <w:pPr>
              <w:spacing w:before="60" w:after="60"/>
              <w:jc w:val="left"/>
            </w:pPr>
            <w:r>
              <w:rPr>
                <w:rFonts w:ascii="Tahoma" w:hAnsi="Tahoma"/>
                <w:color w:val="222222"/>
                <w:sz w:val="16"/>
              </w:rPr>
              <w:t>50/30/20 Tracker in Analytics</w:t>
            </w:r>
          </w:p>
        </w:tc>
        <w:tc>
          <w:tcPr>
            <w:tcW w:w="3400" w:type="dxa"/>
            <w:shd w:val="clear" w:color="auto" w:fill="FFFFFF"/>
          </w:tcPr>
          <w:p>
            <w:pPr>
              <w:spacing w:before="60" w:after="60"/>
              <w:jc w:val="left"/>
            </w:pPr>
            <w:r>
              <w:rPr>
                <w:rFonts w:ascii="Tahoma" w:hAnsi="Tahoma"/>
                <w:color w:val="222222"/>
                <w:sz w:val="16"/>
              </w:rPr>
              <w:t>Warren's 50/30/20 rule — the most widely cited personal budgeting framework globally</w:t>
            </w:r>
          </w:p>
        </w:tc>
        <w:tc>
          <w:tcPr>
            <w:tcW w:w="4224" w:type="dxa"/>
            <w:shd w:val="clear" w:color="auto" w:fill="FFFFFF"/>
          </w:tcPr>
          <w:p>
            <w:pPr>
              <w:spacing w:before="60" w:after="60"/>
              <w:jc w:val="left"/>
            </w:pPr>
            <w:r>
              <w:rPr>
                <w:rFonts w:ascii="Tahoma" w:hAnsi="Tahoma"/>
                <w:color w:val="222222"/>
                <w:sz w:val="16"/>
              </w:rPr>
              <w:t>Warren, E., &amp; Tyagi, A. W. (2005). All your worth.</w:t>
            </w:r>
          </w:p>
        </w:tc>
      </w:tr>
      <w:tr>
        <w:tc>
          <w:tcPr>
            <w:tcW w:w="2400" w:type="dxa"/>
            <w:shd w:val="clear" w:color="auto" w:fill="F5F5F5"/>
          </w:tcPr>
          <w:p>
            <w:pPr>
              <w:spacing w:before="60" w:after="60"/>
              <w:jc w:val="left"/>
            </w:pPr>
            <w:r>
              <w:rPr>
                <w:rFonts w:ascii="Tahoma" w:hAnsi="Tahoma"/>
                <w:color w:val="222222"/>
                <w:sz w:val="16"/>
              </w:rPr>
              <w:t>Gamification — 23 badges, 10 daily quests, streaks</w:t>
            </w:r>
          </w:p>
        </w:tc>
        <w:tc>
          <w:tcPr>
            <w:tcW w:w="3400" w:type="dxa"/>
            <w:shd w:val="clear" w:color="auto" w:fill="F5F5F5"/>
          </w:tcPr>
          <w:p>
            <w:pPr>
              <w:spacing w:before="60" w:after="60"/>
              <w:jc w:val="left"/>
            </w:pPr>
            <w:r>
              <w:rPr>
                <w:rFonts w:ascii="Tahoma" w:hAnsi="Tahoma"/>
                <w:color w:val="222222"/>
                <w:sz w:val="16"/>
              </w:rPr>
              <w:t>PLS-SEM empirical study (N=656): Gamified Rewards → Sustainable Financial Intention (β=0.25, t=5.89, p&lt;0.001). Perceived Algorithm Transparency moderates well-being (β=0.14, p&lt;0.001, R²=0.56). IMPORTANT: commercial "22% savings boost" figures (Strivecloud/Juniper) are directional references from industry studies, not peer-reviewed causal evidence.</w:t>
            </w:r>
          </w:p>
        </w:tc>
        <w:tc>
          <w:tcPr>
            <w:tcW w:w="4224" w:type="dxa"/>
            <w:shd w:val="clear" w:color="auto" w:fill="F5F5F5"/>
          </w:tcPr>
          <w:p>
            <w:pPr>
              <w:spacing w:before="60" w:after="60"/>
              <w:jc w:val="left"/>
            </w:pPr>
            <w:r>
              <w:rPr>
                <w:rFonts w:ascii="Tahoma" w:hAnsi="Tahoma"/>
                <w:color w:val="222222"/>
                <w:sz w:val="16"/>
              </w:rPr>
              <w:t>Sharma, P., Gaba, P., &amp; Sharma, B. (2026). Can cognitive nudges in gamified digital payments foster digital financial well-being? Atlantis Press IYC 2026, pp. 262–281.</w:t>
              <w:br/>
              <w:t>Bitrián, P., et al. (2021). Making finance fun. International Journal of Bank Marketing, 39(7).</w:t>
              <w:br/>
              <w:t>Deci, E. L., &amp; Ryan, R. M. (2000). Self-Determination Theory. Psychological Inquiry, 11(4), 227–268.</w:t>
            </w:r>
          </w:p>
        </w:tc>
      </w:tr>
      <w:tr>
        <w:tc>
          <w:tcPr>
            <w:tcW w:w="2400" w:type="dxa"/>
            <w:shd w:val="clear" w:color="auto" w:fill="FFFFFF"/>
          </w:tcPr>
          <w:p>
            <w:pPr>
              <w:spacing w:before="60" w:after="60"/>
              <w:jc w:val="left"/>
            </w:pPr>
            <w:r>
              <w:rPr>
                <w:rFonts w:ascii="Tahoma" w:hAnsi="Tahoma"/>
                <w:color w:val="222222"/>
                <w:sz w:val="16"/>
              </w:rPr>
              <w:t>Target: parents 35–55 (primary population)</w:t>
            </w:r>
          </w:p>
        </w:tc>
        <w:tc>
          <w:tcPr>
            <w:tcW w:w="3400" w:type="dxa"/>
            <w:shd w:val="clear" w:color="auto" w:fill="FFFFFF"/>
          </w:tcPr>
          <w:p>
            <w:pPr>
              <w:spacing w:before="60" w:after="60"/>
              <w:jc w:val="left"/>
            </w:pPr>
            <w:r>
              <w:rPr>
                <w:rFonts w:ascii="Tahoma" w:hAnsi="Tahoma"/>
                <w:color w:val="222222"/>
                <w:sz w:val="16"/>
              </w:rPr>
              <w:t>Primary household financial decision-makers in Filipino families with lowest rate of structured budgeting among adult demographics</w:t>
            </w:r>
          </w:p>
        </w:tc>
        <w:tc>
          <w:tcPr>
            <w:tcW w:w="4224" w:type="dxa"/>
            <w:shd w:val="clear" w:color="auto" w:fill="FFFFFF"/>
          </w:tcPr>
          <w:p>
            <w:pPr>
              <w:spacing w:before="60" w:after="60"/>
              <w:jc w:val="left"/>
            </w:pPr>
            <w:r>
              <w:rPr>
                <w:rFonts w:ascii="Tahoma" w:hAnsi="Tahoma"/>
                <w:color w:val="222222"/>
                <w:sz w:val="16"/>
              </w:rPr>
              <w:t>BSP (2021). 2021 Financial Inclusion Survey. https://www.bsp.gov.ph</w:t>
              <w:br/>
              <w:t>PSA (2021). Family Income and Expenditure Survey (FIES). https://www.psa.gov.ph</w:t>
            </w:r>
          </w:p>
        </w:tc>
      </w:tr>
      <w:tr>
        <w:tc>
          <w:tcPr>
            <w:tcW w:w="2400" w:type="dxa"/>
            <w:shd w:val="clear" w:color="auto" w:fill="F5F5F5"/>
          </w:tcPr>
          <w:p>
            <w:pPr>
              <w:spacing w:before="60" w:after="60"/>
              <w:jc w:val="left"/>
            </w:pPr>
            <w:r>
              <w:rPr>
                <w:rFonts w:ascii="Tahoma" w:hAnsi="Tahoma"/>
                <w:color w:val="222222"/>
                <w:sz w:val="16"/>
              </w:rPr>
              <w:t>AI — FHS explainability (tap score for breakdown)</w:t>
            </w:r>
          </w:p>
        </w:tc>
        <w:tc>
          <w:tcPr>
            <w:tcW w:w="3400" w:type="dxa"/>
            <w:shd w:val="clear" w:color="auto" w:fill="F5F5F5"/>
          </w:tcPr>
          <w:p>
            <w:pPr>
              <w:spacing w:before="60" w:after="60"/>
              <w:jc w:val="left"/>
            </w:pPr>
            <w:r>
              <w:rPr>
                <w:rFonts w:ascii="Tahoma" w:hAnsi="Tahoma"/>
                <w:color w:val="222222"/>
                <w:sz w:val="16"/>
              </w:rPr>
              <w:t>Perceived Algorithm Transparency (PAT) moderates the effect of financial intention on well-being (β=0.14, t=2.95, p&lt;0.001). Explaining "why" amplifies well-being outcomes (R²=0.56).</w:t>
            </w:r>
          </w:p>
        </w:tc>
        <w:tc>
          <w:tcPr>
            <w:tcW w:w="4224" w:type="dxa"/>
            <w:shd w:val="clear" w:color="auto" w:fill="F5F5F5"/>
          </w:tcPr>
          <w:p>
            <w:pPr>
              <w:spacing w:before="60" w:after="60"/>
              <w:jc w:val="left"/>
            </w:pPr>
            <w:r>
              <w:rPr>
                <w:rFonts w:ascii="Tahoma" w:hAnsi="Tahoma"/>
                <w:color w:val="222222"/>
                <w:sz w:val="16"/>
              </w:rPr>
              <w:t>Sharma et al. (2026). Atlantis Press PLS-SEM, IYC 2026.</w:t>
            </w:r>
          </w:p>
        </w:tc>
      </w:tr>
      <w:tr>
        <w:tc>
          <w:tcPr>
            <w:tcW w:w="2400" w:type="dxa"/>
            <w:shd w:val="clear" w:color="auto" w:fill="FFFFFF"/>
          </w:tcPr>
          <w:p>
            <w:pPr>
              <w:spacing w:before="60" w:after="60"/>
              <w:jc w:val="left"/>
            </w:pPr>
            <w:r>
              <w:rPr>
                <w:rFonts w:ascii="Tahoma" w:hAnsi="Tahoma"/>
                <w:color w:val="222222"/>
                <w:sz w:val="16"/>
              </w:rPr>
              <w:t>Transaction normalization pipeline</w:t>
            </w:r>
          </w:p>
        </w:tc>
        <w:tc>
          <w:tcPr>
            <w:tcW w:w="3400" w:type="dxa"/>
            <w:shd w:val="clear" w:color="auto" w:fill="FFFFFF"/>
          </w:tcPr>
          <w:p>
            <w:pPr>
              <w:spacing w:before="60" w:after="60"/>
              <w:jc w:val="left"/>
            </w:pPr>
            <w:r>
              <w:rPr>
                <w:rFonts w:ascii="Tahoma" w:hAnsi="Tahoma"/>
                <w:color w:val="222222"/>
                <w:sz w:val="16"/>
              </w:rPr>
              <w:t>WealthNX 5-step enrichment: Ingestion → Merchant Normalization → Category Alignment → Metadata Shaping → Prompt Generation</w:t>
            </w:r>
          </w:p>
        </w:tc>
        <w:tc>
          <w:tcPr>
            <w:tcW w:w="4224" w:type="dxa"/>
            <w:shd w:val="clear" w:color="auto" w:fill="FFFFFF"/>
          </w:tcPr>
          <w:p>
            <w:pPr>
              <w:spacing w:before="60" w:after="60"/>
              <w:jc w:val="left"/>
            </w:pPr>
            <w:r>
              <w:rPr>
                <w:rFonts w:ascii="Tahoma" w:hAnsi="Tahoma"/>
                <w:color w:val="222222"/>
                <w:sz w:val="16"/>
              </w:rPr>
              <w:t>WealthNX. (2026). How financial apps use LLMs for transaction explanations. https://www.wealthnx.ai/blog/</w:t>
            </w:r>
          </w:p>
        </w:tc>
      </w:tr>
      <w:tr>
        <w:tc>
          <w:tcPr>
            <w:tcW w:w="2400" w:type="dxa"/>
            <w:shd w:val="clear" w:color="auto" w:fill="F5F5F5"/>
          </w:tcPr>
          <w:p>
            <w:pPr>
              <w:spacing w:before="60" w:after="60"/>
              <w:jc w:val="left"/>
            </w:pPr>
            <w:r>
              <w:rPr>
                <w:rFonts w:ascii="Tahoma" w:hAnsi="Tahoma"/>
                <w:color w:val="222222"/>
                <w:sz w:val="16"/>
              </w:rPr>
              <w:t>LLM cost optimization / batch cap</w:t>
            </w:r>
          </w:p>
        </w:tc>
        <w:tc>
          <w:tcPr>
            <w:tcW w:w="3400" w:type="dxa"/>
            <w:shd w:val="clear" w:color="auto" w:fill="F5F5F5"/>
          </w:tcPr>
          <w:p>
            <w:pPr>
              <w:spacing w:before="60" w:after="60"/>
              <w:jc w:val="left"/>
            </w:pPr>
            <w:r>
              <w:rPr>
                <w:rFonts w:ascii="Tahoma" w:hAnsi="Tahoma"/>
                <w:color w:val="222222"/>
                <w:sz w:val="16"/>
              </w:rPr>
              <w:t>ZenML ANNA (2025): Prompt caching + offline batch processing → 75% API cost reduction. Batch cap of 120 transactions prevents long-context hallucinations (2–3% ID fabrication above 100 transactions).</w:t>
            </w:r>
          </w:p>
        </w:tc>
        <w:tc>
          <w:tcPr>
            <w:tcW w:w="4224" w:type="dxa"/>
            <w:shd w:val="clear" w:color="auto" w:fill="F5F5F5"/>
          </w:tcPr>
          <w:p>
            <w:pPr>
              <w:spacing w:before="60" w:after="60"/>
              <w:jc w:val="left"/>
            </w:pPr>
            <w:r>
              <w:rPr>
                <w:rFonts w:ascii="Tahoma" w:hAnsi="Tahoma"/>
                <w:color w:val="222222"/>
                <w:sz w:val="16"/>
              </w:rPr>
              <w:t>ZenML &amp; ANNA. (2025). ANNA: Cost-effective LLM transaction categorization. ZenML Case Studies. https://www.zenml.io/case-studies/anna-cost-effective-llm</w:t>
            </w:r>
          </w:p>
        </w:tc>
      </w:tr>
      <w:tr>
        <w:tc>
          <w:tcPr>
            <w:tcW w:w="2400" w:type="dxa"/>
            <w:shd w:val="clear" w:color="auto" w:fill="FFFFFF"/>
          </w:tcPr>
          <w:p>
            <w:pPr>
              <w:spacing w:before="60" w:after="60"/>
              <w:jc w:val="left"/>
            </w:pPr>
            <w:r>
              <w:rPr>
                <w:rFonts w:ascii="Tahoma" w:hAnsi="Tahoma"/>
                <w:color w:val="222222"/>
                <w:sz w:val="16"/>
              </w:rPr>
              <w:t>Self-Determination Theory (SDT) — gamification, autonomy</w:t>
            </w:r>
          </w:p>
        </w:tc>
        <w:tc>
          <w:tcPr>
            <w:tcW w:w="3400" w:type="dxa"/>
            <w:shd w:val="clear" w:color="auto" w:fill="FFFFFF"/>
          </w:tcPr>
          <w:p>
            <w:pPr>
              <w:spacing w:before="60" w:after="60"/>
              <w:jc w:val="left"/>
            </w:pPr>
            <w:r>
              <w:rPr>
                <w:rFonts w:ascii="Tahoma" w:hAnsi="Tahoma"/>
                <w:color w:val="222222"/>
                <w:sz w:val="16"/>
              </w:rPr>
              <w:t>Intrinsic motivation sustained by Autonomy (non-prescriptive goals), Competence (badges reward skill growth), Relatedness (Filipino-first context)</w:t>
            </w:r>
          </w:p>
        </w:tc>
        <w:tc>
          <w:tcPr>
            <w:tcW w:w="4224" w:type="dxa"/>
            <w:shd w:val="clear" w:color="auto" w:fill="FFFFFF"/>
          </w:tcPr>
          <w:p>
            <w:pPr>
              <w:spacing w:before="60" w:after="60"/>
              <w:jc w:val="left"/>
            </w:pPr>
            <w:r>
              <w:rPr>
                <w:rFonts w:ascii="Tahoma" w:hAnsi="Tahoma"/>
                <w:color w:val="222222"/>
                <w:sz w:val="16"/>
              </w:rPr>
              <w:t>Deci, E. L., &amp; Ryan, R. M. (2000). The "what" and "why" of goal pursuits. Psychological Inquiry, 11(4), 227–268.</w:t>
            </w:r>
          </w:p>
        </w:tc>
      </w:tr>
      <w:tr>
        <w:tc>
          <w:tcPr>
            <w:tcW w:w="2400" w:type="dxa"/>
            <w:shd w:val="clear" w:color="auto" w:fill="F5F5F5"/>
          </w:tcPr>
          <w:p>
            <w:pPr>
              <w:spacing w:before="60" w:after="60"/>
              <w:jc w:val="left"/>
            </w:pPr>
            <w:r>
              <w:rPr>
                <w:rFonts w:ascii="Tahoma" w:hAnsi="Tahoma"/>
                <w:color w:val="222222"/>
                <w:sz w:val="16"/>
              </w:rPr>
              <w:t>Target: young professionals 21–35 (secondary)</w:t>
            </w:r>
          </w:p>
        </w:tc>
        <w:tc>
          <w:tcPr>
            <w:tcW w:w="3400" w:type="dxa"/>
            <w:shd w:val="clear" w:color="auto" w:fill="F5F5F5"/>
          </w:tcPr>
          <w:p>
            <w:pPr>
              <w:spacing w:before="60" w:after="60"/>
              <w:jc w:val="left"/>
            </w:pPr>
            <w:r>
              <w:rPr>
                <w:rFonts w:ascii="Tahoma" w:hAnsi="Tahoma"/>
                <w:color w:val="222222"/>
                <w:sz w:val="16"/>
              </w:rPr>
              <w:t>"Come-what-may" attitude toward financial planning; reliance on informal savings and high debt without structured plans</w:t>
            </w:r>
          </w:p>
        </w:tc>
        <w:tc>
          <w:tcPr>
            <w:tcW w:w="4224" w:type="dxa"/>
            <w:shd w:val="clear" w:color="auto" w:fill="F5F5F5"/>
          </w:tcPr>
          <w:p>
            <w:pPr>
              <w:spacing w:before="60" w:after="60"/>
              <w:jc w:val="left"/>
            </w:pPr>
            <w:r>
              <w:rPr>
                <w:rFonts w:ascii="Tahoma" w:hAnsi="Tahoma"/>
                <w:color w:val="222222"/>
                <w:sz w:val="16"/>
              </w:rPr>
              <w:t>Flores, C. A. R. (2025). Financial freedom of Filipinos in personal finance management. Pantao Journal, 4(1). https://pantaojournal.com/2025/01/27/v4-i1-7/</w:t>
            </w:r>
          </w:p>
        </w:tc>
      </w:tr>
      <w:tr>
        <w:tc>
          <w:tcPr>
            <w:tcW w:w="2400" w:type="dxa"/>
            <w:shd w:val="clear" w:color="auto" w:fill="FFFFFF"/>
          </w:tcPr>
          <w:p>
            <w:pPr>
              <w:spacing w:before="60" w:after="60"/>
              <w:jc w:val="left"/>
            </w:pPr>
            <w:r>
              <w:rPr>
                <w:rFonts w:ascii="Tahoma" w:hAnsi="Tahoma"/>
                <w:color w:val="222222"/>
                <w:sz w:val="16"/>
              </w:rPr>
              <w:t>Offline-first SQLite architecture</w:t>
            </w:r>
          </w:p>
        </w:tc>
        <w:tc>
          <w:tcPr>
            <w:tcW w:w="3400" w:type="dxa"/>
            <w:shd w:val="clear" w:color="auto" w:fill="FFFFFF"/>
          </w:tcPr>
          <w:p>
            <w:pPr>
              <w:spacing w:before="60" w:after="60"/>
              <w:jc w:val="left"/>
            </w:pPr>
            <w:r>
              <w:rPr>
                <w:rFonts w:ascii="Tahoma" w:hAnsi="Tahoma"/>
                <w:color w:val="222222"/>
                <w:sz w:val="16"/>
              </w:rPr>
              <w:t>Significant portion of La Union target population faces intermittent internet access — banking app usefulness tied to connectivity</w:t>
            </w:r>
          </w:p>
        </w:tc>
        <w:tc>
          <w:tcPr>
            <w:tcW w:w="4224" w:type="dxa"/>
            <w:shd w:val="clear" w:color="auto" w:fill="FFFFFF"/>
          </w:tcPr>
          <w:p>
            <w:pPr>
              <w:spacing w:before="60" w:after="60"/>
              <w:jc w:val="left"/>
            </w:pPr>
            <w:r>
              <w:rPr>
                <w:rFonts w:ascii="Tahoma" w:hAnsi="Tahoma"/>
                <w:color w:val="222222"/>
                <w:sz w:val="16"/>
              </w:rPr>
              <w:t>BSP (2021). Financial Inclusion Survey (connectivity and access barriers).</w:t>
            </w:r>
          </w:p>
        </w:tc>
      </w:tr>
      <w:tr>
        <w:tc>
          <w:tcPr>
            <w:tcW w:w="2400" w:type="dxa"/>
            <w:shd w:val="clear" w:color="auto" w:fill="F5F5F5"/>
          </w:tcPr>
          <w:p>
            <w:pPr>
              <w:spacing w:before="60" w:after="60"/>
              <w:jc w:val="left"/>
            </w:pPr>
            <w:r>
              <w:rPr>
                <w:rFonts w:ascii="Tahoma" w:hAnsi="Tahoma"/>
                <w:color w:val="222222"/>
                <w:sz w:val="16"/>
              </w:rPr>
              <w:t>SUS usability evaluation methodology</w:t>
            </w:r>
          </w:p>
        </w:tc>
        <w:tc>
          <w:tcPr>
            <w:tcW w:w="3400" w:type="dxa"/>
            <w:shd w:val="clear" w:color="auto" w:fill="F5F5F5"/>
          </w:tcPr>
          <w:p>
            <w:pPr>
              <w:spacing w:before="60" w:after="60"/>
              <w:jc w:val="left"/>
            </w:pPr>
            <w:r>
              <w:rPr>
                <w:rFonts w:ascii="Tahoma" w:hAnsi="Tahoma"/>
                <w:color w:val="222222"/>
                <w:sz w:val="16"/>
              </w:rPr>
              <w:t>System Usability Scale — validated 10-item questionnaire for usability measurement; reliable for small purposive samples (n=30)</w:t>
            </w:r>
          </w:p>
        </w:tc>
        <w:tc>
          <w:tcPr>
            <w:tcW w:w="4224" w:type="dxa"/>
            <w:shd w:val="clear" w:color="auto" w:fill="F5F5F5"/>
          </w:tcPr>
          <w:p>
            <w:pPr>
              <w:spacing w:before="60" w:after="60"/>
              <w:jc w:val="left"/>
            </w:pPr>
            <w:r>
              <w:rPr>
                <w:rFonts w:ascii="Tahoma" w:hAnsi="Tahoma"/>
                <w:color w:val="222222"/>
                <w:sz w:val="16"/>
              </w:rPr>
              <w:t>Brooke, J. (1996). SUS: A "quick and dirty" usability scale. In P. Jordan et al. (Eds.), Usability evaluation in industry (pp. 189–194). Taylor &amp; Francis.</w:t>
              <w:br/>
              <w:t>Bangor, A., et al. (2009). Determining what individual SUS scores mean. Journal of Usability Studies, 4(3), 114–123.</w:t>
            </w:r>
          </w:p>
        </w:tc>
      </w:tr>
      <w:tr>
        <w:tc>
          <w:tcPr>
            <w:tcW w:w="2400" w:type="dxa"/>
            <w:shd w:val="clear" w:color="auto" w:fill="FFFFFF"/>
          </w:tcPr>
          <w:p>
            <w:pPr>
              <w:spacing w:before="60" w:after="60"/>
              <w:jc w:val="left"/>
            </w:pPr>
            <w:r>
              <w:rPr>
                <w:rFonts w:ascii="Tahoma" w:hAnsi="Tahoma"/>
                <w:color w:val="222222"/>
                <w:sz w:val="16"/>
              </w:rPr>
              <w:t>Subscription auto-detection</w:t>
            </w:r>
          </w:p>
        </w:tc>
        <w:tc>
          <w:tcPr>
            <w:tcW w:w="3400" w:type="dxa"/>
            <w:shd w:val="clear" w:color="auto" w:fill="FFFFFF"/>
          </w:tcPr>
          <w:p>
            <w:pPr>
              <w:spacing w:before="60" w:after="60"/>
              <w:jc w:val="left"/>
            </w:pPr>
            <w:r>
              <w:rPr>
                <w:rFonts w:ascii="Tahoma" w:hAnsi="Tahoma"/>
                <w:color w:val="222222"/>
                <w:sz w:val="16"/>
              </w:rPr>
              <w:t>Subscription blindness: consumers underestimate active subscriptions by ~2.5× and overpay by average $133/month</w:t>
            </w:r>
          </w:p>
        </w:tc>
        <w:tc>
          <w:tcPr>
            <w:tcW w:w="4224" w:type="dxa"/>
            <w:shd w:val="clear" w:color="auto" w:fill="FFFFFF"/>
          </w:tcPr>
          <w:p>
            <w:pPr>
              <w:spacing w:before="60" w:after="60"/>
              <w:jc w:val="left"/>
            </w:pPr>
            <w:r>
              <w:rPr>
                <w:rFonts w:ascii="Tahoma" w:hAnsi="Tahoma"/>
                <w:color w:val="222222"/>
                <w:sz w:val="16"/>
              </w:rPr>
              <w:t>Perrig, S., et al. (2024). Forgotten subscriptions. Journal of Consumer Behaviour, 23(4), 1812–1826. https://doi.org/10.1002/cb.2337</w:t>
            </w:r>
          </w:p>
        </w:tc>
      </w:tr>
      <w:tr>
        <w:tc>
          <w:tcPr>
            <w:tcW w:w="2400" w:type="dxa"/>
            <w:shd w:val="clear" w:color="auto" w:fill="F5F5F5"/>
          </w:tcPr>
          <w:p>
            <w:pPr>
              <w:spacing w:before="60" w:after="60"/>
              <w:jc w:val="left"/>
            </w:pPr>
            <w:r>
              <w:rPr>
                <w:rFonts w:ascii="Tahoma" w:hAnsi="Tahoma"/>
                <w:color w:val="222222"/>
                <w:sz w:val="16"/>
              </w:rPr>
              <w:t>Philippine-specific features (SSS, PhilHealth, Pag-IBIG, GCash)</w:t>
            </w:r>
          </w:p>
        </w:tc>
        <w:tc>
          <w:tcPr>
            <w:tcW w:w="3400" w:type="dxa"/>
            <w:shd w:val="clear" w:color="auto" w:fill="F5F5F5"/>
          </w:tcPr>
          <w:p>
            <w:pPr>
              <w:spacing w:before="60" w:after="60"/>
              <w:jc w:val="left"/>
            </w:pPr>
            <w:r>
              <w:rPr>
                <w:rFonts w:ascii="Tahoma" w:hAnsi="Tahoma"/>
                <w:color w:val="222222"/>
                <w:sz w:val="16"/>
              </w:rPr>
              <w:t>50% Filipino adults lack formal bank accounts; GCash has 41.5M monthly users — PH financial ecosystem context</w:t>
            </w:r>
          </w:p>
        </w:tc>
        <w:tc>
          <w:tcPr>
            <w:tcW w:w="4224" w:type="dxa"/>
            <w:shd w:val="clear" w:color="auto" w:fill="F5F5F5"/>
          </w:tcPr>
          <w:p>
            <w:pPr>
              <w:spacing w:before="60" w:after="60"/>
              <w:jc w:val="left"/>
            </w:pPr>
            <w:r>
              <w:rPr>
                <w:rFonts w:ascii="Tahoma" w:hAnsi="Tahoma"/>
                <w:color w:val="222222"/>
                <w:sz w:val="16"/>
              </w:rPr>
              <w:t>BSP (2025). Consumer Finance Inclusion Survey. https://www.bsp.gov.ph</w:t>
              <w:br/>
              <w:t>Bloomberg (2026). GCash monthly active users.</w:t>
            </w:r>
          </w:p>
        </w:tc>
      </w:tr>
    </w:tbl>
    <w:p>
      <w:pPr>
        <w:spacing w:after="80"/>
      </w:pPr>
    </w:p>
    <w:p>
      <w:pPr>
        <w:spacing w:before="200" w:after="40"/>
      </w:pPr>
      <w:r>
        <w:rPr>
          <w:rFonts w:ascii="Tahoma" w:hAnsi="Tahoma"/>
          <w:b/>
          <w:color w:val="1A3A6B"/>
          <w:sz w:val="24"/>
        </w:rPr>
        <w:t>2.  Research Gaps This Study Addresses</w:t>
      </w:r>
    </w:p>
    <w:p>
      <w:pPr>
        <w:spacing w:before="0" w:after="60"/>
      </w:pPr>
      <w:r>
        <w:rPr>
          <w:rFonts w:ascii="Tahoma" w:hAnsi="Tahoma"/>
          <w:b w:val="0"/>
          <w:i w:val="0"/>
          <w:color w:val="222222"/>
          <w:sz w:val="19"/>
        </w:rPr>
        <w:t>The following gaps in existing literature and tools are addressed by SmartSpend:</w:t>
      </w:r>
    </w:p>
    <w:p>
      <w:pPr>
        <w:spacing w:before="120" w:after="20"/>
      </w:pPr>
      <w:r>
        <w:rPr>
          <w:rFonts w:ascii="Tahoma" w:hAnsi="Tahoma"/>
          <w:b/>
          <w:i w:val="0"/>
          <w:color w:val="1A3A6B"/>
          <w:sz w:val="20"/>
        </w:rPr>
        <w:t>No Filipino-English agentic AI financial app</w:t>
      </w:r>
    </w:p>
    <w:p>
      <w:pPr>
        <w:spacing w:before="0" w:after="40"/>
      </w:pPr>
      <w:r>
        <w:rPr>
          <w:rFonts w:ascii="Tahoma" w:hAnsi="Tahoma"/>
          <w:b w:val="0"/>
          <w:i w:val="0"/>
          <w:color w:val="222222"/>
          <w:sz w:val="19"/>
        </w:rPr>
        <w:t>Existing financial LLMs (FinGPT, BloombergGPT) are trained on English financial market data and do not support Taglish. BudgetPH has Filipino context but no agentic AI. SmartSpend is the first app combining Taglish AI with 34 autonomous actions.</w:t>
      </w:r>
    </w:p>
    <w:p>
      <w:pPr>
        <w:spacing w:before="0" w:after="80"/>
      </w:pPr>
      <w:r>
        <w:rPr>
          <w:rFonts w:ascii="Tahoma" w:hAnsi="Tahoma"/>
          <w:b w:val="0"/>
          <w:i/>
          <w:color w:val="666666"/>
          <w:sz w:val="18"/>
        </w:rPr>
        <w:t>Research basis: Liu et al. (2023); BudgetPH feature comparison</w:t>
      </w:r>
    </w:p>
    <w:p>
      <w:pPr>
        <w:spacing w:before="120" w:after="20"/>
      </w:pPr>
      <w:r>
        <w:rPr>
          <w:rFonts w:ascii="Tahoma" w:hAnsi="Tahoma"/>
          <w:b/>
          <w:i w:val="0"/>
          <w:color w:val="1A3A6B"/>
          <w:sz w:val="20"/>
        </w:rPr>
        <w:t>No offline-capable AI financial tracker for PH</w:t>
      </w:r>
    </w:p>
    <w:p>
      <w:pPr>
        <w:spacing w:before="0" w:after="40"/>
      </w:pPr>
      <w:r>
        <w:rPr>
          <w:rFonts w:ascii="Tahoma" w:hAnsi="Tahoma"/>
          <w:b w:val="0"/>
          <w:i w:val="0"/>
          <w:color w:val="222222"/>
          <w:sz w:val="19"/>
        </w:rPr>
        <w:t>GCash Pera Coach (March 2026) requires internet and GCash account. BudgetPH has limited offline mode. SmartSpend works fully offline — all core features available without internet.</w:t>
      </w:r>
    </w:p>
    <w:p>
      <w:pPr>
        <w:spacing w:before="0" w:after="80"/>
      </w:pPr>
      <w:r>
        <w:rPr>
          <w:rFonts w:ascii="Tahoma" w:hAnsi="Tahoma"/>
          <w:b w:val="0"/>
          <w:i/>
          <w:color w:val="666666"/>
          <w:sz w:val="18"/>
        </w:rPr>
        <w:t>Research basis: BSP (2021) connectivity barriers; GCash Pera Coach feature set</w:t>
      </w:r>
    </w:p>
    <w:p>
      <w:pPr>
        <w:spacing w:before="120" w:after="20"/>
      </w:pPr>
      <w:r>
        <w:rPr>
          <w:rFonts w:ascii="Tahoma" w:hAnsi="Tahoma"/>
          <w:b/>
          <w:i w:val="0"/>
          <w:color w:val="1A3A6B"/>
          <w:sz w:val="20"/>
        </w:rPr>
        <w:t>No behavioral FHS computed from transaction data in PH</w:t>
      </w:r>
    </w:p>
    <w:p>
      <w:pPr>
        <w:spacing w:before="0" w:after="40"/>
      </w:pPr>
      <w:r>
        <w:rPr>
          <w:rFonts w:ascii="Tahoma" w:hAnsi="Tahoma"/>
          <w:b w:val="0"/>
          <w:i w:val="0"/>
          <w:color w:val="222222"/>
          <w:sz w:val="19"/>
        </w:rPr>
        <w:t>Existing PH apps either have no FHS (Alkansya limited availability) or use opaque scoring (BudgetPH formula not published). SmartSpend's FHS is fully documented, traceable, and computed from real transactions.</w:t>
      </w:r>
    </w:p>
    <w:p>
      <w:pPr>
        <w:spacing w:before="0" w:after="80"/>
      </w:pPr>
      <w:r>
        <w:rPr>
          <w:rFonts w:ascii="Tahoma" w:hAnsi="Tahoma"/>
          <w:b w:val="0"/>
          <w:i/>
          <w:color w:val="666666"/>
          <w:sz w:val="18"/>
        </w:rPr>
        <w:t>Research basis: Financial Health Network (2021); CFPB (2017)</w:t>
      </w:r>
    </w:p>
    <w:p>
      <w:pPr>
        <w:spacing w:before="120" w:after="20"/>
      </w:pPr>
      <w:r>
        <w:rPr>
          <w:rFonts w:ascii="Tahoma" w:hAnsi="Tahoma"/>
          <w:b/>
          <w:i w:val="0"/>
          <w:color w:val="1A3A6B"/>
          <w:sz w:val="20"/>
        </w:rPr>
        <w:t>No multi-modal batch import from 40+ Philippine platforms</w:t>
      </w:r>
    </w:p>
    <w:p>
      <w:pPr>
        <w:spacing w:before="0" w:after="40"/>
      </w:pPr>
      <w:r>
        <w:rPr>
          <w:rFonts w:ascii="Tahoma" w:hAnsi="Tahoma"/>
          <w:b w:val="0"/>
          <w:i w:val="0"/>
          <w:color w:val="222222"/>
          <w:sz w:val="19"/>
        </w:rPr>
        <w:t>No existing app can bulk-import from Shopee, Lazada, GCash, Steam, Netflix, BPI, and 36+ other platforms from screenshots alone. SmartSpend's Batch Screenshots feature is unique in the PH market.</w:t>
      </w:r>
    </w:p>
    <w:p>
      <w:pPr>
        <w:spacing w:before="0" w:after="80"/>
      </w:pPr>
      <w:r>
        <w:rPr>
          <w:rFonts w:ascii="Tahoma" w:hAnsi="Tahoma"/>
          <w:b w:val="0"/>
          <w:i/>
          <w:color w:val="666666"/>
          <w:sz w:val="18"/>
        </w:rPr>
        <w:t>Research basis: Beancount.io (2026); Stefanov et al. (2024)</w:t>
      </w:r>
    </w:p>
    <w:p>
      <w:pPr>
        <w:spacing w:before="200" w:after="40"/>
      </w:pPr>
      <w:r>
        <w:rPr>
          <w:rFonts w:ascii="Tahoma" w:hAnsi="Tahoma"/>
          <w:b/>
          <w:color w:val="1A3A6B"/>
          <w:sz w:val="24"/>
        </w:rPr>
        <w:t>3.  Suggested Prompts for AI Verification Tools</w:t>
      </w:r>
    </w:p>
    <w:p>
      <w:pPr>
        <w:spacing w:before="0" w:after="60"/>
      </w:pPr>
      <w:r>
        <w:rPr>
          <w:rFonts w:ascii="Tahoma" w:hAnsi="Tahoma"/>
          <w:b w:val="0"/>
          <w:i w:val="0"/>
          <w:color w:val="222222"/>
          <w:sz w:val="19"/>
        </w:rPr>
        <w:t>Use these prompts with Claude, Gemini Notebook, or Perplexity to verify or expand the research basis of SmartSpend's features:</w:t>
      </w: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600" w:type="dxa"/>
            <w:shd w:val="clear" w:color="auto" w:fill="1A3A6B"/>
          </w:tcPr>
          <w:p>
            <w:pPr>
              <w:spacing w:before="100" w:after="100"/>
              <w:jc w:val="center"/>
            </w:pPr>
            <w:r>
              <w:rPr>
                <w:rFonts w:ascii="Tahoma" w:hAnsi="Tahoma"/>
                <w:b/>
                <w:color w:val="FFFFFF"/>
                <w:sz w:val="17"/>
              </w:rPr>
              <w:t>FHS Framework</w:t>
            </w:r>
          </w:p>
        </w:tc>
        <w:tc>
          <w:tcPr>
            <w:tcW w:w="8624" w:type="dxa"/>
            <w:shd w:val="clear" w:color="auto" w:fill="EEF4FF"/>
          </w:tcPr>
          <w:p>
            <w:pPr>
              <w:spacing w:before="80" w:after="80"/>
            </w:pPr>
            <w:r>
              <w:rPr>
                <w:rFonts w:ascii="Tahoma" w:hAnsi="Tahoma"/>
                <w:i/>
                <w:color w:val="222222"/>
                <w:sz w:val="18"/>
              </w:rPr>
              <w:t>"What academic frameworks are used to measure personal financial health? Are the Financial Health Network FinHealth Score® and the CFPB Financial Well-Being Scale recognized standards? What other frameworks exist?"</w:t>
            </w: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600" w:type="dxa"/>
            <w:shd w:val="clear" w:color="auto" w:fill="1A3A6B"/>
          </w:tcPr>
          <w:p>
            <w:pPr>
              <w:spacing w:before="100" w:after="100"/>
              <w:jc w:val="center"/>
            </w:pPr>
            <w:r>
              <w:rPr>
                <w:rFonts w:ascii="Tahoma" w:hAnsi="Tahoma"/>
                <w:b/>
                <w:color w:val="FFFFFF"/>
                <w:sz w:val="17"/>
              </w:rPr>
              <w:t>Savings Rate Target</w:t>
            </w:r>
          </w:p>
        </w:tc>
        <w:tc>
          <w:tcPr>
            <w:tcW w:w="8624" w:type="dxa"/>
            <w:shd w:val="clear" w:color="auto" w:fill="EEF4FF"/>
          </w:tcPr>
          <w:p>
            <w:pPr>
              <w:spacing w:before="80" w:after="80"/>
            </w:pPr>
            <w:r>
              <w:rPr>
                <w:rFonts w:ascii="Tahoma" w:hAnsi="Tahoma"/>
                <w:i/>
                <w:color w:val="222222"/>
                <w:sz w:val="18"/>
              </w:rPr>
              <w:t>"Is a 20% savings rate target used in existing financial health scoring systems? What does the 50/30/20 rule say about savings allocation?"</w:t>
            </w: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600" w:type="dxa"/>
            <w:shd w:val="clear" w:color="auto" w:fill="1A3A6B"/>
          </w:tcPr>
          <w:p>
            <w:pPr>
              <w:spacing w:before="100" w:after="100"/>
              <w:jc w:val="center"/>
            </w:pPr>
            <w:r>
              <w:rPr>
                <w:rFonts w:ascii="Tahoma" w:hAnsi="Tahoma"/>
                <w:b/>
                <w:color w:val="FFFFFF"/>
                <w:sz w:val="17"/>
              </w:rPr>
              <w:t>Logging Consistency Research</w:t>
            </w:r>
          </w:p>
        </w:tc>
        <w:tc>
          <w:tcPr>
            <w:tcW w:w="8624" w:type="dxa"/>
            <w:shd w:val="clear" w:color="auto" w:fill="EEF4FF"/>
          </w:tcPr>
          <w:p>
            <w:pPr>
              <w:spacing w:before="80" w:after="80"/>
            </w:pPr>
            <w:r>
              <w:rPr>
                <w:rFonts w:ascii="Tahoma" w:hAnsi="Tahoma"/>
                <w:i/>
                <w:color w:val="222222"/>
                <w:sz w:val="18"/>
              </w:rPr>
              <w:t>"Is there academic research showing that consistent expense logging reduces spending? What does behavioral finance say about self-monitoring of financial behavior?"</w:t>
            </w: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600" w:type="dxa"/>
            <w:shd w:val="clear" w:color="auto" w:fill="1A3A6B"/>
          </w:tcPr>
          <w:p>
            <w:pPr>
              <w:spacing w:before="100" w:after="100"/>
              <w:jc w:val="center"/>
            </w:pPr>
            <w:r>
              <w:rPr>
                <w:rFonts w:ascii="Tahoma" w:hAnsi="Tahoma"/>
                <w:b/>
                <w:color w:val="FFFFFF"/>
                <w:sz w:val="17"/>
              </w:rPr>
              <w:t>Agentic AI in Finance</w:t>
            </w:r>
          </w:p>
        </w:tc>
        <w:tc>
          <w:tcPr>
            <w:tcW w:w="8624" w:type="dxa"/>
            <w:shd w:val="clear" w:color="auto" w:fill="EEF4FF"/>
          </w:tcPr>
          <w:p>
            <w:pPr>
              <w:spacing w:before="80" w:after="80"/>
            </w:pPr>
            <w:r>
              <w:rPr>
                <w:rFonts w:ascii="Tahoma" w:hAnsi="Tahoma"/>
                <w:i/>
                <w:color w:val="222222"/>
                <w:sz w:val="18"/>
              </w:rPr>
              <w:t>"What does current research say about agentic AI in personal finance? Which institutions (WEF, IBM, Deloitte) have published on this topic?"</w:t>
            </w: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600" w:type="dxa"/>
            <w:shd w:val="clear" w:color="auto" w:fill="1A3A6B"/>
          </w:tcPr>
          <w:p>
            <w:pPr>
              <w:spacing w:before="100" w:after="100"/>
              <w:jc w:val="center"/>
            </w:pPr>
            <w:r>
              <w:rPr>
                <w:rFonts w:ascii="Tahoma" w:hAnsi="Tahoma"/>
                <w:b/>
                <w:color w:val="FFFFFF"/>
                <w:sz w:val="17"/>
              </w:rPr>
              <w:t>Gamification in Finance</w:t>
            </w:r>
          </w:p>
        </w:tc>
        <w:tc>
          <w:tcPr>
            <w:tcW w:w="8624" w:type="dxa"/>
            <w:shd w:val="clear" w:color="auto" w:fill="EEF4FF"/>
          </w:tcPr>
          <w:p>
            <w:pPr>
              <w:spacing w:before="80" w:after="80"/>
            </w:pPr>
            <w:r>
              <w:rPr>
                <w:rFonts w:ascii="Tahoma" w:hAnsi="Tahoma"/>
                <w:i/>
                <w:color w:val="222222"/>
                <w:sz w:val="18"/>
              </w:rPr>
              <w:t>"What is the empirical research evidence for gamification increasing financial behavior in personal finance apps? Is the Sharma, Gaba &amp; Sharma (2026) Atlantis Press PLS-SEM study (N=656) a peer-reviewed source? What path coefficients were found for gamified rewards on Sustainable Financial Intention?"</w:t>
            </w: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600" w:type="dxa"/>
            <w:shd w:val="clear" w:color="auto" w:fill="1A3A6B"/>
          </w:tcPr>
          <w:p>
            <w:pPr>
              <w:spacing w:before="100" w:after="100"/>
              <w:jc w:val="center"/>
            </w:pPr>
            <w:r>
              <w:rPr>
                <w:rFonts w:ascii="Tahoma" w:hAnsi="Tahoma"/>
                <w:b/>
                <w:color w:val="FFFFFF"/>
                <w:sz w:val="17"/>
              </w:rPr>
              <w:t>Filipino Financial Inclusion</w:t>
            </w:r>
          </w:p>
        </w:tc>
        <w:tc>
          <w:tcPr>
            <w:tcW w:w="8624" w:type="dxa"/>
            <w:shd w:val="clear" w:color="auto" w:fill="EEF4FF"/>
          </w:tcPr>
          <w:p>
            <w:pPr>
              <w:spacing w:before="80" w:after="80"/>
            </w:pPr>
            <w:r>
              <w:rPr>
                <w:rFonts w:ascii="Tahoma" w:hAnsi="Tahoma"/>
                <w:i/>
                <w:color w:val="222222"/>
                <w:sz w:val="18"/>
              </w:rPr>
              <w:t>"What are the current financial inclusion statistics for the Philippines? What does BSP's 2025 Consumer Finance Inclusion Survey say about Filipinos' financial management practices?"</w:t>
            </w: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600" w:type="dxa"/>
            <w:shd w:val="clear" w:color="auto" w:fill="1A3A6B"/>
          </w:tcPr>
          <w:p>
            <w:pPr>
              <w:spacing w:before="100" w:after="100"/>
              <w:jc w:val="center"/>
            </w:pPr>
            <w:r>
              <w:rPr>
                <w:rFonts w:ascii="Tahoma" w:hAnsi="Tahoma"/>
                <w:b/>
                <w:color w:val="FFFFFF"/>
                <w:sz w:val="17"/>
              </w:rPr>
              <w:t>LLaMA 4 Scout Filipino Support</w:t>
            </w:r>
          </w:p>
        </w:tc>
        <w:tc>
          <w:tcPr>
            <w:tcW w:w="8624" w:type="dxa"/>
            <w:shd w:val="clear" w:color="auto" w:fill="EEF4FF"/>
          </w:tcPr>
          <w:p>
            <w:pPr>
              <w:spacing w:before="80" w:after="80"/>
            </w:pPr>
            <w:r>
              <w:rPr>
                <w:rFonts w:ascii="Tahoma" w:hAnsi="Tahoma"/>
                <w:i/>
                <w:color w:val="222222"/>
                <w:sz w:val="18"/>
              </w:rPr>
              <w:t>"Is Tagalog an officially supported language for LLaMA 4 Scout? What languages does Meta list as fine-tuned for LLaMA 4 Scout?"</w:t>
            </w: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600" w:type="dxa"/>
            <w:shd w:val="clear" w:color="auto" w:fill="1A3A6B"/>
          </w:tcPr>
          <w:p>
            <w:pPr>
              <w:spacing w:before="100" w:after="100"/>
              <w:jc w:val="center"/>
            </w:pPr>
            <w:r>
              <w:rPr>
                <w:rFonts w:ascii="Tahoma" w:hAnsi="Tahoma"/>
                <w:b/>
                <w:color w:val="FFFFFF"/>
                <w:sz w:val="17"/>
              </w:rPr>
              <w:t>SUS Validity</w:t>
            </w:r>
          </w:p>
        </w:tc>
        <w:tc>
          <w:tcPr>
            <w:tcW w:w="8624" w:type="dxa"/>
            <w:shd w:val="clear" w:color="auto" w:fill="EEF4FF"/>
          </w:tcPr>
          <w:p>
            <w:pPr>
              <w:spacing w:before="80" w:after="80"/>
            </w:pPr>
            <w:r>
              <w:rPr>
                <w:rFonts w:ascii="Tahoma" w:hAnsi="Tahoma"/>
                <w:i/>
                <w:color w:val="222222"/>
                <w:sz w:val="18"/>
              </w:rPr>
              <w:t>"Is the System Usability Scale (Brooke, 1996) a valid instrument for measuring app usability? What does Bangor et al. (2009) say about interpreting SUS scores? What is the minimum sample size for reliable SUS scores?"</w:t>
            </w: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600" w:type="dxa"/>
            <w:shd w:val="clear" w:color="auto" w:fill="1A3A6B"/>
          </w:tcPr>
          <w:p>
            <w:pPr>
              <w:spacing w:before="100" w:after="100"/>
              <w:jc w:val="center"/>
            </w:pPr>
            <w:r>
              <w:rPr>
                <w:rFonts w:ascii="Tahoma" w:hAnsi="Tahoma"/>
                <w:b/>
                <w:color w:val="FFFFFF"/>
                <w:sz w:val="17"/>
              </w:rPr>
              <w:t>CBA-MI Observed FHI</w:t>
            </w:r>
          </w:p>
        </w:tc>
        <w:tc>
          <w:tcPr>
            <w:tcW w:w="8624" w:type="dxa"/>
            <w:shd w:val="clear" w:color="auto" w:fill="EEF4FF"/>
          </w:tcPr>
          <w:p>
            <w:pPr>
              <w:spacing w:before="80" w:after="80"/>
            </w:pPr>
            <w:r>
              <w:rPr>
                <w:rFonts w:ascii="Tahoma" w:hAnsi="Tahoma"/>
                <w:i/>
                <w:color w:val="222222"/>
                <w:sz w:val="18"/>
              </w:rPr>
              <w:t>"What is the Commonwealth Bank of Australia and Melbourne Institute (CBA-MI) dual-scale financial well-being model? How does it distinguish between Reported (subjective) and Observed (transaction-derived) financial health indicators? Does it support using transaction data to compute a financial health score?"</w:t>
            </w: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600" w:type="dxa"/>
            <w:shd w:val="clear" w:color="auto" w:fill="1A3A6B"/>
          </w:tcPr>
          <w:p>
            <w:pPr>
              <w:spacing w:before="100" w:after="100"/>
              <w:jc w:val="center"/>
            </w:pPr>
            <w:r>
              <w:rPr>
                <w:rFonts w:ascii="Tahoma" w:hAnsi="Tahoma"/>
                <w:b/>
                <w:color w:val="FFFFFF"/>
                <w:sz w:val="17"/>
              </w:rPr>
              <w:t>Atlantis Press PLS-SEM</w:t>
            </w:r>
          </w:p>
        </w:tc>
        <w:tc>
          <w:tcPr>
            <w:tcW w:w="8624" w:type="dxa"/>
            <w:shd w:val="clear" w:color="auto" w:fill="EEF4FF"/>
          </w:tcPr>
          <w:p>
            <w:pPr>
              <w:spacing w:before="80" w:after="80"/>
            </w:pPr>
            <w:r>
              <w:rPr>
                <w:rFonts w:ascii="Tahoma" w:hAnsi="Tahoma"/>
                <w:i/>
                <w:color w:val="222222"/>
                <w:sz w:val="18"/>
              </w:rPr>
              <w:t>"Is the Sharma, Gaba &amp; Sharma (2026) study published in the 13th International Youth Conference (IYC 2026) proceedings by Atlantis Press a peer-reviewed conference paper? What were the path coefficients found for Budget Feedback Nudges, Gamified Rewards, and Perceived Algorithm Transparency on financial well-being?"</w:t>
            </w: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1600" w:type="dxa"/>
            <w:shd w:val="clear" w:color="auto" w:fill="1A3A6B"/>
          </w:tcPr>
          <w:p>
            <w:pPr>
              <w:spacing w:before="100" w:after="100"/>
              <w:jc w:val="center"/>
            </w:pPr>
            <w:r>
              <w:rPr>
                <w:rFonts w:ascii="Tahoma" w:hAnsi="Tahoma"/>
                <w:b/>
                <w:color w:val="FFFFFF"/>
                <w:sz w:val="17"/>
              </w:rPr>
              <w:t>ZenML LLMOps</w:t>
            </w:r>
          </w:p>
        </w:tc>
        <w:tc>
          <w:tcPr>
            <w:tcW w:w="8624" w:type="dxa"/>
            <w:shd w:val="clear" w:color="auto" w:fill="EEF4FF"/>
          </w:tcPr>
          <w:p>
            <w:pPr>
              <w:spacing w:before="80" w:after="80"/>
            </w:pPr>
            <w:r>
              <w:rPr>
                <w:rFonts w:ascii="Tahoma" w:hAnsi="Tahoma"/>
                <w:i/>
                <w:color w:val="222222"/>
                <w:sz w:val="18"/>
              </w:rPr>
              <w:t>"Is there research on cost optimization for LLM-based transaction categorization? What strategies does the ZenML ANNA (2025) case study document for reducing API costs? Is 120 transactions a recommended batch size to avoid long-context hallucinations?"</w:t>
            </w:r>
          </w:p>
        </w:tc>
      </w:tr>
    </w:tbl>
    <w:p>
      <w:pPr>
        <w:spacing w:after="40"/>
      </w:pPr>
    </w:p>
    <w:p>
      <w:pPr>
        <w:spacing w:before="200" w:after="40"/>
      </w:pPr>
      <w:r>
        <w:rPr>
          <w:rFonts w:ascii="Tahoma" w:hAnsi="Tahoma"/>
          <w:b/>
          <w:color w:val="1A3A6B"/>
          <w:sz w:val="24"/>
        </w:rPr>
        <w:t>4.  Complete APA Reference List</w:t>
      </w:r>
    </w:p>
    <w:p>
      <w:pPr>
        <w:spacing w:before="0" w:after="60"/>
      </w:pPr>
      <w:r>
        <w:rPr>
          <w:rFonts w:ascii="Tahoma" w:hAnsi="Tahoma"/>
          <w:b w:val="0"/>
          <w:i/>
          <w:color w:val="666666"/>
          <w:sz w:val="18"/>
        </w:rPr>
        <w:t>All references cited in SmartSpend's capstone paper and defense materials. Organized alphabetically.</w:t>
      </w:r>
    </w:p>
    <w:p>
      <w:pPr>
        <w:spacing w:before="0" w:after="80"/>
        <w:ind w:left="432" w:hanging="432"/>
      </w:pPr>
      <w:r>
        <w:rPr>
          <w:rFonts w:ascii="Tahoma" w:hAnsi="Tahoma"/>
          <w:color w:val="222222"/>
          <w:sz w:val="17"/>
        </w:rPr>
        <w:t>Ariely, D. (2008). Predictably irrational: The hidden forces that shape our decisions. HarperCollins.</w:t>
      </w:r>
    </w:p>
    <w:p>
      <w:pPr>
        <w:spacing w:before="0" w:after="80"/>
        <w:ind w:left="432" w:hanging="432"/>
      </w:pPr>
      <w:r>
        <w:rPr>
          <w:rFonts w:ascii="Tahoma" w:hAnsi="Tahoma"/>
          <w:color w:val="222222"/>
          <w:sz w:val="17"/>
        </w:rPr>
        <w:t>Bangor, A., Kortum, P., &amp; Miller, J. (2009). Determining what individual SUS scores mean: Adding an adjective rating scale. Journal of Usability Studies, 4(3), 114–123.</w:t>
      </w:r>
    </w:p>
    <w:p>
      <w:pPr>
        <w:spacing w:before="0" w:after="80"/>
        <w:ind w:left="432" w:hanging="432"/>
      </w:pPr>
      <w:r>
        <w:rPr>
          <w:rFonts w:ascii="Tahoma" w:hAnsi="Tahoma"/>
          <w:color w:val="222222"/>
          <w:sz w:val="17"/>
        </w:rPr>
        <w:t>Bangko Sentral ng Pilipinas. (2021). 2021 Financial Inclusion Survey. BSP. https://www.bsp.gov.ph</w:t>
      </w:r>
    </w:p>
    <w:p>
      <w:pPr>
        <w:spacing w:before="0" w:after="80"/>
        <w:ind w:left="432" w:hanging="432"/>
      </w:pPr>
      <w:r>
        <w:rPr>
          <w:rFonts w:ascii="Tahoma" w:hAnsi="Tahoma"/>
          <w:color w:val="222222"/>
          <w:sz w:val="17"/>
        </w:rPr>
        <w:t>Bangko Sentral ng Pilipinas. (2025). Consumer Finance Inclusion Survey 2025. BSP. https://www.bsp.gov.ph</w:t>
      </w:r>
    </w:p>
    <w:p>
      <w:pPr>
        <w:spacing w:before="0" w:after="80"/>
        <w:ind w:left="432" w:hanging="432"/>
      </w:pPr>
      <w:r>
        <w:rPr>
          <w:rFonts w:ascii="Tahoma" w:hAnsi="Tahoma"/>
          <w:color w:val="222222"/>
          <w:sz w:val="17"/>
        </w:rPr>
        <w:t>Bitrián, P., Buil, I., &amp; Catalán, S. (2021). Making finance fun: The gamification of personal financial management apps. International Journal of Bank Marketing, 39(7), 1310–1332. https://doi.org/10.1108/IJBM-09-2020-0491</w:t>
      </w:r>
    </w:p>
    <w:p>
      <w:pPr>
        <w:spacing w:before="0" w:after="80"/>
        <w:ind w:left="432" w:hanging="432"/>
      </w:pPr>
      <w:r>
        <w:rPr>
          <w:rFonts w:ascii="Tahoma" w:hAnsi="Tahoma"/>
          <w:color w:val="222222"/>
          <w:sz w:val="17"/>
        </w:rPr>
        <w:t>Brooke, J. (1996). SUS: A "quick and dirty" usability scale. In P. W. Jordan, B. Thomas, B. A. Weerdmeester, &amp; I. L. McClelland (Eds.), Usability evaluation in industry (pp. 189–194). Taylor &amp; Francis.</w:t>
      </w:r>
    </w:p>
    <w:p>
      <w:pPr>
        <w:spacing w:before="0" w:after="80"/>
        <w:ind w:left="432" w:hanging="432"/>
      </w:pPr>
      <w:r>
        <w:rPr>
          <w:rFonts w:ascii="Tahoma" w:hAnsi="Tahoma"/>
          <w:color w:val="222222"/>
          <w:sz w:val="17"/>
        </w:rPr>
        <w:t>Commonwealth Bank of Australia &amp; Melbourne Institute. (2018). Measuring financial resilience. CBA-MI Financial Resilience in Australia Study. https://www.melbourneinstitute.unimelb.edu.au/</w:t>
      </w:r>
    </w:p>
    <w:p>
      <w:pPr>
        <w:spacing w:before="0" w:after="80"/>
        <w:ind w:left="432" w:hanging="432"/>
      </w:pPr>
      <w:r>
        <w:rPr>
          <w:rFonts w:ascii="Tahoma" w:hAnsi="Tahoma"/>
          <w:color w:val="222222"/>
          <w:sz w:val="17"/>
        </w:rPr>
        <w:t>Consumer Financial Protection Bureau. (2017). Financial well-being scale: Scale development technical report. CFPB. https://files.consumerfinance.gov/f/documents/201705_cfpb_financial-well-being-scale-technical-report.pdf</w:t>
      </w:r>
    </w:p>
    <w:p>
      <w:pPr>
        <w:spacing w:before="0" w:after="80"/>
        <w:ind w:left="432" w:hanging="432"/>
      </w:pPr>
      <w:r>
        <w:rPr>
          <w:rFonts w:ascii="Tahoma" w:hAnsi="Tahoma"/>
          <w:color w:val="222222"/>
          <w:sz w:val="17"/>
        </w:rPr>
        <w:t>Davenport, T. H., &amp; Mittal, N. (2022). All-in on AI: How smart companies win big with artificial intelligence. Harvard Business Review Press.</w:t>
      </w:r>
    </w:p>
    <w:p>
      <w:pPr>
        <w:spacing w:before="0" w:after="80"/>
        <w:ind w:left="432" w:hanging="432"/>
      </w:pPr>
      <w:r>
        <w:rPr>
          <w:rFonts w:ascii="Tahoma" w:hAnsi="Tahoma"/>
          <w:color w:val="222222"/>
          <w:sz w:val="17"/>
        </w:rPr>
        <w:t>Davis, F. D. (1989). Perceived usefulness, perceived ease of use, and user acceptance of information technology. MIS Quarterly, 13(3), 319–340.</w:t>
      </w:r>
    </w:p>
    <w:p>
      <w:pPr>
        <w:spacing w:before="0" w:after="80"/>
        <w:ind w:left="432" w:hanging="432"/>
      </w:pPr>
      <w:r>
        <w:rPr>
          <w:rFonts w:ascii="Tahoma" w:hAnsi="Tahoma"/>
          <w:color w:val="222222"/>
          <w:sz w:val="17"/>
        </w:rPr>
        <w:t>Deci, E. L., &amp; Ryan, R. M. (2000). The "what" and "why" of goal pursuits: Human needs and the self-determination of behavior. Psychological Inquiry, 11(4), 227–268.</w:t>
      </w:r>
    </w:p>
    <w:p>
      <w:pPr>
        <w:spacing w:before="0" w:after="80"/>
        <w:ind w:left="432" w:hanging="432"/>
      </w:pPr>
      <w:r>
        <w:rPr>
          <w:rFonts w:ascii="Tahoma" w:hAnsi="Tahoma"/>
          <w:color w:val="222222"/>
          <w:sz w:val="17"/>
        </w:rPr>
        <w:t>Financial Health Network. (2021). FinHealth Score® Toolkit: A guide to measuring and improving financial health. https://finhealthnetwork.org/tools/financial-health-score/</w:t>
      </w:r>
    </w:p>
    <w:p>
      <w:pPr>
        <w:spacing w:before="0" w:after="80"/>
        <w:ind w:left="432" w:hanging="432"/>
      </w:pPr>
      <w:r>
        <w:rPr>
          <w:rFonts w:ascii="Tahoma" w:hAnsi="Tahoma"/>
          <w:color w:val="222222"/>
          <w:sz w:val="17"/>
        </w:rPr>
        <w:t>Financial Health Network. (2026). From insight to impact: The next phase of financial health measurement. https://finhealthnetwork.org/research/from-insight-to-impact-the-next-phase-of-financial-health-measurement/</w:t>
      </w:r>
    </w:p>
    <w:p>
      <w:pPr>
        <w:spacing w:before="0" w:after="80"/>
        <w:ind w:left="432" w:hanging="432"/>
      </w:pPr>
      <w:r>
        <w:rPr>
          <w:rFonts w:ascii="Tahoma" w:hAnsi="Tahoma"/>
          <w:color w:val="222222"/>
          <w:sz w:val="17"/>
        </w:rPr>
        <w:t>Flores, C. A. R. (2025). Financial freedom of Filipinos in personal finance management. Pantao: The International Journal of the Humanities and Social Sciences, 4(1). https://pantaojournal.com/2025/01/27/v4-i1-7/</w:t>
      </w:r>
    </w:p>
    <w:p>
      <w:pPr>
        <w:spacing w:before="0" w:after="80"/>
        <w:ind w:left="432" w:hanging="432"/>
      </w:pPr>
      <w:r>
        <w:rPr>
          <w:rFonts w:ascii="Tahoma" w:hAnsi="Tahoma"/>
          <w:color w:val="222222"/>
          <w:sz w:val="17"/>
        </w:rPr>
        <w:t>Hean, O., Saha, U., &amp; Saha, B. (2025). Can AI help with your personal finances? Applied Economics. https://doi.org/10.1080/00036846.2025.2450384</w:t>
      </w:r>
    </w:p>
    <w:p>
      <w:pPr>
        <w:spacing w:before="0" w:after="80"/>
        <w:ind w:left="432" w:hanging="432"/>
      </w:pPr>
      <w:r>
        <w:rPr>
          <w:rFonts w:ascii="Tahoma" w:hAnsi="Tahoma"/>
          <w:color w:val="222222"/>
          <w:sz w:val="17"/>
        </w:rPr>
        <w:t>IBM. (2025). Agentic AI in financial services: Navigating innovation. https://www.ibm.com/think/insights/agentic-ai-financial-services-ethical-adoption</w:t>
      </w:r>
    </w:p>
    <w:p>
      <w:pPr>
        <w:spacing w:before="0" w:after="80"/>
        <w:ind w:left="432" w:hanging="432"/>
      </w:pPr>
      <w:r>
        <w:rPr>
          <w:rFonts w:ascii="Tahoma" w:hAnsi="Tahoma"/>
          <w:color w:val="222222"/>
          <w:sz w:val="17"/>
        </w:rPr>
        <w:t>IJERT. (2026). AI-driven personal finance assistant with voice, OCR, and chatbot. International Journal of Engineering Research and Technology. https://www.ijert.org/ai-driven-personal-finance-assistant-with-voice-ocr-and-chatbot-ijertv15is040439</w:t>
      </w:r>
    </w:p>
    <w:p>
      <w:pPr>
        <w:spacing w:before="0" w:after="80"/>
        <w:ind w:left="432" w:hanging="432"/>
      </w:pPr>
      <w:r>
        <w:rPr>
          <w:rFonts w:ascii="Tahoma" w:hAnsi="Tahoma"/>
          <w:color w:val="222222"/>
          <w:sz w:val="17"/>
        </w:rPr>
        <w:t>Insurance Commission Philippines. (2025). Philippine Insurance Market Report 2025.</w:t>
      </w:r>
    </w:p>
    <w:p>
      <w:pPr>
        <w:spacing w:before="0" w:after="80"/>
        <w:ind w:left="432" w:hanging="432"/>
      </w:pPr>
      <w:r>
        <w:rPr>
          <w:rFonts w:ascii="Tahoma" w:hAnsi="Tahoma"/>
          <w:color w:val="222222"/>
          <w:sz w:val="17"/>
        </w:rPr>
        <w:t>Juniper Research. (2026). Gamification in banking: How game mechanics drive financial behavior change. [Research report].</w:t>
      </w:r>
    </w:p>
    <w:p>
      <w:pPr>
        <w:spacing w:before="0" w:after="80"/>
        <w:ind w:left="432" w:hanging="432"/>
      </w:pPr>
      <w:r>
        <w:rPr>
          <w:rFonts w:ascii="Tahoma" w:hAnsi="Tahoma"/>
          <w:color w:val="222222"/>
          <w:sz w:val="17"/>
        </w:rPr>
        <w:t>Kahneman, D., &amp; Tversky, A. (1979). Prospect theory: An analysis of decision under risk. Econometrica, 47(2), 263–292.</w:t>
      </w:r>
    </w:p>
    <w:p>
      <w:pPr>
        <w:spacing w:before="0" w:after="80"/>
        <w:ind w:left="432" w:hanging="432"/>
      </w:pPr>
      <w:r>
        <w:rPr>
          <w:rFonts w:ascii="Tahoma" w:hAnsi="Tahoma"/>
          <w:color w:val="222222"/>
          <w:sz w:val="17"/>
        </w:rPr>
        <w:t>Li, Y., et al. (2024). Large language models in finance (FinLLMs). Neural Computing and Applications. https://doi.org/10.1007/s00521-024-10495-6</w:t>
      </w:r>
    </w:p>
    <w:p>
      <w:pPr>
        <w:spacing w:before="0" w:after="80"/>
        <w:ind w:left="432" w:hanging="432"/>
      </w:pPr>
      <w:r>
        <w:rPr>
          <w:rFonts w:ascii="Tahoma" w:hAnsi="Tahoma"/>
          <w:color w:val="222222"/>
          <w:sz w:val="17"/>
        </w:rPr>
        <w:t>Li, Z., et al. (2024). A survey of large language models for financial applications. arXiv:2406.11903. https://arxiv.org/abs/2406.11903</w:t>
      </w:r>
    </w:p>
    <w:p>
      <w:pPr>
        <w:spacing w:before="0" w:after="80"/>
        <w:ind w:left="432" w:hanging="432"/>
      </w:pPr>
      <w:r>
        <w:rPr>
          <w:rFonts w:ascii="Tahoma" w:hAnsi="Tahoma"/>
          <w:color w:val="222222"/>
          <w:sz w:val="17"/>
        </w:rPr>
        <w:t>Liu, X., et al. (2023). FinGPT: Open-source financial large language models. arXiv:2306.06031. https://arxiv.org/abs/2306.06031</w:t>
      </w:r>
    </w:p>
    <w:p>
      <w:pPr>
        <w:spacing w:before="0" w:after="80"/>
        <w:ind w:left="432" w:hanging="432"/>
      </w:pPr>
      <w:r>
        <w:rPr>
          <w:rFonts w:ascii="Tahoma" w:hAnsi="Tahoma"/>
          <w:color w:val="222222"/>
          <w:sz w:val="17"/>
        </w:rPr>
        <w:t>Meta AI. (2025). Llama 4 Scout model card and prompt formats. https://developer.meta.com/ai/docs/model-cards-and-prompt-formats/llama4/</w:t>
      </w:r>
    </w:p>
    <w:p>
      <w:pPr>
        <w:spacing w:before="0" w:after="80"/>
        <w:ind w:left="432" w:hanging="432"/>
      </w:pPr>
      <w:r>
        <w:rPr>
          <w:rFonts w:ascii="Tahoma" w:hAnsi="Tahoma"/>
          <w:color w:val="222222"/>
          <w:sz w:val="17"/>
        </w:rPr>
        <w:t>Mindfulsuite. (2026). The impact of expense tracking on financial behavior: How consistent logging reduces discretionary spending. https://mindfulsuite.com/blog/expense-tracking-financial-behavior</w:t>
      </w:r>
    </w:p>
    <w:p>
      <w:pPr>
        <w:spacing w:before="0" w:after="80"/>
        <w:ind w:left="432" w:hanging="432"/>
      </w:pPr>
      <w:r>
        <w:rPr>
          <w:rFonts w:ascii="Tahoma" w:hAnsi="Tahoma"/>
          <w:color w:val="222222"/>
          <w:sz w:val="17"/>
        </w:rPr>
        <w:t>Perrig, S., et al. (2024). Forgotten subscriptions: How subscription blindness costs consumers. Journal of Consumer Behaviour, 23(4), 1812–1826. https://doi.org/10.1002/cb.2337</w:t>
      </w:r>
    </w:p>
    <w:p>
      <w:pPr>
        <w:spacing w:before="0" w:after="80"/>
        <w:ind w:left="432" w:hanging="432"/>
      </w:pPr>
      <w:r>
        <w:rPr>
          <w:rFonts w:ascii="Tahoma" w:hAnsi="Tahoma"/>
          <w:color w:val="222222"/>
          <w:sz w:val="17"/>
        </w:rPr>
        <w:t>Philippine Statistics Authority. (2021). Family Income and Expenditure Survey (FIES) 2021. PSA. https://www.psa.gov.ph</w:t>
      </w:r>
    </w:p>
    <w:p>
      <w:pPr>
        <w:spacing w:before="0" w:after="80"/>
        <w:ind w:left="432" w:hanging="432"/>
      </w:pPr>
      <w:r>
        <w:rPr>
          <w:rFonts w:ascii="Tahoma" w:hAnsi="Tahoma"/>
          <w:color w:val="222222"/>
          <w:sz w:val="17"/>
        </w:rPr>
        <w:t>Stefanov, T., Stefanova, M., &amp; Varbanova, S. (2024). Personal finance management application. TEM Journal, 13(3), 2066–2075. https://doi.org/10.18421/TEM133-34</w:t>
      </w:r>
    </w:p>
    <w:p>
      <w:pPr>
        <w:spacing w:before="0" w:after="80"/>
        <w:ind w:left="432" w:hanging="432"/>
      </w:pPr>
      <w:r>
        <w:rPr>
          <w:rFonts w:ascii="Tahoma" w:hAnsi="Tahoma"/>
          <w:color w:val="222222"/>
          <w:sz w:val="17"/>
        </w:rPr>
        <w:t>Sharma, P., Gaba, P., &amp; Sharma, B. (2026). Can cognitive nudges in gamified digital payments foster digital financial well-being? In Proceedings of the 13th International Youth Conference (IYC 2026) (pp. 262–281). Atlantis Press. https://doi.org/10.2991/978-94-6463-IYC-2026_28</w:t>
      </w:r>
    </w:p>
    <w:p>
      <w:pPr>
        <w:spacing w:before="0" w:after="80"/>
        <w:ind w:left="432" w:hanging="432"/>
      </w:pPr>
      <w:r>
        <w:rPr>
          <w:rFonts w:ascii="Tahoma" w:hAnsi="Tahoma"/>
          <w:color w:val="222222"/>
          <w:sz w:val="17"/>
        </w:rPr>
        <w:t>Thaler, R. H., &amp; Sunstein, C. R. (2008). Nudge: Improving decisions about health, wealth, and happiness. Yale University Press.</w:t>
      </w:r>
    </w:p>
    <w:p>
      <w:pPr>
        <w:spacing w:before="0" w:after="80"/>
        <w:ind w:left="432" w:hanging="432"/>
      </w:pPr>
      <w:r>
        <w:rPr>
          <w:rFonts w:ascii="Tahoma" w:hAnsi="Tahoma"/>
          <w:color w:val="222222"/>
          <w:sz w:val="17"/>
        </w:rPr>
        <w:t>UNSGSA. (2021). Measuring financial health: A framework for practitioners. United Nations Secretary-General's Special Advocate for Inclusive Finance for Development. https://www.unsgsa.org</w:t>
      </w:r>
    </w:p>
    <w:p>
      <w:pPr>
        <w:spacing w:before="0" w:after="80"/>
        <w:ind w:left="432" w:hanging="432"/>
      </w:pPr>
      <w:r>
        <w:rPr>
          <w:rFonts w:ascii="Tahoma" w:hAnsi="Tahoma"/>
          <w:color w:val="222222"/>
          <w:sz w:val="17"/>
        </w:rPr>
        <w:t>Warren, E., &amp; Tyagi, A. W. (2005). All your worth: The ultimate lifetime money plan. Free Press.</w:t>
      </w:r>
    </w:p>
    <w:p>
      <w:pPr>
        <w:spacing w:before="0" w:after="80"/>
        <w:ind w:left="432" w:hanging="432"/>
      </w:pPr>
      <w:r>
        <w:rPr>
          <w:rFonts w:ascii="Tahoma" w:hAnsi="Tahoma"/>
          <w:color w:val="222222"/>
          <w:sz w:val="17"/>
        </w:rPr>
        <w:t>WealthNX. (2026, March 13). How financial apps use large language models for transaction explanations. WealthNX Blog. https://www.wealthnx.ai/blog/how-financial-apps-use-large-language-models-for-transaction-explanations</w:t>
      </w:r>
    </w:p>
    <w:p>
      <w:pPr>
        <w:spacing w:before="0" w:after="80"/>
        <w:ind w:left="432" w:hanging="432"/>
      </w:pPr>
      <w:r>
        <w:rPr>
          <w:rFonts w:ascii="Tahoma" w:hAnsi="Tahoma"/>
          <w:color w:val="222222"/>
          <w:sz w:val="17"/>
        </w:rPr>
        <w:t>World Economic Forum. (2024). How agentic AI will transform financial services. https://www.weforum.org/stories/2024/12/agentic-ai-financial-services-autonomy-efficiency-and-inclusion/</w:t>
      </w:r>
    </w:p>
    <w:p>
      <w:pPr>
        <w:spacing w:before="0" w:after="80"/>
        <w:ind w:left="432" w:hanging="432"/>
      </w:pPr>
      <w:r>
        <w:rPr>
          <w:rFonts w:ascii="Tahoma" w:hAnsi="Tahoma"/>
          <w:color w:val="222222"/>
          <w:sz w:val="17"/>
        </w:rPr>
        <w:t>ZenML &amp; ANNA. (2025). ANNA: Cost-effective LLM transaction categorization for business banking. ZenML Case Studies. https://www.zenml.io/case-studies/anna-cost-effective-llm</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ahoma" w:hAnsi="Tahoma"/>
        <w:color w:val="666666"/>
        <w:sz w:val="14"/>
      </w:rPr>
      <w:t>SmartSpend Research Verification  |  Lucid Frame  |  Lorma Colleges CCSE BSIT  |  AY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ahoma" w:hAnsi="Tahom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