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80"/>
      </w:tblGrid>
      <w:tr>
        <w:tc>
          <w:tcPr>
            <w:tcW w:type="dxa" w:w="10080"/>
            <w:shd w:val="clear" w:color="auto" w:fill="5C0E24"/>
          </w:tcPr>
          <w:p>
            <w:pPr>
              <w:spacing w:before="120" w:after="40"/>
              <w:jc w:val="center"/>
            </w:pPr>
            <w:r>
              <w:rPr>
                <w:rFonts w:ascii="Tahoma" w:hAnsi="Tahoma"/>
                <w:b/>
                <w:color w:val="FFFFFF"/>
                <w:sz w:val="32"/>
              </w:rPr>
              <w:t>FINANCIAL HEALTH SCORE (FHS)</w:t>
            </w:r>
          </w:p>
          <w:p>
            <w:pPr>
              <w:spacing w:before="0" w:after="120"/>
              <w:jc w:val="center"/>
            </w:pPr>
            <w:r>
              <w:rPr>
                <w:rFonts w:ascii="Tahoma" w:hAnsi="Tahoma"/>
                <w:i/>
                <w:color w:val="FFFFCC"/>
                <w:sz w:val="19"/>
              </w:rPr>
              <w:t>Research Basis, Formula, and Framework Comparison</w:t>
              <w:br/>
              <w:t>SmartSpend — Lucid Frame | Lorma Colleges CCSE BSIT | AY 2026–2027</w:t>
            </w:r>
          </w:p>
        </w:tc>
      </w:tr>
    </w:tbl>
    <w:p>
      <w:pPr>
        <w:spacing w:after="80"/>
      </w:pPr>
    </w:p>
    <w:tbl>
      <w:tblPr>
        <w:tblLook w:firstColumn="1" w:firstRow="1" w:lastColumn="0" w:lastRow="0" w:noHBand="0" w:noVBand="1" w:val="04A0"/>
        <w:tblW w:w="10224" w:type="dxa"/>
        <w:tblBorders>
          <w:top w:val="single" w:sz="4" w:space="0" w:color="5C0E24"/>
          <w:left w:val="single" w:sz="4" w:space="0" w:color="5C0E24"/>
          <w:bottom w:val="single" w:sz="4" w:space="0" w:color="5C0E24"/>
          <w:right w:val="single" w:sz="4" w:space="0" w:color="5C0E24"/>
          <w:insideH w:val="single" w:sz="4" w:space="0" w:color="5C0E24"/>
          <w:insideV w:val="single" w:sz="4" w:space="0" w:color="5C0E24"/>
        </w:tblBorders>
      </w:tblPr>
      <w:tblGrid>
        <w:gridCol w:w="10080"/>
      </w:tblGrid>
      <w:tr>
        <w:tc>
          <w:tcPr>
            <w:tcW w:type="dxa" w:w="10080"/>
            <w:shd w:val="clear" w:color="auto" w:fill="FFF3F5"/>
          </w:tcPr>
          <w:p>
            <w:pPr>
              <w:spacing w:before="100" w:after="100"/>
              <w:jc w:val="left"/>
            </w:pPr>
            <w:r>
              <w:rPr>
                <w:rFonts w:ascii="Tahoma" w:hAnsi="Tahoma"/>
                <w:b w:val="0"/>
                <w:color w:val="5C0E24"/>
                <w:sz w:val="19"/>
              </w:rPr>
              <w:t>📋  PURPOSE OF THIS DOCUMENT</w:t>
              <w:br/>
              <w:t>This document presents the academic and theoretical basis for SmartSpend's Financial Health Score (FHS). It is intended for use by the panel evaluators, thesis adviser, and external validators to verify the scientific grounding of the scoring system before and during the Pre-Final Defense.</w:t>
            </w:r>
          </w:p>
        </w:tc>
      </w:tr>
    </w:tbl>
    <w:p>
      <w:pPr>
        <w:spacing w:after="60"/>
      </w:pPr>
    </w:p>
    <w:p>
      <w:pPr>
        <w:spacing w:before="200" w:after="40"/>
      </w:pPr>
      <w:r>
        <w:rPr>
          <w:rFonts w:ascii="Tahoma" w:hAnsi="Tahoma"/>
          <w:b/>
          <w:color w:val="5C0E24"/>
          <w:sz w:val="24"/>
        </w:rPr>
        <w:t>1.  What is the Financial Health Score (FHS)?</w:t>
      </w:r>
    </w:p>
    <w:p>
      <w:pPr>
        <w:spacing w:before="0" w:after="60"/>
      </w:pPr>
      <w:r>
        <w:rPr>
          <w:rFonts w:ascii="Tahoma" w:hAnsi="Tahoma"/>
          <w:b w:val="0"/>
          <w:i w:val="0"/>
          <w:color w:val="222222"/>
          <w:sz w:val="19"/>
        </w:rPr>
        <w:t>The Financial Health Score is a single numerical indicator (0–100) that measures how well a user is managing their personal finances based entirely on their recorded transaction data. It is computed automatically from the user's actual spending, income, and budgeting behavior — no survey or self-reported answers are required.</w:t>
      </w:r>
    </w:p>
    <w:p>
      <w:pPr>
        <w:spacing w:before="40" w:after="60"/>
      </w:pPr>
      <w:r>
        <w:rPr>
          <w:rFonts w:ascii="Tahoma" w:hAnsi="Tahoma"/>
          <w:b w:val="0"/>
          <w:i w:val="0"/>
          <w:color w:val="222222"/>
          <w:sz w:val="19"/>
        </w:rPr>
        <w:t>The FHS is displayed on the SmartSpend home screen and updates every time the user logs an expense. Users can tap the score card to see a full component-by-component breakdown with plain-language explanations.</w:t>
      </w:r>
    </w:p>
    <w:tbl>
      <w:tblPr>
        <w:tblLook w:firstColumn="1" w:firstRow="1" w:lastColumn="0" w:lastRow="0" w:noHBand="0" w:noVBand="1" w:val="04A0"/>
        <w:tblW w:w="10224"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Pr>
      <w:tblGrid>
        <w:gridCol w:w="10080"/>
      </w:tblGrid>
      <w:tr>
        <w:tc>
          <w:tcPr>
            <w:tcW w:type="dxa" w:w="10080"/>
            <w:shd w:val="clear" w:color="auto" w:fill="EEF4FF"/>
          </w:tcPr>
          <w:p>
            <w:pPr>
              <w:spacing w:before="100" w:after="100"/>
              <w:jc w:val="left"/>
            </w:pPr>
            <w:r>
              <w:rPr>
                <w:rFonts w:ascii="Tahoma" w:hAnsi="Tahoma"/>
                <w:b w:val="0"/>
                <w:color w:val="1A3A6B"/>
                <w:sz w:val="19"/>
              </w:rPr>
              <w:t>💡  KEY DIFFERENTIATOR</w:t>
              <w:br/>
              <w:t>Unlike the CFPB Financial Well-Being Scale (survey-based, 10 questions) or Cleo's proprietary score, SmartSpend's FHS is a behavioral computation — it derives the score entirely from actual transaction records in the local SQLite database, making it objective, real-time, and verifiable.</w:t>
            </w:r>
          </w:p>
        </w:tc>
      </w:tr>
    </w:tbl>
    <w:p>
      <w:pPr>
        <w:spacing w:after="60"/>
      </w:pPr>
    </w:p>
    <w:p>
      <w:pPr>
        <w:spacing w:before="200" w:after="40"/>
      </w:pPr>
      <w:r>
        <w:rPr>
          <w:rFonts w:ascii="Tahoma" w:hAnsi="Tahoma"/>
          <w:b/>
          <w:color w:val="5C0E24"/>
          <w:sz w:val="24"/>
        </w:rPr>
        <w:t>2.  Existing Frameworks This Is Based On</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016"/>
        <w:gridCol w:w="2016"/>
        <w:gridCol w:w="2016"/>
        <w:gridCol w:w="2016"/>
        <w:gridCol w:w="2016"/>
      </w:tblGrid>
      <w:tr>
        <w:tc>
          <w:tcPr>
            <w:tcW w:w="1700" w:type="dxa"/>
            <w:shd w:val="clear" w:color="auto" w:fill="5C0E24"/>
          </w:tcPr>
          <w:p>
            <w:pPr>
              <w:spacing w:before="60" w:after="60"/>
              <w:jc w:val="center"/>
            </w:pPr>
            <w:r>
              <w:rPr>
                <w:rFonts w:ascii="Tahoma" w:hAnsi="Tahoma"/>
                <w:b/>
                <w:color w:val="FFFFFF"/>
                <w:sz w:val="18"/>
              </w:rPr>
              <w:t>Framework</w:t>
            </w:r>
          </w:p>
        </w:tc>
        <w:tc>
          <w:tcPr>
            <w:tcW w:w="1400" w:type="dxa"/>
            <w:shd w:val="clear" w:color="auto" w:fill="5C0E24"/>
          </w:tcPr>
          <w:p>
            <w:pPr>
              <w:spacing w:before="60" w:after="60"/>
              <w:jc w:val="center"/>
            </w:pPr>
            <w:r>
              <w:rPr>
                <w:rFonts w:ascii="Tahoma" w:hAnsi="Tahoma"/>
                <w:b/>
                <w:color w:val="FFFFFF"/>
                <w:sz w:val="18"/>
              </w:rPr>
              <w:t>Publisher</w:t>
            </w:r>
          </w:p>
        </w:tc>
        <w:tc>
          <w:tcPr>
            <w:tcW w:w="700" w:type="dxa"/>
            <w:shd w:val="clear" w:color="auto" w:fill="5C0E24"/>
          </w:tcPr>
          <w:p>
            <w:pPr>
              <w:spacing w:before="60" w:after="60"/>
              <w:jc w:val="center"/>
            </w:pPr>
            <w:r>
              <w:rPr>
                <w:rFonts w:ascii="Tahoma" w:hAnsi="Tahoma"/>
                <w:b/>
                <w:color w:val="FFFFFF"/>
                <w:sz w:val="18"/>
              </w:rPr>
              <w:t>Year</w:t>
            </w:r>
          </w:p>
        </w:tc>
        <w:tc>
          <w:tcPr>
            <w:tcW w:w="3300" w:type="dxa"/>
            <w:shd w:val="clear" w:color="auto" w:fill="5C0E24"/>
          </w:tcPr>
          <w:p>
            <w:pPr>
              <w:spacing w:before="60" w:after="60"/>
              <w:jc w:val="center"/>
            </w:pPr>
            <w:r>
              <w:rPr>
                <w:rFonts w:ascii="Tahoma" w:hAnsi="Tahoma"/>
                <w:b/>
                <w:color w:val="FFFFFF"/>
                <w:sz w:val="18"/>
              </w:rPr>
              <w:t>What It Measures</w:t>
            </w:r>
          </w:p>
        </w:tc>
        <w:tc>
          <w:tcPr>
            <w:tcW w:w="3124" w:type="dxa"/>
            <w:shd w:val="clear" w:color="auto" w:fill="5C0E24"/>
          </w:tcPr>
          <w:p>
            <w:pPr>
              <w:spacing w:before="60" w:after="60"/>
              <w:jc w:val="center"/>
            </w:pPr>
            <w:r>
              <w:rPr>
                <w:rFonts w:ascii="Tahoma" w:hAnsi="Tahoma"/>
                <w:b/>
                <w:color w:val="FFFFFF"/>
                <w:sz w:val="18"/>
              </w:rPr>
              <w:t>How SmartSpend Uses It</w:t>
            </w:r>
          </w:p>
        </w:tc>
      </w:tr>
      <w:tr>
        <w:tc>
          <w:tcPr>
            <w:tcW w:w="1700" w:type="dxa"/>
            <w:shd w:val="clear" w:color="auto" w:fill="FFFFFF"/>
          </w:tcPr>
          <w:p>
            <w:pPr>
              <w:spacing w:before="60" w:after="60"/>
              <w:jc w:val="left"/>
            </w:pPr>
            <w:r>
              <w:rPr>
                <w:rFonts w:ascii="Tahoma" w:hAnsi="Tahoma"/>
                <w:color w:val="222222"/>
                <w:sz w:val="17"/>
              </w:rPr>
              <w:t>FinHealth Score® Toolkit</w:t>
            </w:r>
          </w:p>
        </w:tc>
        <w:tc>
          <w:tcPr>
            <w:tcW w:w="1400" w:type="dxa"/>
            <w:shd w:val="clear" w:color="auto" w:fill="FFFFFF"/>
          </w:tcPr>
          <w:p>
            <w:pPr>
              <w:spacing w:before="60" w:after="60"/>
              <w:jc w:val="left"/>
            </w:pPr>
            <w:r>
              <w:rPr>
                <w:rFonts w:ascii="Tahoma" w:hAnsi="Tahoma"/>
                <w:color w:val="222222"/>
                <w:sz w:val="17"/>
              </w:rPr>
              <w:t>Financial Health Network</w:t>
            </w:r>
          </w:p>
        </w:tc>
        <w:tc>
          <w:tcPr>
            <w:tcW w:w="700" w:type="dxa"/>
            <w:shd w:val="clear" w:color="auto" w:fill="FFFFFF"/>
          </w:tcPr>
          <w:p>
            <w:pPr>
              <w:spacing w:before="60" w:after="60"/>
              <w:jc w:val="left"/>
            </w:pPr>
            <w:r>
              <w:rPr>
                <w:rFonts w:ascii="Tahoma" w:hAnsi="Tahoma"/>
                <w:color w:val="222222"/>
                <w:sz w:val="17"/>
              </w:rPr>
              <w:t>2021 / 2026</w:t>
            </w:r>
          </w:p>
        </w:tc>
        <w:tc>
          <w:tcPr>
            <w:tcW w:w="3300" w:type="dxa"/>
            <w:shd w:val="clear" w:color="auto" w:fill="FFFFFF"/>
          </w:tcPr>
          <w:p>
            <w:pPr>
              <w:spacing w:before="60" w:after="60"/>
              <w:jc w:val="left"/>
            </w:pPr>
            <w:r>
              <w:rPr>
                <w:rFonts w:ascii="Tahoma" w:hAnsi="Tahoma"/>
                <w:color w:val="222222"/>
                <w:sz w:val="17"/>
              </w:rPr>
              <w:t>4 pillars: Spend, Save, Borrow, Plan &amp; Protect — 8 behavioral indicators. Produces a 0–100 score.</w:t>
            </w:r>
          </w:p>
        </w:tc>
        <w:tc>
          <w:tcPr>
            <w:tcW w:w="3124" w:type="dxa"/>
            <w:shd w:val="clear" w:color="auto" w:fill="FFFFFF"/>
          </w:tcPr>
          <w:p>
            <w:pPr>
              <w:spacing w:before="60" w:after="60"/>
              <w:jc w:val="left"/>
            </w:pPr>
            <w:r>
              <w:rPr>
                <w:rFonts w:ascii="Tahoma" w:hAnsi="Tahoma"/>
                <w:color w:val="222222"/>
                <w:sz w:val="17"/>
              </w:rPr>
              <w:t>Primary inspiration. Our Savings Rate component maps directly to the Save pillar; Overspend Control maps to the Spend pillar.</w:t>
            </w:r>
          </w:p>
        </w:tc>
      </w:tr>
      <w:tr>
        <w:tc>
          <w:tcPr>
            <w:tcW w:w="1700" w:type="dxa"/>
            <w:shd w:val="clear" w:color="auto" w:fill="F5F5F5"/>
          </w:tcPr>
          <w:p>
            <w:pPr>
              <w:spacing w:before="60" w:after="60"/>
              <w:jc w:val="left"/>
            </w:pPr>
            <w:r>
              <w:rPr>
                <w:rFonts w:ascii="Tahoma" w:hAnsi="Tahoma"/>
                <w:color w:val="222222"/>
                <w:sz w:val="17"/>
              </w:rPr>
              <w:t>UNSGSA Financial Health Measurement Framework</w:t>
            </w:r>
          </w:p>
        </w:tc>
        <w:tc>
          <w:tcPr>
            <w:tcW w:w="1400" w:type="dxa"/>
            <w:shd w:val="clear" w:color="auto" w:fill="F5F5F5"/>
          </w:tcPr>
          <w:p>
            <w:pPr>
              <w:spacing w:before="60" w:after="60"/>
              <w:jc w:val="left"/>
            </w:pPr>
            <w:r>
              <w:rPr>
                <w:rFonts w:ascii="Tahoma" w:hAnsi="Tahoma"/>
                <w:color w:val="222222"/>
                <w:sz w:val="17"/>
              </w:rPr>
              <w:t>United Nations SGSA</w:t>
            </w:r>
          </w:p>
        </w:tc>
        <w:tc>
          <w:tcPr>
            <w:tcW w:w="700" w:type="dxa"/>
            <w:shd w:val="clear" w:color="auto" w:fill="F5F5F5"/>
          </w:tcPr>
          <w:p>
            <w:pPr>
              <w:spacing w:before="60" w:after="60"/>
              <w:jc w:val="left"/>
            </w:pPr>
            <w:r>
              <w:rPr>
                <w:rFonts w:ascii="Tahoma" w:hAnsi="Tahoma"/>
                <w:color w:val="222222"/>
                <w:sz w:val="17"/>
              </w:rPr>
              <w:t>2021</w:t>
            </w:r>
          </w:p>
        </w:tc>
        <w:tc>
          <w:tcPr>
            <w:tcW w:w="3300" w:type="dxa"/>
            <w:shd w:val="clear" w:color="auto" w:fill="F5F5F5"/>
          </w:tcPr>
          <w:p>
            <w:pPr>
              <w:spacing w:before="60" w:after="60"/>
              <w:jc w:val="left"/>
            </w:pPr>
            <w:r>
              <w:rPr>
                <w:rFonts w:ascii="Tahoma" w:hAnsi="Tahoma"/>
                <w:color w:val="222222"/>
                <w:sz w:val="17"/>
              </w:rPr>
              <w:t>Defines financial health as: meeting current obligations, feeling secure, and having freedom of financial choice.</w:t>
            </w:r>
          </w:p>
        </w:tc>
        <w:tc>
          <w:tcPr>
            <w:tcW w:w="3124" w:type="dxa"/>
            <w:shd w:val="clear" w:color="auto" w:fill="F5F5F5"/>
          </w:tcPr>
          <w:p>
            <w:pPr>
              <w:spacing w:before="60" w:after="60"/>
              <w:jc w:val="left"/>
            </w:pPr>
            <w:r>
              <w:rPr>
                <w:rFonts w:ascii="Tahoma" w:hAnsi="Tahoma"/>
                <w:color w:val="222222"/>
                <w:sz w:val="17"/>
              </w:rPr>
              <w:t>Cited in Chapter 3 as the international framework our FHS is "informed by." The 4-component structure reflects UNSGSA's Spend-Save-Plan emphasis.</w:t>
            </w:r>
          </w:p>
        </w:tc>
      </w:tr>
      <w:tr>
        <w:tc>
          <w:tcPr>
            <w:tcW w:w="1700" w:type="dxa"/>
            <w:shd w:val="clear" w:color="auto" w:fill="FFFFFF"/>
          </w:tcPr>
          <w:p>
            <w:pPr>
              <w:spacing w:before="60" w:after="60"/>
              <w:jc w:val="left"/>
            </w:pPr>
            <w:r>
              <w:rPr>
                <w:rFonts w:ascii="Tahoma" w:hAnsi="Tahoma"/>
                <w:color w:val="222222"/>
                <w:sz w:val="17"/>
              </w:rPr>
              <w:t>CFPB Financial Well-Being Scale</w:t>
            </w:r>
          </w:p>
        </w:tc>
        <w:tc>
          <w:tcPr>
            <w:tcW w:w="1400" w:type="dxa"/>
            <w:shd w:val="clear" w:color="auto" w:fill="FFFFFF"/>
          </w:tcPr>
          <w:p>
            <w:pPr>
              <w:spacing w:before="60" w:after="60"/>
              <w:jc w:val="left"/>
            </w:pPr>
            <w:r>
              <w:rPr>
                <w:rFonts w:ascii="Tahoma" w:hAnsi="Tahoma"/>
                <w:color w:val="222222"/>
                <w:sz w:val="17"/>
              </w:rPr>
              <w:t>Consumer Financial Protection Bureau (USA)</w:t>
            </w:r>
          </w:p>
        </w:tc>
        <w:tc>
          <w:tcPr>
            <w:tcW w:w="700" w:type="dxa"/>
            <w:shd w:val="clear" w:color="auto" w:fill="FFFFFF"/>
          </w:tcPr>
          <w:p>
            <w:pPr>
              <w:spacing w:before="60" w:after="60"/>
              <w:jc w:val="left"/>
            </w:pPr>
            <w:r>
              <w:rPr>
                <w:rFonts w:ascii="Tahoma" w:hAnsi="Tahoma"/>
                <w:color w:val="222222"/>
                <w:sz w:val="17"/>
              </w:rPr>
              <w:t>2017</w:t>
            </w:r>
          </w:p>
        </w:tc>
        <w:tc>
          <w:tcPr>
            <w:tcW w:w="3300" w:type="dxa"/>
            <w:shd w:val="clear" w:color="auto" w:fill="FFFFFF"/>
          </w:tcPr>
          <w:p>
            <w:pPr>
              <w:spacing w:before="60" w:after="60"/>
              <w:jc w:val="left"/>
            </w:pPr>
            <w:r>
              <w:rPr>
                <w:rFonts w:ascii="Tahoma" w:hAnsi="Tahoma"/>
                <w:color w:val="222222"/>
                <w:sz w:val="17"/>
              </w:rPr>
              <w:t>10-item survey producing a 0–100 score. Validated across large US samples.</w:t>
            </w:r>
          </w:p>
        </w:tc>
        <w:tc>
          <w:tcPr>
            <w:tcW w:w="3124" w:type="dxa"/>
            <w:shd w:val="clear" w:color="auto" w:fill="FFFFFF"/>
          </w:tcPr>
          <w:p>
            <w:pPr>
              <w:spacing w:before="60" w:after="60"/>
              <w:jc w:val="left"/>
            </w:pPr>
            <w:r>
              <w:rPr>
                <w:rFonts w:ascii="Tahoma" w:hAnsi="Tahoma"/>
                <w:color w:val="222222"/>
                <w:sz w:val="17"/>
              </w:rPr>
              <w:t>Provides the validated 0–100 scale concept and the definition of financial well-being. SmartSpend replicates the range but uses a transaction-derived Observed FHI — the CFPB scale is a subjective survey instrument and does NOT validate SmartSpend's formula directly.</w:t>
            </w:r>
          </w:p>
        </w:tc>
      </w:tr>
      <w:tr>
        <w:tc>
          <w:tcPr>
            <w:tcW w:w="1700" w:type="dxa"/>
            <w:shd w:val="clear" w:color="auto" w:fill="F5F5F5"/>
          </w:tcPr>
          <w:p>
            <w:pPr>
              <w:spacing w:before="60" w:after="60"/>
              <w:jc w:val="left"/>
            </w:pPr>
            <w:r>
              <w:rPr>
                <w:rFonts w:ascii="Tahoma" w:hAnsi="Tahoma"/>
                <w:color w:val="222222"/>
                <w:sz w:val="17"/>
              </w:rPr>
              <w:t>CBA-MI Observed Financial Well-Being Scale</w:t>
            </w:r>
          </w:p>
        </w:tc>
        <w:tc>
          <w:tcPr>
            <w:tcW w:w="1400" w:type="dxa"/>
            <w:shd w:val="clear" w:color="auto" w:fill="F5F5F5"/>
          </w:tcPr>
          <w:p>
            <w:pPr>
              <w:spacing w:before="60" w:after="60"/>
              <w:jc w:val="left"/>
            </w:pPr>
            <w:r>
              <w:rPr>
                <w:rFonts w:ascii="Tahoma" w:hAnsi="Tahoma"/>
                <w:color w:val="222222"/>
                <w:sz w:val="17"/>
              </w:rPr>
              <w:t>Commonwealth Bank of Australia &amp; Melbourne Institute</w:t>
            </w:r>
          </w:p>
        </w:tc>
        <w:tc>
          <w:tcPr>
            <w:tcW w:w="700" w:type="dxa"/>
            <w:shd w:val="clear" w:color="auto" w:fill="F5F5F5"/>
          </w:tcPr>
          <w:p>
            <w:pPr>
              <w:spacing w:before="60" w:after="60"/>
              <w:jc w:val="left"/>
            </w:pPr>
            <w:r>
              <w:rPr>
                <w:rFonts w:ascii="Tahoma" w:hAnsi="Tahoma"/>
                <w:color w:val="222222"/>
                <w:sz w:val="17"/>
              </w:rPr>
              <w:t>2018</w:t>
            </w:r>
          </w:p>
        </w:tc>
        <w:tc>
          <w:tcPr>
            <w:tcW w:w="3300" w:type="dxa"/>
            <w:shd w:val="clear" w:color="auto" w:fill="F5F5F5"/>
          </w:tcPr>
          <w:p>
            <w:pPr>
              <w:spacing w:before="60" w:after="60"/>
              <w:jc w:val="left"/>
            </w:pPr>
            <w:r>
              <w:rPr>
                <w:rFonts w:ascii="Tahoma" w:hAnsi="Tahoma"/>
                <w:color w:val="222222"/>
                <w:sz w:val="17"/>
              </w:rPr>
              <w:t>Dual-scale model: Reported (subjective, survey-based) vs Observed (administrative/transaction-derived) financial health indicators.</w:t>
            </w:r>
          </w:p>
        </w:tc>
        <w:tc>
          <w:tcPr>
            <w:tcW w:w="3124" w:type="dxa"/>
            <w:shd w:val="clear" w:color="auto" w:fill="F5F5F5"/>
          </w:tcPr>
          <w:p>
            <w:pPr>
              <w:spacing w:before="60" w:after="60"/>
              <w:jc w:val="left"/>
            </w:pPr>
            <w:r>
              <w:rPr>
                <w:rFonts w:ascii="Tahoma" w:hAnsi="Tahoma"/>
                <w:color w:val="222222"/>
                <w:sz w:val="17"/>
              </w:rPr>
              <w:t>SmartSpend's FHS is formally a Prototype Observed FHI per this framework — objective, transaction-derived, not a psychometric survey.</w:t>
            </w:r>
          </w:p>
        </w:tc>
      </w:tr>
      <w:tr>
        <w:tc>
          <w:tcPr>
            <w:tcW w:w="1700" w:type="dxa"/>
            <w:shd w:val="clear" w:color="auto" w:fill="FFFFFF"/>
          </w:tcPr>
          <w:p>
            <w:pPr>
              <w:spacing w:before="60" w:after="60"/>
              <w:jc w:val="left"/>
            </w:pPr>
            <w:r>
              <w:rPr>
                <w:rFonts w:ascii="Tahoma" w:hAnsi="Tahoma"/>
                <w:color w:val="222222"/>
                <w:sz w:val="17"/>
              </w:rPr>
              <w:t>50/30/20 Budgeting Rule</w:t>
            </w:r>
          </w:p>
        </w:tc>
        <w:tc>
          <w:tcPr>
            <w:tcW w:w="1400" w:type="dxa"/>
            <w:shd w:val="clear" w:color="auto" w:fill="FFFFFF"/>
          </w:tcPr>
          <w:p>
            <w:pPr>
              <w:spacing w:before="60" w:after="60"/>
              <w:jc w:val="left"/>
            </w:pPr>
            <w:r>
              <w:rPr>
                <w:rFonts w:ascii="Tahoma" w:hAnsi="Tahoma"/>
                <w:color w:val="222222"/>
                <w:sz w:val="17"/>
              </w:rPr>
              <w:t>Warren &amp; Tyagi (2005)</w:t>
            </w:r>
          </w:p>
        </w:tc>
        <w:tc>
          <w:tcPr>
            <w:tcW w:w="700" w:type="dxa"/>
            <w:shd w:val="clear" w:color="auto" w:fill="FFFFFF"/>
          </w:tcPr>
          <w:p>
            <w:pPr>
              <w:spacing w:before="60" w:after="60"/>
              <w:jc w:val="left"/>
            </w:pPr>
            <w:r>
              <w:rPr>
                <w:rFonts w:ascii="Tahoma" w:hAnsi="Tahoma"/>
                <w:color w:val="222222"/>
                <w:sz w:val="17"/>
              </w:rPr>
              <w:t>2005</w:t>
            </w:r>
          </w:p>
        </w:tc>
        <w:tc>
          <w:tcPr>
            <w:tcW w:w="3300" w:type="dxa"/>
            <w:shd w:val="clear" w:color="auto" w:fill="FFFFFF"/>
          </w:tcPr>
          <w:p>
            <w:pPr>
              <w:spacing w:before="60" w:after="60"/>
              <w:jc w:val="left"/>
            </w:pPr>
            <w:r>
              <w:rPr>
                <w:rFonts w:ascii="Tahoma" w:hAnsi="Tahoma"/>
                <w:color w:val="222222"/>
                <w:sz w:val="17"/>
              </w:rPr>
              <w:t>Allocate 50% of income to Needs, 30% to Wants, 20% to Savings. Simple, widely-cited rule.</w:t>
            </w:r>
          </w:p>
        </w:tc>
        <w:tc>
          <w:tcPr>
            <w:tcW w:w="3124" w:type="dxa"/>
            <w:shd w:val="clear" w:color="auto" w:fill="FFFFFF"/>
          </w:tcPr>
          <w:p>
            <w:pPr>
              <w:spacing w:before="60" w:after="60"/>
              <w:jc w:val="left"/>
            </w:pPr>
            <w:r>
              <w:rPr>
                <w:rFonts w:ascii="Tahoma" w:hAnsi="Tahoma"/>
                <w:color w:val="222222"/>
                <w:sz w:val="17"/>
              </w:rPr>
              <w:t>The 20% savings target is the benchmark for our Savings Rate component (full 25 pts when saving ≥20%).</w:t>
            </w:r>
          </w:p>
        </w:tc>
      </w:tr>
      <w:tr>
        <w:tc>
          <w:tcPr>
            <w:tcW w:w="1700" w:type="dxa"/>
            <w:shd w:val="clear" w:color="auto" w:fill="F5F5F5"/>
          </w:tcPr>
          <w:p>
            <w:pPr>
              <w:spacing w:before="60" w:after="60"/>
              <w:jc w:val="left"/>
            </w:pPr>
            <w:r>
              <w:rPr>
                <w:rFonts w:ascii="Tahoma" w:hAnsi="Tahoma"/>
                <w:color w:val="222222"/>
                <w:sz w:val="17"/>
              </w:rPr>
              <w:t>Zero-Based Budgeting</w:t>
            </w:r>
          </w:p>
        </w:tc>
        <w:tc>
          <w:tcPr>
            <w:tcW w:w="1400" w:type="dxa"/>
            <w:shd w:val="clear" w:color="auto" w:fill="F5F5F5"/>
          </w:tcPr>
          <w:p>
            <w:pPr>
              <w:spacing w:before="60" w:after="60"/>
              <w:jc w:val="left"/>
            </w:pPr>
            <w:r>
              <w:rPr>
                <w:rFonts w:ascii="Tahoma" w:hAnsi="Tahoma"/>
                <w:color w:val="222222"/>
                <w:sz w:val="17"/>
              </w:rPr>
              <w:t>Ramsey (2003)</w:t>
            </w:r>
          </w:p>
        </w:tc>
        <w:tc>
          <w:tcPr>
            <w:tcW w:w="700" w:type="dxa"/>
            <w:shd w:val="clear" w:color="auto" w:fill="F5F5F5"/>
          </w:tcPr>
          <w:p>
            <w:pPr>
              <w:spacing w:before="60" w:after="60"/>
              <w:jc w:val="left"/>
            </w:pPr>
            <w:r>
              <w:rPr>
                <w:rFonts w:ascii="Tahoma" w:hAnsi="Tahoma"/>
                <w:color w:val="222222"/>
                <w:sz w:val="17"/>
              </w:rPr>
              <w:t>2003</w:t>
            </w:r>
          </w:p>
        </w:tc>
        <w:tc>
          <w:tcPr>
            <w:tcW w:w="3300" w:type="dxa"/>
            <w:shd w:val="clear" w:color="auto" w:fill="F5F5F5"/>
          </w:tcPr>
          <w:p>
            <w:pPr>
              <w:spacing w:before="60" w:after="60"/>
              <w:jc w:val="left"/>
            </w:pPr>
            <w:r>
              <w:rPr>
                <w:rFonts w:ascii="Tahoma" w:hAnsi="Tahoma"/>
                <w:color w:val="222222"/>
                <w:sz w:val="17"/>
              </w:rPr>
              <w:t>Assign every peso a purpose. Category budgets are associated with spending restraint.</w:t>
            </w:r>
          </w:p>
        </w:tc>
        <w:tc>
          <w:tcPr>
            <w:tcW w:w="3124" w:type="dxa"/>
            <w:shd w:val="clear" w:color="auto" w:fill="F5F5F5"/>
          </w:tcPr>
          <w:p>
            <w:pPr>
              <w:spacing w:before="60" w:after="60"/>
              <w:jc w:val="left"/>
            </w:pPr>
            <w:r>
              <w:rPr>
                <w:rFonts w:ascii="Tahoma" w:hAnsi="Tahoma"/>
                <w:color w:val="222222"/>
                <w:sz w:val="17"/>
              </w:rPr>
              <w:t>Basis for the Budget Adherence component — exact percentage reductions are treated as directional, not causal, in our local sample.</w:t>
            </w:r>
          </w:p>
        </w:tc>
      </w:tr>
      <w:tr>
        <w:tc>
          <w:tcPr>
            <w:tcW w:w="1700" w:type="dxa"/>
            <w:shd w:val="clear" w:color="auto" w:fill="FFFFFF"/>
          </w:tcPr>
          <w:p>
            <w:pPr>
              <w:spacing w:before="60" w:after="60"/>
              <w:jc w:val="left"/>
            </w:pPr>
            <w:r>
              <w:rPr>
                <w:rFonts w:ascii="Tahoma" w:hAnsi="Tahoma"/>
                <w:color w:val="222222"/>
                <w:sz w:val="17"/>
              </w:rPr>
              <w:t>Behavioral Finance / Nudge Theory</w:t>
            </w:r>
          </w:p>
        </w:tc>
        <w:tc>
          <w:tcPr>
            <w:tcW w:w="1400" w:type="dxa"/>
            <w:shd w:val="clear" w:color="auto" w:fill="FFFFFF"/>
          </w:tcPr>
          <w:p>
            <w:pPr>
              <w:spacing w:before="60" w:after="60"/>
              <w:jc w:val="left"/>
            </w:pPr>
            <w:r>
              <w:rPr>
                <w:rFonts w:ascii="Tahoma" w:hAnsi="Tahoma"/>
                <w:color w:val="222222"/>
                <w:sz w:val="17"/>
              </w:rPr>
              <w:t>Kahneman &amp; Tversky (1979); Thaler &amp; Sunstein (2008)</w:t>
            </w:r>
          </w:p>
        </w:tc>
        <w:tc>
          <w:tcPr>
            <w:tcW w:w="700" w:type="dxa"/>
            <w:shd w:val="clear" w:color="auto" w:fill="FFFFFF"/>
          </w:tcPr>
          <w:p>
            <w:pPr>
              <w:spacing w:before="60" w:after="60"/>
              <w:jc w:val="left"/>
            </w:pPr>
            <w:r>
              <w:rPr>
                <w:rFonts w:ascii="Tahoma" w:hAnsi="Tahoma"/>
                <w:color w:val="222222"/>
                <w:sz w:val="17"/>
              </w:rPr>
              <w:t>1979 / 2008</w:t>
            </w:r>
          </w:p>
        </w:tc>
        <w:tc>
          <w:tcPr>
            <w:tcW w:w="3300" w:type="dxa"/>
            <w:shd w:val="clear" w:color="auto" w:fill="FFFFFF"/>
          </w:tcPr>
          <w:p>
            <w:pPr>
              <w:spacing w:before="60" w:after="60"/>
              <w:jc w:val="left"/>
            </w:pPr>
            <w:r>
              <w:rPr>
                <w:rFonts w:ascii="Tahoma" w:hAnsi="Tahoma"/>
                <w:color w:val="222222"/>
                <w:sz w:val="17"/>
              </w:rPr>
              <w:t>Loss aversion: losses hurt more than equivalent gains. Nudges guide behavior without restricting choice.</w:t>
            </w:r>
          </w:p>
        </w:tc>
        <w:tc>
          <w:tcPr>
            <w:tcW w:w="3124" w:type="dxa"/>
            <w:shd w:val="clear" w:color="auto" w:fill="FFFFFF"/>
          </w:tcPr>
          <w:p>
            <w:pPr>
              <w:spacing w:before="60" w:after="60"/>
              <w:jc w:val="left"/>
            </w:pPr>
            <w:r>
              <w:rPr>
                <w:rFonts w:ascii="Tahoma" w:hAnsi="Tahoma"/>
                <w:color w:val="222222"/>
                <w:sz w:val="17"/>
              </w:rPr>
              <w:t>Warning Decay (score drops when budget warnings are ignored) and Gap Adjustment are behavioral nudges grounded in these frameworks.</w:t>
            </w:r>
          </w:p>
        </w:tc>
      </w:tr>
      <w:tr>
        <w:tc>
          <w:tcPr>
            <w:tcW w:w="1700" w:type="dxa"/>
            <w:shd w:val="clear" w:color="auto" w:fill="F5F5F5"/>
          </w:tcPr>
          <w:p>
            <w:pPr>
              <w:spacing w:before="60" w:after="60"/>
              <w:jc w:val="left"/>
            </w:pPr>
            <w:r>
              <w:rPr>
                <w:rFonts w:ascii="Tahoma" w:hAnsi="Tahoma"/>
                <w:color w:val="222222"/>
                <w:sz w:val="17"/>
              </w:rPr>
              <w:t>Self-Determination Theory (SDT)</w:t>
            </w:r>
          </w:p>
        </w:tc>
        <w:tc>
          <w:tcPr>
            <w:tcW w:w="1400" w:type="dxa"/>
            <w:shd w:val="clear" w:color="auto" w:fill="F5F5F5"/>
          </w:tcPr>
          <w:p>
            <w:pPr>
              <w:spacing w:before="60" w:after="60"/>
              <w:jc w:val="left"/>
            </w:pPr>
            <w:r>
              <w:rPr>
                <w:rFonts w:ascii="Tahoma" w:hAnsi="Tahoma"/>
                <w:color w:val="222222"/>
                <w:sz w:val="17"/>
              </w:rPr>
              <w:t>Deci &amp; Ryan (2000)</w:t>
            </w:r>
          </w:p>
        </w:tc>
        <w:tc>
          <w:tcPr>
            <w:tcW w:w="700" w:type="dxa"/>
            <w:shd w:val="clear" w:color="auto" w:fill="F5F5F5"/>
          </w:tcPr>
          <w:p>
            <w:pPr>
              <w:spacing w:before="60" w:after="60"/>
              <w:jc w:val="left"/>
            </w:pPr>
            <w:r>
              <w:rPr>
                <w:rFonts w:ascii="Tahoma" w:hAnsi="Tahoma"/>
                <w:color w:val="222222"/>
                <w:sz w:val="17"/>
              </w:rPr>
              <w:t>2000</w:t>
            </w:r>
          </w:p>
        </w:tc>
        <w:tc>
          <w:tcPr>
            <w:tcW w:w="3300" w:type="dxa"/>
            <w:shd w:val="clear" w:color="auto" w:fill="F5F5F5"/>
          </w:tcPr>
          <w:p>
            <w:pPr>
              <w:spacing w:before="60" w:after="60"/>
              <w:jc w:val="left"/>
            </w:pPr>
            <w:r>
              <w:rPr>
                <w:rFonts w:ascii="Tahoma" w:hAnsi="Tahoma"/>
                <w:color w:val="222222"/>
                <w:sz w:val="17"/>
              </w:rPr>
              <w:t>Intrinsic motivation sustained by Autonomy, Competence, and Relatedness.</w:t>
            </w:r>
          </w:p>
        </w:tc>
        <w:tc>
          <w:tcPr>
            <w:tcW w:w="3124" w:type="dxa"/>
            <w:shd w:val="clear" w:color="auto" w:fill="F5F5F5"/>
          </w:tcPr>
          <w:p>
            <w:pPr>
              <w:spacing w:before="60" w:after="60"/>
              <w:jc w:val="left"/>
            </w:pPr>
            <w:r>
              <w:rPr>
                <w:rFonts w:ascii="Tahoma" w:hAnsi="Tahoma"/>
                <w:color w:val="222222"/>
                <w:sz w:val="17"/>
              </w:rPr>
              <w:t>Competence → badges/streaks reward growth. Autonomy → non-prescriptive goals. Relatedness → Filipino-first framing.</w:t>
            </w:r>
          </w:p>
        </w:tc>
      </w:tr>
      <w:tr>
        <w:tc>
          <w:tcPr>
            <w:tcW w:w="1700" w:type="dxa"/>
            <w:shd w:val="clear" w:color="auto" w:fill="FFFFFF"/>
          </w:tcPr>
          <w:p>
            <w:pPr>
              <w:spacing w:before="60" w:after="60"/>
              <w:jc w:val="left"/>
            </w:pPr>
            <w:r>
              <w:rPr>
                <w:rFonts w:ascii="Tahoma" w:hAnsi="Tahoma"/>
                <w:color w:val="222222"/>
                <w:sz w:val="17"/>
              </w:rPr>
              <w:t>PLS-SEM Empirical Validation</w:t>
            </w:r>
          </w:p>
        </w:tc>
        <w:tc>
          <w:tcPr>
            <w:tcW w:w="1400" w:type="dxa"/>
            <w:shd w:val="clear" w:color="auto" w:fill="FFFFFF"/>
          </w:tcPr>
          <w:p>
            <w:pPr>
              <w:spacing w:before="60" w:after="60"/>
              <w:jc w:val="left"/>
            </w:pPr>
            <w:r>
              <w:rPr>
                <w:rFonts w:ascii="Tahoma" w:hAnsi="Tahoma"/>
                <w:color w:val="222222"/>
                <w:sz w:val="17"/>
              </w:rPr>
              <w:t>Sharma, Gaba &amp; Sharma (2026) Atlantis Press</w:t>
            </w:r>
          </w:p>
        </w:tc>
        <w:tc>
          <w:tcPr>
            <w:tcW w:w="700" w:type="dxa"/>
            <w:shd w:val="clear" w:color="auto" w:fill="FFFFFF"/>
          </w:tcPr>
          <w:p>
            <w:pPr>
              <w:spacing w:before="60" w:after="60"/>
              <w:jc w:val="left"/>
            </w:pPr>
            <w:r>
              <w:rPr>
                <w:rFonts w:ascii="Tahoma" w:hAnsi="Tahoma"/>
                <w:color w:val="222222"/>
                <w:sz w:val="17"/>
              </w:rPr>
              <w:t>2026</w:t>
            </w:r>
          </w:p>
        </w:tc>
        <w:tc>
          <w:tcPr>
            <w:tcW w:w="3300" w:type="dxa"/>
            <w:shd w:val="clear" w:color="auto" w:fill="FFFFFF"/>
          </w:tcPr>
          <w:p>
            <w:pPr>
              <w:spacing w:before="60" w:after="60"/>
              <w:jc w:val="left"/>
            </w:pPr>
            <w:r>
              <w:rPr>
                <w:rFonts w:ascii="Tahoma" w:hAnsi="Tahoma"/>
                <w:color w:val="222222"/>
                <w:sz w:val="17"/>
              </w:rPr>
              <w:t>N=656 structural model: Nudge β=0.28, Gamification β=0.25 → Financial Intention. PAT moderates well-being (R²=0.56).</w:t>
            </w:r>
          </w:p>
        </w:tc>
        <w:tc>
          <w:tcPr>
            <w:tcW w:w="3124" w:type="dxa"/>
            <w:shd w:val="clear" w:color="auto" w:fill="FFFFFF"/>
          </w:tcPr>
          <w:p>
            <w:pPr>
              <w:spacing w:before="60" w:after="60"/>
              <w:jc w:val="left"/>
            </w:pPr>
            <w:r>
              <w:rPr>
                <w:rFonts w:ascii="Tahoma" w:hAnsi="Tahoma"/>
                <w:color w:val="222222"/>
                <w:sz w:val="17"/>
              </w:rPr>
              <w:t>Provides empirical path coefficients validating why SmartSpend combines nudges, gamification, and FHS explainability.</w:t>
            </w:r>
          </w:p>
        </w:tc>
      </w:tr>
    </w:tbl>
    <w:p>
      <w:pPr>
        <w:spacing w:after="80"/>
      </w:pPr>
    </w:p>
    <w:p>
      <w:pPr>
        <w:spacing w:before="200" w:after="40"/>
      </w:pPr>
      <w:r>
        <w:rPr>
          <w:rFonts w:ascii="Tahoma" w:hAnsi="Tahoma"/>
          <w:b/>
          <w:color w:val="5C0E24"/>
          <w:sz w:val="24"/>
        </w:rPr>
        <w:t>3.  The SmartSpend FHS Formula</w:t>
      </w:r>
    </w:p>
    <w:p>
      <w:pPr>
        <w:spacing w:before="0" w:after="60"/>
      </w:pPr>
      <w:r>
        <w:rPr>
          <w:rFonts w:ascii="Tahoma" w:hAnsi="Tahoma"/>
          <w:b w:val="0"/>
          <w:i w:val="0"/>
          <w:color w:val="222222"/>
          <w:sz w:val="19"/>
        </w:rPr>
        <w:t>The FHS has two modes depending on whether the user has income/wallet tracking enabled. Both modes produce a score from 0 to 100.</w:t>
      </w:r>
    </w:p>
    <w:p>
      <w:pPr>
        <w:spacing w:before="160" w:after="60"/>
      </w:pPr>
      <w:r>
        <w:rPr>
          <w:rFonts w:ascii="Tahoma" w:hAnsi="Tahoma"/>
          <w:b/>
          <w:i w:val="0"/>
          <w:color w:val="1A3A6B"/>
          <w:sz w:val="19"/>
        </w:rPr>
        <w:t>3A.  FULL MODE  (Income Tracking: ON)</w:t>
      </w:r>
    </w:p>
    <w:p>
      <w:pPr>
        <w:spacing w:before="0" w:after="20"/>
      </w:pPr>
      <w:r>
        <w:rPr>
          <w:rFonts w:ascii="Tahoma" w:hAnsi="Tahoma"/>
          <w:b w:val="0"/>
          <w:i w:val="0"/>
          <w:color w:val="666666"/>
          <w:sz w:val="18"/>
        </w:rPr>
        <w:t>Used when the user has entered their monthly income. Score = 4 components × 25 pts each.</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w="300" w:type="dxa"/>
            <w:shd w:val="clear" w:color="auto" w:fill="1A3A6B"/>
          </w:tcPr>
          <w:p>
            <w:pPr>
              <w:spacing w:before="60" w:after="60"/>
              <w:jc w:val="center"/>
            </w:pPr>
            <w:r>
              <w:rPr>
                <w:rFonts w:ascii="Tahoma" w:hAnsi="Tahoma"/>
                <w:b/>
                <w:color w:val="FFFFFF"/>
                <w:sz w:val="18"/>
              </w:rPr>
              <w:t>#</w:t>
            </w:r>
          </w:p>
        </w:tc>
        <w:tc>
          <w:tcPr>
            <w:tcW w:w="1400" w:type="dxa"/>
            <w:shd w:val="clear" w:color="auto" w:fill="1A3A6B"/>
          </w:tcPr>
          <w:p>
            <w:pPr>
              <w:spacing w:before="60" w:after="60"/>
              <w:jc w:val="center"/>
            </w:pPr>
            <w:r>
              <w:rPr>
                <w:rFonts w:ascii="Tahoma" w:hAnsi="Tahoma"/>
                <w:b/>
                <w:color w:val="FFFFFF"/>
                <w:sz w:val="18"/>
              </w:rPr>
              <w:t>Component</w:t>
            </w:r>
          </w:p>
        </w:tc>
        <w:tc>
          <w:tcPr>
            <w:tcW w:w="2000" w:type="dxa"/>
            <w:shd w:val="clear" w:color="auto" w:fill="1A3A6B"/>
          </w:tcPr>
          <w:p>
            <w:pPr>
              <w:spacing w:before="60" w:after="60"/>
              <w:jc w:val="center"/>
            </w:pPr>
            <w:r>
              <w:rPr>
                <w:rFonts w:ascii="Tahoma" w:hAnsi="Tahoma"/>
                <w:b/>
                <w:color w:val="FFFFFF"/>
                <w:sz w:val="18"/>
              </w:rPr>
              <w:t>What It Measures</w:t>
            </w:r>
          </w:p>
        </w:tc>
        <w:tc>
          <w:tcPr>
            <w:tcW w:w="2100" w:type="dxa"/>
            <w:shd w:val="clear" w:color="auto" w:fill="1A3A6B"/>
          </w:tcPr>
          <w:p>
            <w:pPr>
              <w:spacing w:before="60" w:after="60"/>
              <w:jc w:val="center"/>
            </w:pPr>
            <w:r>
              <w:rPr>
                <w:rFonts w:ascii="Tahoma" w:hAnsi="Tahoma"/>
                <w:b/>
                <w:color w:val="FFFFFF"/>
                <w:sz w:val="18"/>
              </w:rPr>
              <w:t>Formula</w:t>
            </w:r>
          </w:p>
        </w:tc>
        <w:tc>
          <w:tcPr>
            <w:tcW w:w="600" w:type="dxa"/>
            <w:shd w:val="clear" w:color="auto" w:fill="1A3A6B"/>
          </w:tcPr>
          <w:p>
            <w:pPr>
              <w:spacing w:before="60" w:after="60"/>
              <w:jc w:val="center"/>
            </w:pPr>
            <w:r>
              <w:rPr>
                <w:rFonts w:ascii="Tahoma" w:hAnsi="Tahoma"/>
                <w:b/>
                <w:color w:val="FFFFFF"/>
                <w:sz w:val="18"/>
              </w:rPr>
              <w:t>Max Pts</w:t>
            </w:r>
          </w:p>
        </w:tc>
        <w:tc>
          <w:tcPr>
            <w:tcW w:w="3000" w:type="dxa"/>
            <w:shd w:val="clear" w:color="auto" w:fill="1A3A6B"/>
          </w:tcPr>
          <w:p>
            <w:pPr>
              <w:spacing w:before="60" w:after="60"/>
              <w:jc w:val="center"/>
            </w:pPr>
            <w:r>
              <w:rPr>
                <w:rFonts w:ascii="Tahoma" w:hAnsi="Tahoma"/>
                <w:b/>
                <w:color w:val="FFFFFF"/>
                <w:sz w:val="18"/>
              </w:rPr>
              <w:t>Research Basis</w:t>
            </w:r>
          </w:p>
        </w:tc>
      </w:tr>
      <w:tr>
        <w:tc>
          <w:tcPr>
            <w:tcW w:w="300" w:type="dxa"/>
            <w:shd w:val="clear" w:color="auto" w:fill="FFFFFF"/>
          </w:tcPr>
          <w:p>
            <w:pPr>
              <w:spacing w:before="60" w:after="60"/>
              <w:jc w:val="left"/>
            </w:pPr>
            <w:r>
              <w:rPr>
                <w:rFonts w:ascii="Tahoma" w:hAnsi="Tahoma"/>
                <w:color w:val="222222"/>
                <w:sz w:val="17"/>
              </w:rPr>
              <w:t>1</w:t>
            </w:r>
          </w:p>
        </w:tc>
        <w:tc>
          <w:tcPr>
            <w:tcW w:w="1400" w:type="dxa"/>
            <w:shd w:val="clear" w:color="auto" w:fill="FFFFFF"/>
          </w:tcPr>
          <w:p>
            <w:pPr>
              <w:spacing w:before="60" w:after="60"/>
              <w:jc w:val="left"/>
            </w:pPr>
            <w:r>
              <w:rPr>
                <w:rFonts w:ascii="Tahoma" w:hAnsi="Tahoma"/>
                <w:color w:val="222222"/>
                <w:sz w:val="17"/>
              </w:rPr>
              <w:t>Savings Rate</w:t>
            </w:r>
          </w:p>
        </w:tc>
        <w:tc>
          <w:tcPr>
            <w:tcW w:w="2000" w:type="dxa"/>
            <w:shd w:val="clear" w:color="auto" w:fill="FFFFFF"/>
          </w:tcPr>
          <w:p>
            <w:pPr>
              <w:spacing w:before="60" w:after="60"/>
              <w:jc w:val="left"/>
            </w:pPr>
            <w:r>
              <w:rPr>
                <w:rFonts w:ascii="Tahoma" w:hAnsi="Tahoma"/>
                <w:color w:val="222222"/>
                <w:sz w:val="17"/>
              </w:rPr>
              <w:t>Are you saving at least 20% of your income this month?</w:t>
            </w:r>
          </w:p>
        </w:tc>
        <w:tc>
          <w:tcPr>
            <w:tcW w:w="2100" w:type="dxa"/>
            <w:shd w:val="clear" w:color="auto" w:fill="FFFFFF"/>
          </w:tcPr>
          <w:p>
            <w:pPr>
              <w:spacing w:before="60" w:after="60"/>
              <w:jc w:val="left"/>
            </w:pPr>
            <w:r>
              <w:rPr>
                <w:rFonts w:ascii="Tahoma" w:hAnsi="Tahoma"/>
                <w:color w:val="222222"/>
                <w:sz w:val="17"/>
              </w:rPr>
              <w:t>25 × min(1, savingsRate ÷ 0.20)</w:t>
              <w:br/>
              <w:t>where savingsRate = (income − spent) ÷ income</w:t>
            </w:r>
          </w:p>
        </w:tc>
        <w:tc>
          <w:tcPr>
            <w:tcW w:w="600" w:type="dxa"/>
            <w:shd w:val="clear" w:color="auto" w:fill="FFFFFF"/>
          </w:tcPr>
          <w:p>
            <w:pPr>
              <w:spacing w:before="60" w:after="60"/>
              <w:jc w:val="left"/>
            </w:pPr>
            <w:r>
              <w:rPr>
                <w:rFonts w:ascii="Tahoma" w:hAnsi="Tahoma"/>
                <w:color w:val="222222"/>
                <w:sz w:val="17"/>
              </w:rPr>
              <w:t>25</w:t>
            </w:r>
          </w:p>
        </w:tc>
        <w:tc>
          <w:tcPr>
            <w:tcW w:w="3000" w:type="dxa"/>
            <w:shd w:val="clear" w:color="auto" w:fill="FFFFFF"/>
          </w:tcPr>
          <w:p>
            <w:pPr>
              <w:spacing w:before="60" w:after="60"/>
              <w:jc w:val="left"/>
            </w:pPr>
            <w:r>
              <w:rPr>
                <w:rFonts w:ascii="Tahoma" w:hAnsi="Tahoma"/>
                <w:color w:val="222222"/>
                <w:sz w:val="17"/>
              </w:rPr>
              <w:t>Warren &amp; Tyagi (2005) — 50/30/20 rule; FHN Save pillar</w:t>
            </w:r>
          </w:p>
        </w:tc>
      </w:tr>
      <w:tr>
        <w:tc>
          <w:tcPr>
            <w:tcW w:w="300" w:type="dxa"/>
            <w:shd w:val="clear" w:color="auto" w:fill="F5F5F5"/>
          </w:tcPr>
          <w:p>
            <w:pPr>
              <w:spacing w:before="60" w:after="60"/>
              <w:jc w:val="left"/>
            </w:pPr>
            <w:r>
              <w:rPr>
                <w:rFonts w:ascii="Tahoma" w:hAnsi="Tahoma"/>
                <w:color w:val="222222"/>
                <w:sz w:val="17"/>
              </w:rPr>
              <w:t>2</w:t>
            </w:r>
          </w:p>
        </w:tc>
        <w:tc>
          <w:tcPr>
            <w:tcW w:w="1400" w:type="dxa"/>
            <w:shd w:val="clear" w:color="auto" w:fill="F5F5F5"/>
          </w:tcPr>
          <w:p>
            <w:pPr>
              <w:spacing w:before="60" w:after="60"/>
              <w:jc w:val="left"/>
            </w:pPr>
            <w:r>
              <w:rPr>
                <w:rFonts w:ascii="Tahoma" w:hAnsi="Tahoma"/>
                <w:color w:val="222222"/>
                <w:sz w:val="17"/>
              </w:rPr>
              <w:t>Overspend Control</w:t>
            </w:r>
          </w:p>
        </w:tc>
        <w:tc>
          <w:tcPr>
            <w:tcW w:w="2000" w:type="dxa"/>
            <w:shd w:val="clear" w:color="auto" w:fill="F5F5F5"/>
          </w:tcPr>
          <w:p>
            <w:pPr>
              <w:spacing w:before="60" w:after="60"/>
              <w:jc w:val="left"/>
            </w:pPr>
            <w:r>
              <w:rPr>
                <w:rFonts w:ascii="Tahoma" w:hAnsi="Tahoma"/>
                <w:color w:val="222222"/>
                <w:sz w:val="17"/>
              </w:rPr>
              <w:t>How many days this month did your spending stay within the daily budget?</w:t>
            </w:r>
          </w:p>
        </w:tc>
        <w:tc>
          <w:tcPr>
            <w:tcW w:w="2100" w:type="dxa"/>
            <w:shd w:val="clear" w:color="auto" w:fill="F5F5F5"/>
          </w:tcPr>
          <w:p>
            <w:pPr>
              <w:spacing w:before="60" w:after="60"/>
              <w:jc w:val="left"/>
            </w:pPr>
            <w:r>
              <w:rPr>
                <w:rFonts w:ascii="Tahoma" w:hAnsi="Tahoma"/>
                <w:color w:val="222222"/>
                <w:sz w:val="17"/>
              </w:rPr>
              <w:t>25 × (1 − overDays ÷ activeDays)</w:t>
              <w:br/>
              <w:t>overDays = days where spending &gt; income ÷ daysInMonth</w:t>
            </w:r>
          </w:p>
        </w:tc>
        <w:tc>
          <w:tcPr>
            <w:tcW w:w="600" w:type="dxa"/>
            <w:shd w:val="clear" w:color="auto" w:fill="F5F5F5"/>
          </w:tcPr>
          <w:p>
            <w:pPr>
              <w:spacing w:before="60" w:after="60"/>
              <w:jc w:val="left"/>
            </w:pPr>
            <w:r>
              <w:rPr>
                <w:rFonts w:ascii="Tahoma" w:hAnsi="Tahoma"/>
                <w:color w:val="222222"/>
                <w:sz w:val="17"/>
              </w:rPr>
              <w:t>25</w:t>
            </w:r>
          </w:p>
        </w:tc>
        <w:tc>
          <w:tcPr>
            <w:tcW w:w="3000" w:type="dxa"/>
            <w:shd w:val="clear" w:color="auto" w:fill="F5F5F5"/>
          </w:tcPr>
          <w:p>
            <w:pPr>
              <w:spacing w:before="60" w:after="60"/>
              <w:jc w:val="left"/>
            </w:pPr>
            <w:r>
              <w:rPr>
                <w:rFonts w:ascii="Tahoma" w:hAnsi="Tahoma"/>
                <w:color w:val="222222"/>
                <w:sz w:val="17"/>
              </w:rPr>
              <w:t>Financial Health Network (2021) — Spend pillar: "spending less than income"</w:t>
            </w:r>
          </w:p>
        </w:tc>
      </w:tr>
      <w:tr>
        <w:tc>
          <w:tcPr>
            <w:tcW w:w="300" w:type="dxa"/>
            <w:shd w:val="clear" w:color="auto" w:fill="FFFFFF"/>
          </w:tcPr>
          <w:p>
            <w:pPr>
              <w:spacing w:before="60" w:after="60"/>
              <w:jc w:val="left"/>
            </w:pPr>
            <w:r>
              <w:rPr>
                <w:rFonts w:ascii="Tahoma" w:hAnsi="Tahoma"/>
                <w:color w:val="222222"/>
                <w:sz w:val="17"/>
              </w:rPr>
              <w:t>3</w:t>
            </w:r>
          </w:p>
        </w:tc>
        <w:tc>
          <w:tcPr>
            <w:tcW w:w="1400" w:type="dxa"/>
            <w:shd w:val="clear" w:color="auto" w:fill="FFFFFF"/>
          </w:tcPr>
          <w:p>
            <w:pPr>
              <w:spacing w:before="60" w:after="60"/>
              <w:jc w:val="left"/>
            </w:pPr>
            <w:r>
              <w:rPr>
                <w:rFonts w:ascii="Tahoma" w:hAnsi="Tahoma"/>
                <w:color w:val="222222"/>
                <w:sz w:val="17"/>
              </w:rPr>
              <w:t>Budget Adherence</w:t>
            </w:r>
          </w:p>
        </w:tc>
        <w:tc>
          <w:tcPr>
            <w:tcW w:w="2000" w:type="dxa"/>
            <w:shd w:val="clear" w:color="auto" w:fill="FFFFFF"/>
          </w:tcPr>
          <w:p>
            <w:pPr>
              <w:spacing w:before="60" w:after="60"/>
              <w:jc w:val="left"/>
            </w:pPr>
            <w:r>
              <w:rPr>
                <w:rFonts w:ascii="Tahoma" w:hAnsi="Tahoma"/>
                <w:color w:val="222222"/>
                <w:sz w:val="17"/>
              </w:rPr>
              <w:t>What percentage of your category budgets are on track?</w:t>
            </w:r>
          </w:p>
        </w:tc>
        <w:tc>
          <w:tcPr>
            <w:tcW w:w="2100" w:type="dxa"/>
            <w:shd w:val="clear" w:color="auto" w:fill="FFFFFF"/>
          </w:tcPr>
          <w:p>
            <w:pPr>
              <w:spacing w:before="60" w:after="60"/>
              <w:jc w:val="left"/>
            </w:pPr>
            <w:r>
              <w:rPr>
                <w:rFonts w:ascii="Tahoma" w:hAnsi="Tahoma"/>
                <w:color w:val="222222"/>
                <w:sz w:val="17"/>
              </w:rPr>
              <w:t>25 × (onBudgetCategories ÷ totalBudgetCategories)</w:t>
              <w:br/>
              <w:t>Full 25 pts if no budgets set</w:t>
            </w:r>
          </w:p>
        </w:tc>
        <w:tc>
          <w:tcPr>
            <w:tcW w:w="600" w:type="dxa"/>
            <w:shd w:val="clear" w:color="auto" w:fill="FFFFFF"/>
          </w:tcPr>
          <w:p>
            <w:pPr>
              <w:spacing w:before="60" w:after="60"/>
              <w:jc w:val="left"/>
            </w:pPr>
            <w:r>
              <w:rPr>
                <w:rFonts w:ascii="Tahoma" w:hAnsi="Tahoma"/>
                <w:color w:val="222222"/>
                <w:sz w:val="17"/>
              </w:rPr>
              <w:t>25</w:t>
            </w:r>
          </w:p>
        </w:tc>
        <w:tc>
          <w:tcPr>
            <w:tcW w:w="3000" w:type="dxa"/>
            <w:shd w:val="clear" w:color="auto" w:fill="FFFFFF"/>
          </w:tcPr>
          <w:p>
            <w:pPr>
              <w:spacing w:before="60" w:after="60"/>
              <w:jc w:val="left"/>
            </w:pPr>
            <w:r>
              <w:rPr>
                <w:rFonts w:ascii="Tahoma" w:hAnsi="Tahoma"/>
                <w:color w:val="222222"/>
                <w:sz w:val="17"/>
              </w:rPr>
              <w:t>Ramsey (2003) zero-based budgeting; YNAB research (−32% overspend with category budgets)</w:t>
            </w:r>
          </w:p>
        </w:tc>
      </w:tr>
      <w:tr>
        <w:tc>
          <w:tcPr>
            <w:tcW w:w="300" w:type="dxa"/>
            <w:shd w:val="clear" w:color="auto" w:fill="F5F5F5"/>
          </w:tcPr>
          <w:p>
            <w:pPr>
              <w:spacing w:before="60" w:after="60"/>
              <w:jc w:val="left"/>
            </w:pPr>
            <w:r>
              <w:rPr>
                <w:rFonts w:ascii="Tahoma" w:hAnsi="Tahoma"/>
                <w:color w:val="222222"/>
                <w:sz w:val="17"/>
              </w:rPr>
              <w:t>4</w:t>
            </w:r>
          </w:p>
        </w:tc>
        <w:tc>
          <w:tcPr>
            <w:tcW w:w="1400" w:type="dxa"/>
            <w:shd w:val="clear" w:color="auto" w:fill="F5F5F5"/>
          </w:tcPr>
          <w:p>
            <w:pPr>
              <w:spacing w:before="60" w:after="60"/>
              <w:jc w:val="left"/>
            </w:pPr>
            <w:r>
              <w:rPr>
                <w:rFonts w:ascii="Tahoma" w:hAnsi="Tahoma"/>
                <w:color w:val="222222"/>
                <w:sz w:val="17"/>
              </w:rPr>
              <w:t>Logging Consistency</w:t>
            </w:r>
          </w:p>
        </w:tc>
        <w:tc>
          <w:tcPr>
            <w:tcW w:w="2000" w:type="dxa"/>
            <w:shd w:val="clear" w:color="auto" w:fill="F5F5F5"/>
          </w:tcPr>
          <w:p>
            <w:pPr>
              <w:spacing w:before="60" w:after="60"/>
              <w:jc w:val="left"/>
            </w:pPr>
            <w:r>
              <w:rPr>
                <w:rFonts w:ascii="Tahoma" w:hAnsi="Tahoma"/>
                <w:color w:val="222222"/>
                <w:sz w:val="17"/>
              </w:rPr>
              <w:t>How regularly are you recording expenses this month?</w:t>
            </w:r>
          </w:p>
        </w:tc>
        <w:tc>
          <w:tcPr>
            <w:tcW w:w="2100" w:type="dxa"/>
            <w:shd w:val="clear" w:color="auto" w:fill="F5F5F5"/>
          </w:tcPr>
          <w:p>
            <w:pPr>
              <w:spacing w:before="60" w:after="60"/>
              <w:jc w:val="left"/>
            </w:pPr>
            <w:r>
              <w:rPr>
                <w:rFonts w:ascii="Tahoma" w:hAnsi="Tahoma"/>
                <w:color w:val="222222"/>
                <w:sz w:val="17"/>
              </w:rPr>
              <w:t>25 × (loggedDays ÷ activeDays)</w:t>
              <w:br/>
              <w:t>Scoped to current month only</w:t>
            </w:r>
          </w:p>
        </w:tc>
        <w:tc>
          <w:tcPr>
            <w:tcW w:w="600" w:type="dxa"/>
            <w:shd w:val="clear" w:color="auto" w:fill="F5F5F5"/>
          </w:tcPr>
          <w:p>
            <w:pPr>
              <w:spacing w:before="60" w:after="60"/>
              <w:jc w:val="left"/>
            </w:pPr>
            <w:r>
              <w:rPr>
                <w:rFonts w:ascii="Tahoma" w:hAnsi="Tahoma"/>
                <w:color w:val="222222"/>
                <w:sz w:val="17"/>
              </w:rPr>
              <w:t>25</w:t>
            </w:r>
          </w:p>
        </w:tc>
        <w:tc>
          <w:tcPr>
            <w:tcW w:w="3000" w:type="dxa"/>
            <w:shd w:val="clear" w:color="auto" w:fill="F5F5F5"/>
          </w:tcPr>
          <w:p>
            <w:pPr>
              <w:spacing w:before="60" w:after="60"/>
              <w:jc w:val="left"/>
            </w:pPr>
            <w:r>
              <w:rPr>
                <w:rFonts w:ascii="Tahoma" w:hAnsi="Tahoma"/>
                <w:color w:val="222222"/>
                <w:sz w:val="17"/>
              </w:rPr>
              <w:t>Mindfulsuite (2026): consistent tracking reduces discretionary spending 10–20%; Thaler &amp; Sunstein (2008)</w:t>
            </w:r>
          </w:p>
        </w:tc>
      </w:tr>
    </w:tbl>
    <w:p>
      <w:pPr>
        <w:spacing w:after="80"/>
      </w:pPr>
    </w:p>
    <w:p>
      <w:pPr>
        <w:spacing w:before="160" w:after="60"/>
      </w:pPr>
      <w:r>
        <w:rPr>
          <w:rFonts w:ascii="Tahoma" w:hAnsi="Tahoma"/>
          <w:b/>
          <w:i w:val="0"/>
          <w:color w:val="1A6B3A"/>
          <w:sz w:val="19"/>
        </w:rPr>
        <w:t>3B.  LIGHTWEIGHT MODE  (Income Tracking: OFF)</w:t>
      </w:r>
    </w:p>
    <w:p>
      <w:pPr>
        <w:spacing w:before="0" w:after="20"/>
      </w:pPr>
      <w:r>
        <w:rPr>
          <w:rFonts w:ascii="Tahoma" w:hAnsi="Tahoma"/>
          <w:b w:val="0"/>
          <w:i w:val="0"/>
          <w:color w:val="666666"/>
          <w:sz w:val="18"/>
        </w:rPr>
        <w:t>Used when the user does not track income — for students, freelancers, or informal workers without a fixed monthly income. Score adapts to spending habits only.</w:t>
      </w:r>
    </w:p>
    <w:p>
      <w:pPr>
        <w:spacing w:before="0" w:after="60"/>
      </w:pPr>
      <w:r>
        <w:rPr>
          <w:rFonts w:ascii="Tahoma" w:hAnsi="Tahoma"/>
          <w:b w:val="0"/>
          <w:i/>
          <w:color w:val="666666"/>
          <w:sz w:val="18"/>
        </w:rPr>
        <w:t>Basis: Financial Health Network (2021) explicitly states that financial health metrics must adapt to diverse income structures. Not all Filipinos have fixed monthly incomes.</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w="300" w:type="dxa"/>
            <w:shd w:val="clear" w:color="auto" w:fill="1A6B3A"/>
          </w:tcPr>
          <w:p>
            <w:pPr>
              <w:spacing w:before="60" w:after="60"/>
              <w:jc w:val="center"/>
            </w:pPr>
            <w:r>
              <w:rPr>
                <w:rFonts w:ascii="Tahoma" w:hAnsi="Tahoma"/>
                <w:b/>
                <w:color w:val="FFFFFF"/>
                <w:sz w:val="18"/>
              </w:rPr>
              <w:t>#</w:t>
            </w:r>
          </w:p>
        </w:tc>
        <w:tc>
          <w:tcPr>
            <w:tcW w:w="1400" w:type="dxa"/>
            <w:shd w:val="clear" w:color="auto" w:fill="1A6B3A"/>
          </w:tcPr>
          <w:p>
            <w:pPr>
              <w:spacing w:before="60" w:after="60"/>
              <w:jc w:val="center"/>
            </w:pPr>
            <w:r>
              <w:rPr>
                <w:rFonts w:ascii="Tahoma" w:hAnsi="Tahoma"/>
                <w:b/>
                <w:color w:val="FFFFFF"/>
                <w:sz w:val="18"/>
              </w:rPr>
              <w:t>Component</w:t>
            </w:r>
          </w:p>
        </w:tc>
        <w:tc>
          <w:tcPr>
            <w:tcW w:w="2000" w:type="dxa"/>
            <w:shd w:val="clear" w:color="auto" w:fill="1A6B3A"/>
          </w:tcPr>
          <w:p>
            <w:pPr>
              <w:spacing w:before="60" w:after="60"/>
              <w:jc w:val="center"/>
            </w:pPr>
            <w:r>
              <w:rPr>
                <w:rFonts w:ascii="Tahoma" w:hAnsi="Tahoma"/>
                <w:b/>
                <w:color w:val="FFFFFF"/>
                <w:sz w:val="18"/>
              </w:rPr>
              <w:t>What It Measures</w:t>
            </w:r>
          </w:p>
        </w:tc>
        <w:tc>
          <w:tcPr>
            <w:tcW w:w="2100" w:type="dxa"/>
            <w:shd w:val="clear" w:color="auto" w:fill="1A6B3A"/>
          </w:tcPr>
          <w:p>
            <w:pPr>
              <w:spacing w:before="60" w:after="60"/>
              <w:jc w:val="center"/>
            </w:pPr>
            <w:r>
              <w:rPr>
                <w:rFonts w:ascii="Tahoma" w:hAnsi="Tahoma"/>
                <w:b/>
                <w:color w:val="FFFFFF"/>
                <w:sz w:val="18"/>
              </w:rPr>
              <w:t>Formula</w:t>
            </w:r>
          </w:p>
        </w:tc>
        <w:tc>
          <w:tcPr>
            <w:tcW w:w="600" w:type="dxa"/>
            <w:shd w:val="clear" w:color="auto" w:fill="1A6B3A"/>
          </w:tcPr>
          <w:p>
            <w:pPr>
              <w:spacing w:before="60" w:after="60"/>
              <w:jc w:val="center"/>
            </w:pPr>
            <w:r>
              <w:rPr>
                <w:rFonts w:ascii="Tahoma" w:hAnsi="Tahoma"/>
                <w:b/>
                <w:color w:val="FFFFFF"/>
                <w:sz w:val="18"/>
              </w:rPr>
              <w:t>Max Pts</w:t>
            </w:r>
          </w:p>
        </w:tc>
        <w:tc>
          <w:tcPr>
            <w:tcW w:w="3000" w:type="dxa"/>
            <w:shd w:val="clear" w:color="auto" w:fill="1A6B3A"/>
          </w:tcPr>
          <w:p>
            <w:pPr>
              <w:spacing w:before="60" w:after="60"/>
              <w:jc w:val="center"/>
            </w:pPr>
            <w:r>
              <w:rPr>
                <w:rFonts w:ascii="Tahoma" w:hAnsi="Tahoma"/>
                <w:b/>
                <w:color w:val="FFFFFF"/>
                <w:sz w:val="18"/>
              </w:rPr>
              <w:t>Research Basis</w:t>
            </w:r>
          </w:p>
        </w:tc>
      </w:tr>
      <w:tr>
        <w:tc>
          <w:tcPr>
            <w:tcW w:w="300" w:type="dxa"/>
            <w:shd w:val="clear" w:color="auto" w:fill="FFFFFF"/>
          </w:tcPr>
          <w:p>
            <w:pPr>
              <w:spacing w:before="60" w:after="60"/>
              <w:jc w:val="left"/>
            </w:pPr>
            <w:r>
              <w:rPr>
                <w:rFonts w:ascii="Tahoma" w:hAnsi="Tahoma"/>
                <w:color w:val="222222"/>
                <w:sz w:val="17"/>
              </w:rPr>
              <w:t>1</w:t>
            </w:r>
          </w:p>
        </w:tc>
        <w:tc>
          <w:tcPr>
            <w:tcW w:w="1400" w:type="dxa"/>
            <w:shd w:val="clear" w:color="auto" w:fill="FFFFFF"/>
          </w:tcPr>
          <w:p>
            <w:pPr>
              <w:spacing w:before="60" w:after="60"/>
              <w:jc w:val="left"/>
            </w:pPr>
            <w:r>
              <w:rPr>
                <w:rFonts w:ascii="Tahoma" w:hAnsi="Tahoma"/>
                <w:color w:val="222222"/>
                <w:sz w:val="17"/>
              </w:rPr>
              <w:t>Spending Restraint</w:t>
            </w:r>
          </w:p>
        </w:tc>
        <w:tc>
          <w:tcPr>
            <w:tcW w:w="2000" w:type="dxa"/>
            <w:shd w:val="clear" w:color="auto" w:fill="FFFFFF"/>
          </w:tcPr>
          <w:p>
            <w:pPr>
              <w:spacing w:before="60" w:after="60"/>
              <w:jc w:val="left"/>
            </w:pPr>
            <w:r>
              <w:rPr>
                <w:rFonts w:ascii="Tahoma" w:hAnsi="Tahoma"/>
                <w:color w:val="222222"/>
                <w:sz w:val="17"/>
              </w:rPr>
              <w:t>Are you staying within your self-set spending limit?</w:t>
            </w:r>
          </w:p>
        </w:tc>
        <w:tc>
          <w:tcPr>
            <w:tcW w:w="2100" w:type="dxa"/>
            <w:shd w:val="clear" w:color="auto" w:fill="FFFFFF"/>
          </w:tcPr>
          <w:p>
            <w:pPr>
              <w:spacing w:before="60" w:after="60"/>
              <w:jc w:val="left"/>
            </w:pPr>
            <w:r>
              <w:rPr>
                <w:rFonts w:ascii="Tahoma" w:hAnsi="Tahoma"/>
                <w:color w:val="222222"/>
                <w:sz w:val="17"/>
              </w:rPr>
              <w:t>Full 25 pts at ≤80% of limit; scales to 0 at 2× limit</w:t>
              <w:br/>
              <w:t>Fallback: Want/Need ratio if no limit set</w:t>
            </w:r>
          </w:p>
        </w:tc>
        <w:tc>
          <w:tcPr>
            <w:tcW w:w="600" w:type="dxa"/>
            <w:shd w:val="clear" w:color="auto" w:fill="FFFFFF"/>
          </w:tcPr>
          <w:p>
            <w:pPr>
              <w:spacing w:before="60" w:after="60"/>
              <w:jc w:val="left"/>
            </w:pPr>
            <w:r>
              <w:rPr>
                <w:rFonts w:ascii="Tahoma" w:hAnsi="Tahoma"/>
                <w:color w:val="222222"/>
                <w:sz w:val="17"/>
              </w:rPr>
              <w:t>25</w:t>
            </w:r>
          </w:p>
        </w:tc>
        <w:tc>
          <w:tcPr>
            <w:tcW w:w="3000" w:type="dxa"/>
            <w:shd w:val="clear" w:color="auto" w:fill="FFFFFF"/>
          </w:tcPr>
          <w:p>
            <w:pPr>
              <w:spacing w:before="60" w:after="60"/>
              <w:jc w:val="left"/>
            </w:pPr>
            <w:r>
              <w:rPr>
                <w:rFonts w:ascii="Tahoma" w:hAnsi="Tahoma"/>
                <w:color w:val="222222"/>
                <w:sz w:val="17"/>
              </w:rPr>
              <w:t>Ramsey (2003); BSP (2021): budget-setting behavior</w:t>
            </w:r>
          </w:p>
        </w:tc>
      </w:tr>
      <w:tr>
        <w:tc>
          <w:tcPr>
            <w:tcW w:w="300" w:type="dxa"/>
            <w:shd w:val="clear" w:color="auto" w:fill="F5F5F5"/>
          </w:tcPr>
          <w:p>
            <w:pPr>
              <w:spacing w:before="60" w:after="60"/>
              <w:jc w:val="left"/>
            </w:pPr>
            <w:r>
              <w:rPr>
                <w:rFonts w:ascii="Tahoma" w:hAnsi="Tahoma"/>
                <w:color w:val="222222"/>
                <w:sz w:val="17"/>
              </w:rPr>
              <w:t>2</w:t>
            </w:r>
          </w:p>
        </w:tc>
        <w:tc>
          <w:tcPr>
            <w:tcW w:w="1400" w:type="dxa"/>
            <w:shd w:val="clear" w:color="auto" w:fill="F5F5F5"/>
          </w:tcPr>
          <w:p>
            <w:pPr>
              <w:spacing w:before="60" w:after="60"/>
              <w:jc w:val="left"/>
            </w:pPr>
            <w:r>
              <w:rPr>
                <w:rFonts w:ascii="Tahoma" w:hAnsi="Tahoma"/>
                <w:color w:val="222222"/>
                <w:sz w:val="17"/>
              </w:rPr>
              <w:t>Logging Consistency</w:t>
            </w:r>
          </w:p>
        </w:tc>
        <w:tc>
          <w:tcPr>
            <w:tcW w:w="2000" w:type="dxa"/>
            <w:shd w:val="clear" w:color="auto" w:fill="F5F5F5"/>
          </w:tcPr>
          <w:p>
            <w:pPr>
              <w:spacing w:before="60" w:after="60"/>
              <w:jc w:val="left"/>
            </w:pPr>
            <w:r>
              <w:rPr>
                <w:rFonts w:ascii="Tahoma" w:hAnsi="Tahoma"/>
                <w:color w:val="222222"/>
                <w:sz w:val="17"/>
              </w:rPr>
              <w:t>How regularly are you recording expenses?</w:t>
            </w:r>
          </w:p>
        </w:tc>
        <w:tc>
          <w:tcPr>
            <w:tcW w:w="2100" w:type="dxa"/>
            <w:shd w:val="clear" w:color="auto" w:fill="F5F5F5"/>
          </w:tcPr>
          <w:p>
            <w:pPr>
              <w:spacing w:before="60" w:after="60"/>
              <w:jc w:val="left"/>
            </w:pPr>
            <w:r>
              <w:rPr>
                <w:rFonts w:ascii="Tahoma" w:hAnsi="Tahoma"/>
                <w:color w:val="222222"/>
                <w:sz w:val="17"/>
              </w:rPr>
              <w:t>Same formula as Full Mode:</w:t>
              <w:br/>
              <w:t>25 × (loggedDays ÷ activeDays)</w:t>
            </w:r>
          </w:p>
        </w:tc>
        <w:tc>
          <w:tcPr>
            <w:tcW w:w="600" w:type="dxa"/>
            <w:shd w:val="clear" w:color="auto" w:fill="F5F5F5"/>
          </w:tcPr>
          <w:p>
            <w:pPr>
              <w:spacing w:before="60" w:after="60"/>
              <w:jc w:val="left"/>
            </w:pPr>
            <w:r>
              <w:rPr>
                <w:rFonts w:ascii="Tahoma" w:hAnsi="Tahoma"/>
                <w:color w:val="222222"/>
                <w:sz w:val="17"/>
              </w:rPr>
              <w:t>25</w:t>
            </w:r>
          </w:p>
        </w:tc>
        <w:tc>
          <w:tcPr>
            <w:tcW w:w="3000" w:type="dxa"/>
            <w:shd w:val="clear" w:color="auto" w:fill="F5F5F5"/>
          </w:tcPr>
          <w:p>
            <w:pPr>
              <w:spacing w:before="60" w:after="60"/>
              <w:jc w:val="left"/>
            </w:pPr>
            <w:r>
              <w:rPr>
                <w:rFonts w:ascii="Tahoma" w:hAnsi="Tahoma"/>
                <w:color w:val="222222"/>
                <w:sz w:val="17"/>
              </w:rPr>
              <w:t>Thaler &amp; Sunstein (2008); Mindfulsuite (2026)</w:t>
            </w:r>
          </w:p>
        </w:tc>
      </w:tr>
      <w:tr>
        <w:tc>
          <w:tcPr>
            <w:tcW w:w="300" w:type="dxa"/>
            <w:shd w:val="clear" w:color="auto" w:fill="FFFFFF"/>
          </w:tcPr>
          <w:p>
            <w:pPr>
              <w:spacing w:before="60" w:after="60"/>
              <w:jc w:val="left"/>
            </w:pPr>
            <w:r>
              <w:rPr>
                <w:rFonts w:ascii="Tahoma" w:hAnsi="Tahoma"/>
                <w:color w:val="222222"/>
                <w:sz w:val="17"/>
              </w:rPr>
              <w:t>3</w:t>
            </w:r>
          </w:p>
        </w:tc>
        <w:tc>
          <w:tcPr>
            <w:tcW w:w="1400" w:type="dxa"/>
            <w:shd w:val="clear" w:color="auto" w:fill="FFFFFF"/>
          </w:tcPr>
          <w:p>
            <w:pPr>
              <w:spacing w:before="60" w:after="60"/>
              <w:jc w:val="left"/>
            </w:pPr>
            <w:r>
              <w:rPr>
                <w:rFonts w:ascii="Tahoma" w:hAnsi="Tahoma"/>
                <w:color w:val="222222"/>
                <w:sz w:val="17"/>
              </w:rPr>
              <w:t>Category Balance</w:t>
            </w:r>
          </w:p>
        </w:tc>
        <w:tc>
          <w:tcPr>
            <w:tcW w:w="2000" w:type="dxa"/>
            <w:shd w:val="clear" w:color="auto" w:fill="FFFFFF"/>
          </w:tcPr>
          <w:p>
            <w:pPr>
              <w:spacing w:before="60" w:after="60"/>
              <w:jc w:val="left"/>
            </w:pPr>
            <w:r>
              <w:rPr>
                <w:rFonts w:ascii="Tahoma" w:hAnsi="Tahoma"/>
                <w:color w:val="222222"/>
                <w:sz w:val="17"/>
              </w:rPr>
              <w:t>Is your spending spread across multiple categories, or concentrated in one?</w:t>
            </w:r>
          </w:p>
        </w:tc>
        <w:tc>
          <w:tcPr>
            <w:tcW w:w="2100" w:type="dxa"/>
            <w:shd w:val="clear" w:color="auto" w:fill="FFFFFF"/>
          </w:tcPr>
          <w:p>
            <w:pPr>
              <w:spacing w:before="60" w:after="60"/>
              <w:jc w:val="left"/>
            </w:pPr>
            <w:r>
              <w:rPr>
                <w:rFonts w:ascii="Tahoma" w:hAnsi="Tahoma"/>
                <w:color w:val="222222"/>
                <w:sz w:val="17"/>
              </w:rPr>
              <w:t>Full 25 pts when top category ≤40%</w:t>
              <w:br/>
              <w:t>Scales to 0 when one category = 100%</w:t>
            </w:r>
          </w:p>
        </w:tc>
        <w:tc>
          <w:tcPr>
            <w:tcW w:w="600" w:type="dxa"/>
            <w:shd w:val="clear" w:color="auto" w:fill="FFFFFF"/>
          </w:tcPr>
          <w:p>
            <w:pPr>
              <w:spacing w:before="60" w:after="60"/>
              <w:jc w:val="left"/>
            </w:pPr>
            <w:r>
              <w:rPr>
                <w:rFonts w:ascii="Tahoma" w:hAnsi="Tahoma"/>
                <w:color w:val="222222"/>
                <w:sz w:val="17"/>
              </w:rPr>
              <w:t>25</w:t>
            </w:r>
          </w:p>
        </w:tc>
        <w:tc>
          <w:tcPr>
            <w:tcW w:w="3000" w:type="dxa"/>
            <w:shd w:val="clear" w:color="auto" w:fill="FFFFFF"/>
          </w:tcPr>
          <w:p>
            <w:pPr>
              <w:spacing w:before="60" w:after="60"/>
              <w:jc w:val="left"/>
            </w:pPr>
            <w:r>
              <w:rPr>
                <w:rFonts w:ascii="Tahoma" w:hAnsi="Tahoma"/>
                <w:color w:val="222222"/>
                <w:sz w:val="17"/>
              </w:rPr>
              <w:t>Financial Health Network (2021) — spending diversification</w:t>
            </w:r>
          </w:p>
        </w:tc>
      </w:tr>
      <w:tr>
        <w:tc>
          <w:tcPr>
            <w:tcW w:w="300" w:type="dxa"/>
            <w:shd w:val="clear" w:color="auto" w:fill="F5F5F5"/>
          </w:tcPr>
          <w:p>
            <w:pPr>
              <w:spacing w:before="60" w:after="60"/>
              <w:jc w:val="left"/>
            </w:pPr>
            <w:r>
              <w:rPr>
                <w:rFonts w:ascii="Tahoma" w:hAnsi="Tahoma"/>
                <w:color w:val="222222"/>
                <w:sz w:val="17"/>
              </w:rPr>
              <w:t>4</w:t>
            </w:r>
          </w:p>
        </w:tc>
        <w:tc>
          <w:tcPr>
            <w:tcW w:w="1400" w:type="dxa"/>
            <w:shd w:val="clear" w:color="auto" w:fill="F5F5F5"/>
          </w:tcPr>
          <w:p>
            <w:pPr>
              <w:spacing w:before="60" w:after="60"/>
              <w:jc w:val="left"/>
            </w:pPr>
            <w:r>
              <w:rPr>
                <w:rFonts w:ascii="Tahoma" w:hAnsi="Tahoma"/>
                <w:color w:val="222222"/>
                <w:sz w:val="17"/>
              </w:rPr>
              <w:t>Habit Streak</w:t>
            </w:r>
          </w:p>
        </w:tc>
        <w:tc>
          <w:tcPr>
            <w:tcW w:w="2000" w:type="dxa"/>
            <w:shd w:val="clear" w:color="auto" w:fill="F5F5F5"/>
          </w:tcPr>
          <w:p>
            <w:pPr>
              <w:spacing w:before="60" w:after="60"/>
              <w:jc w:val="left"/>
            </w:pPr>
            <w:r>
              <w:rPr>
                <w:rFonts w:ascii="Tahoma" w:hAnsi="Tahoma"/>
                <w:color w:val="222222"/>
                <w:sz w:val="17"/>
              </w:rPr>
              <w:t>How many consecutive days have you logged at least one expense?</w:t>
            </w:r>
          </w:p>
        </w:tc>
        <w:tc>
          <w:tcPr>
            <w:tcW w:w="2100" w:type="dxa"/>
            <w:shd w:val="clear" w:color="auto" w:fill="F5F5F5"/>
          </w:tcPr>
          <w:p>
            <w:pPr>
              <w:spacing w:before="60" w:after="60"/>
              <w:jc w:val="left"/>
            </w:pPr>
            <w:r>
              <w:rPr>
                <w:rFonts w:ascii="Tahoma" w:hAnsi="Tahoma"/>
                <w:color w:val="222222"/>
                <w:sz w:val="17"/>
              </w:rPr>
              <w:t>25 × (streak ÷ 14)</w:t>
              <w:br/>
              <w:t>Full 25 pts at 14-day streak</w:t>
            </w:r>
          </w:p>
        </w:tc>
        <w:tc>
          <w:tcPr>
            <w:tcW w:w="600" w:type="dxa"/>
            <w:shd w:val="clear" w:color="auto" w:fill="F5F5F5"/>
          </w:tcPr>
          <w:p>
            <w:pPr>
              <w:spacing w:before="60" w:after="60"/>
              <w:jc w:val="left"/>
            </w:pPr>
            <w:r>
              <w:rPr>
                <w:rFonts w:ascii="Tahoma" w:hAnsi="Tahoma"/>
                <w:color w:val="222222"/>
                <w:sz w:val="17"/>
              </w:rPr>
              <w:t>25</w:t>
            </w:r>
          </w:p>
        </w:tc>
        <w:tc>
          <w:tcPr>
            <w:tcW w:w="3000" w:type="dxa"/>
            <w:shd w:val="clear" w:color="auto" w:fill="F5F5F5"/>
          </w:tcPr>
          <w:p>
            <w:pPr>
              <w:spacing w:before="60" w:after="60"/>
              <w:jc w:val="left"/>
            </w:pPr>
            <w:r>
              <w:rPr>
                <w:rFonts w:ascii="Tahoma" w:hAnsi="Tahoma"/>
                <w:color w:val="222222"/>
                <w:sz w:val="17"/>
              </w:rPr>
              <w:t>Duhigg (2012) — habit loop theory; Bitrián et al. (2021) gamification</w:t>
            </w:r>
          </w:p>
        </w:tc>
      </w:tr>
    </w:tbl>
    <w:p>
      <w:pPr>
        <w:spacing w:after="80"/>
      </w:pPr>
    </w:p>
    <w:p>
      <w:pPr>
        <w:spacing w:before="200" w:after="40"/>
      </w:pPr>
      <w:r>
        <w:rPr>
          <w:rFonts w:ascii="Tahoma" w:hAnsi="Tahoma"/>
          <w:b/>
          <w:color w:val="5C0E24"/>
          <w:sz w:val="24"/>
        </w:rPr>
        <w:t>4.  Score Adjustments (Applied After Component Sum)</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016"/>
        <w:gridCol w:w="2016"/>
        <w:gridCol w:w="2016"/>
        <w:gridCol w:w="2016"/>
        <w:gridCol w:w="2016"/>
      </w:tblGrid>
      <w:tr>
        <w:tc>
          <w:tcPr>
            <w:tcW w:w="1400" w:type="dxa"/>
            <w:shd w:val="clear" w:color="auto" w:fill="A05200"/>
          </w:tcPr>
          <w:p>
            <w:pPr>
              <w:spacing w:before="60" w:after="60"/>
              <w:jc w:val="center"/>
            </w:pPr>
            <w:r>
              <w:rPr>
                <w:rFonts w:ascii="Tahoma" w:hAnsi="Tahoma"/>
                <w:b/>
                <w:color w:val="FFFFFF"/>
                <w:sz w:val="18"/>
              </w:rPr>
              <w:t>Adjustment</w:t>
            </w:r>
          </w:p>
        </w:tc>
        <w:tc>
          <w:tcPr>
            <w:tcW w:w="2100" w:type="dxa"/>
            <w:shd w:val="clear" w:color="auto" w:fill="A05200"/>
          </w:tcPr>
          <w:p>
            <w:pPr>
              <w:spacing w:before="60" w:after="60"/>
              <w:jc w:val="center"/>
            </w:pPr>
            <w:r>
              <w:rPr>
                <w:rFonts w:ascii="Tahoma" w:hAnsi="Tahoma"/>
                <w:b/>
                <w:color w:val="FFFFFF"/>
                <w:sz w:val="18"/>
              </w:rPr>
              <w:t>Trigger</w:t>
            </w:r>
          </w:p>
        </w:tc>
        <w:tc>
          <w:tcPr>
            <w:tcW w:w="1900" w:type="dxa"/>
            <w:shd w:val="clear" w:color="auto" w:fill="A05200"/>
          </w:tcPr>
          <w:p>
            <w:pPr>
              <w:spacing w:before="60" w:after="60"/>
              <w:jc w:val="center"/>
            </w:pPr>
            <w:r>
              <w:rPr>
                <w:rFonts w:ascii="Tahoma" w:hAnsi="Tahoma"/>
                <w:b/>
                <w:color w:val="FFFFFF"/>
                <w:sz w:val="18"/>
              </w:rPr>
              <w:t>Effect</w:t>
            </w:r>
          </w:p>
        </w:tc>
        <w:tc>
          <w:tcPr>
            <w:tcW w:w="1200" w:type="dxa"/>
            <w:shd w:val="clear" w:color="auto" w:fill="A05200"/>
          </w:tcPr>
          <w:p>
            <w:pPr>
              <w:spacing w:before="60" w:after="60"/>
              <w:jc w:val="center"/>
            </w:pPr>
            <w:r>
              <w:rPr>
                <w:rFonts w:ascii="Tahoma" w:hAnsi="Tahoma"/>
                <w:b/>
                <w:color w:val="FFFFFF"/>
                <w:sz w:val="18"/>
              </w:rPr>
              <w:t>Max Impact</w:t>
            </w:r>
          </w:p>
        </w:tc>
        <w:tc>
          <w:tcPr>
            <w:tcW w:w="2824" w:type="dxa"/>
            <w:shd w:val="clear" w:color="auto" w:fill="A05200"/>
          </w:tcPr>
          <w:p>
            <w:pPr>
              <w:spacing w:before="60" w:after="60"/>
              <w:jc w:val="center"/>
            </w:pPr>
            <w:r>
              <w:rPr>
                <w:rFonts w:ascii="Tahoma" w:hAnsi="Tahoma"/>
                <w:b/>
                <w:color w:val="FFFFFF"/>
                <w:sz w:val="18"/>
              </w:rPr>
              <w:t>Research Basis</w:t>
            </w:r>
          </w:p>
        </w:tc>
      </w:tr>
      <w:tr>
        <w:tc>
          <w:tcPr>
            <w:tcW w:w="1400" w:type="dxa"/>
            <w:shd w:val="clear" w:color="auto" w:fill="FFFFFF"/>
          </w:tcPr>
          <w:p>
            <w:pPr>
              <w:spacing w:before="60" w:after="60"/>
              <w:jc w:val="left"/>
            </w:pPr>
            <w:r>
              <w:rPr>
                <w:rFonts w:ascii="Tahoma" w:hAnsi="Tahoma"/>
                <w:color w:val="222222"/>
                <w:sz w:val="17"/>
              </w:rPr>
              <w:t>Warning Decay</w:t>
            </w:r>
          </w:p>
        </w:tc>
        <w:tc>
          <w:tcPr>
            <w:tcW w:w="2100" w:type="dxa"/>
            <w:shd w:val="clear" w:color="auto" w:fill="FFFFFF"/>
          </w:tcPr>
          <w:p>
            <w:pPr>
              <w:spacing w:before="60" w:after="60"/>
              <w:jc w:val="left"/>
            </w:pPr>
            <w:r>
              <w:rPr>
                <w:rFonts w:ascii="Tahoma" w:hAnsi="Tahoma"/>
                <w:color w:val="222222"/>
                <w:sz w:val="17"/>
              </w:rPr>
              <w:t>A budget category is exceeded AND the user continues spending in that category the next day.</w:t>
            </w:r>
          </w:p>
        </w:tc>
        <w:tc>
          <w:tcPr>
            <w:tcW w:w="1900" w:type="dxa"/>
            <w:shd w:val="clear" w:color="auto" w:fill="FFFFFF"/>
          </w:tcPr>
          <w:p>
            <w:pPr>
              <w:spacing w:before="60" w:after="60"/>
              <w:jc w:val="left"/>
            </w:pPr>
            <w:r>
              <w:rPr>
                <w:rFonts w:ascii="Tahoma" w:hAnsi="Tahoma"/>
                <w:color w:val="222222"/>
                <w:sz w:val="17"/>
              </w:rPr>
              <w:t>−5 points per consecutive day. Resets when all budgets return to on-track.</w:t>
            </w:r>
          </w:p>
        </w:tc>
        <w:tc>
          <w:tcPr>
            <w:tcW w:w="1200" w:type="dxa"/>
            <w:shd w:val="clear" w:color="auto" w:fill="FFFFFF"/>
          </w:tcPr>
          <w:p>
            <w:pPr>
              <w:spacing w:before="60" w:after="60"/>
              <w:jc w:val="left"/>
            </w:pPr>
            <w:r>
              <w:rPr>
                <w:rFonts w:ascii="Tahoma" w:hAnsi="Tahoma"/>
                <w:color w:val="222222"/>
                <w:sz w:val="17"/>
              </w:rPr>
              <w:t>Max −15 pts (3 days)</w:t>
            </w:r>
          </w:p>
        </w:tc>
        <w:tc>
          <w:tcPr>
            <w:tcW w:w="2824" w:type="dxa"/>
            <w:shd w:val="clear" w:color="auto" w:fill="FFFFFF"/>
          </w:tcPr>
          <w:p>
            <w:pPr>
              <w:spacing w:before="60" w:after="60"/>
              <w:jc w:val="left"/>
            </w:pPr>
            <w:r>
              <w:rPr>
                <w:rFonts w:ascii="Tahoma" w:hAnsi="Tahoma"/>
                <w:color w:val="222222"/>
                <w:sz w:val="17"/>
              </w:rPr>
              <w:t>Kahneman &amp; Tversky (1979) — loss aversion: score decline makes consequence of ignoring budget alerts concrete and persistent.</w:t>
            </w:r>
          </w:p>
        </w:tc>
      </w:tr>
      <w:tr>
        <w:tc>
          <w:tcPr>
            <w:tcW w:w="1400" w:type="dxa"/>
            <w:shd w:val="clear" w:color="auto" w:fill="F5F5F5"/>
          </w:tcPr>
          <w:p>
            <w:pPr>
              <w:spacing w:before="60" w:after="60"/>
              <w:jc w:val="left"/>
            </w:pPr>
            <w:r>
              <w:rPr>
                <w:rFonts w:ascii="Tahoma" w:hAnsi="Tahoma"/>
                <w:color w:val="222222"/>
                <w:sz w:val="17"/>
              </w:rPr>
              <w:t>Gap Adjustment</w:t>
              <w:br/>
              <w:t>(Penalty)</w:t>
            </w:r>
          </w:p>
        </w:tc>
        <w:tc>
          <w:tcPr>
            <w:tcW w:w="2100" w:type="dxa"/>
            <w:shd w:val="clear" w:color="auto" w:fill="F5F5F5"/>
          </w:tcPr>
          <w:p>
            <w:pPr>
              <w:spacing w:before="60" w:after="60"/>
              <w:jc w:val="left"/>
            </w:pPr>
            <w:r>
              <w:rPr>
                <w:rFonts w:ascii="Tahoma" w:hAnsi="Tahoma"/>
                <w:color w:val="222222"/>
                <w:sz w:val="17"/>
              </w:rPr>
              <w:t>App detects unlogged days on startup. User confirms: "Yes, I spent but forgot to log."</w:t>
            </w:r>
          </w:p>
        </w:tc>
        <w:tc>
          <w:tcPr>
            <w:tcW w:w="1900" w:type="dxa"/>
            <w:shd w:val="clear" w:color="auto" w:fill="F5F5F5"/>
          </w:tcPr>
          <w:p>
            <w:pPr>
              <w:spacing w:before="60" w:after="60"/>
              <w:jc w:val="left"/>
            </w:pPr>
            <w:r>
              <w:rPr>
                <w:rFonts w:ascii="Tahoma" w:hAnsi="Tahoma"/>
                <w:color w:val="222222"/>
                <w:sz w:val="17"/>
              </w:rPr>
              <w:t>−3 points per unlogged-but-spent day.</w:t>
            </w:r>
          </w:p>
        </w:tc>
        <w:tc>
          <w:tcPr>
            <w:tcW w:w="1200" w:type="dxa"/>
            <w:shd w:val="clear" w:color="auto" w:fill="F5F5F5"/>
          </w:tcPr>
          <w:p>
            <w:pPr>
              <w:spacing w:before="60" w:after="60"/>
              <w:jc w:val="left"/>
            </w:pPr>
            <w:r>
              <w:rPr>
                <w:rFonts w:ascii="Tahoma" w:hAnsi="Tahoma"/>
                <w:color w:val="222222"/>
                <w:sz w:val="17"/>
              </w:rPr>
              <w:t>Max −15 pts</w:t>
            </w:r>
          </w:p>
        </w:tc>
        <w:tc>
          <w:tcPr>
            <w:tcW w:w="2824" w:type="dxa"/>
            <w:shd w:val="clear" w:color="auto" w:fill="F5F5F5"/>
          </w:tcPr>
          <w:p>
            <w:pPr>
              <w:spacing w:before="60" w:after="60"/>
              <w:jc w:val="left"/>
            </w:pPr>
            <w:r>
              <w:rPr>
                <w:rFonts w:ascii="Tahoma" w:hAnsi="Tahoma"/>
                <w:color w:val="222222"/>
                <w:sz w:val="17"/>
              </w:rPr>
              <w:t>Ariely (2008) — accurate self-monitoring principle. Incentivizes honest reporting.</w:t>
            </w:r>
          </w:p>
        </w:tc>
      </w:tr>
      <w:tr>
        <w:tc>
          <w:tcPr>
            <w:tcW w:w="1400" w:type="dxa"/>
            <w:shd w:val="clear" w:color="auto" w:fill="FFFFFF"/>
          </w:tcPr>
          <w:p>
            <w:pPr>
              <w:spacing w:before="60" w:after="60"/>
              <w:jc w:val="left"/>
            </w:pPr>
            <w:r>
              <w:rPr>
                <w:rFonts w:ascii="Tahoma" w:hAnsi="Tahoma"/>
                <w:color w:val="222222"/>
                <w:sz w:val="17"/>
              </w:rPr>
              <w:t>Gap Adjustment</w:t>
              <w:br/>
              <w:t>(Bonus)</w:t>
            </w:r>
          </w:p>
        </w:tc>
        <w:tc>
          <w:tcPr>
            <w:tcW w:w="2100" w:type="dxa"/>
            <w:shd w:val="clear" w:color="auto" w:fill="FFFFFF"/>
          </w:tcPr>
          <w:p>
            <w:pPr>
              <w:spacing w:before="60" w:after="60"/>
              <w:jc w:val="left"/>
            </w:pPr>
            <w:r>
              <w:rPr>
                <w:rFonts w:ascii="Tahoma" w:hAnsi="Tahoma"/>
                <w:color w:val="222222"/>
                <w:sz w:val="17"/>
              </w:rPr>
              <w:t>App detects unlogged days on startup. User confirms: "No spending — genuinely clean day."</w:t>
            </w:r>
          </w:p>
        </w:tc>
        <w:tc>
          <w:tcPr>
            <w:tcW w:w="1900" w:type="dxa"/>
            <w:shd w:val="clear" w:color="auto" w:fill="FFFFFF"/>
          </w:tcPr>
          <w:p>
            <w:pPr>
              <w:spacing w:before="60" w:after="60"/>
              <w:jc w:val="left"/>
            </w:pPr>
            <w:r>
              <w:rPr>
                <w:rFonts w:ascii="Tahoma" w:hAnsi="Tahoma"/>
                <w:color w:val="222222"/>
                <w:sz w:val="17"/>
              </w:rPr>
              <w:t>+2 points per confirmed no-spend day.</w:t>
            </w:r>
          </w:p>
        </w:tc>
        <w:tc>
          <w:tcPr>
            <w:tcW w:w="1200" w:type="dxa"/>
            <w:shd w:val="clear" w:color="auto" w:fill="FFFFFF"/>
          </w:tcPr>
          <w:p>
            <w:pPr>
              <w:spacing w:before="60" w:after="60"/>
              <w:jc w:val="left"/>
            </w:pPr>
            <w:r>
              <w:rPr>
                <w:rFonts w:ascii="Tahoma" w:hAnsi="Tahoma"/>
                <w:color w:val="222222"/>
                <w:sz w:val="17"/>
              </w:rPr>
              <w:t>Max +10 pts</w:t>
            </w:r>
          </w:p>
        </w:tc>
        <w:tc>
          <w:tcPr>
            <w:tcW w:w="2824" w:type="dxa"/>
            <w:shd w:val="clear" w:color="auto" w:fill="FFFFFF"/>
          </w:tcPr>
          <w:p>
            <w:pPr>
              <w:spacing w:before="60" w:after="60"/>
              <w:jc w:val="left"/>
            </w:pPr>
            <w:r>
              <w:rPr>
                <w:rFonts w:ascii="Tahoma" w:hAnsi="Tahoma"/>
                <w:color w:val="222222"/>
                <w:sz w:val="17"/>
              </w:rPr>
              <w:t>Thaler &amp; Sunstein (2008) — nudge theory: rewards frugal behavior that would otherwise be penalized for non-logging.</w:t>
            </w:r>
          </w:p>
        </w:tc>
      </w:tr>
    </w:tbl>
    <w:p>
      <w:pPr>
        <w:spacing w:after="80"/>
      </w:pPr>
    </w:p>
    <w:p>
      <w:pPr>
        <w:spacing w:before="200" w:after="40"/>
      </w:pPr>
      <w:r>
        <w:rPr>
          <w:rFonts w:ascii="Tahoma" w:hAnsi="Tahoma"/>
          <w:b/>
          <w:color w:val="5C0E24"/>
          <w:sz w:val="24"/>
        </w:rPr>
        <w:t>5.  Score Interpretation Scale</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520"/>
        <w:gridCol w:w="2520"/>
        <w:gridCol w:w="2520"/>
        <w:gridCol w:w="2520"/>
      </w:tblGrid>
      <w:tr>
        <w:tc>
          <w:tcPr>
            <w:tcW w:w="1400" w:type="dxa"/>
            <w:shd w:val="clear" w:color="auto" w:fill="5C0E24"/>
          </w:tcPr>
          <w:p>
            <w:pPr>
              <w:spacing w:before="60" w:after="60"/>
              <w:jc w:val="center"/>
            </w:pPr>
            <w:r>
              <w:rPr>
                <w:rFonts w:ascii="Tahoma" w:hAnsi="Tahoma"/>
                <w:b/>
                <w:color w:val="FFFFFF"/>
                <w:sz w:val="18"/>
              </w:rPr>
              <w:t>Score Range</w:t>
            </w:r>
          </w:p>
        </w:tc>
        <w:tc>
          <w:tcPr>
            <w:tcW w:w="1300" w:type="dxa"/>
            <w:shd w:val="clear" w:color="auto" w:fill="5C0E24"/>
          </w:tcPr>
          <w:p>
            <w:pPr>
              <w:spacing w:before="60" w:after="60"/>
              <w:jc w:val="center"/>
            </w:pPr>
            <w:r>
              <w:rPr>
                <w:rFonts w:ascii="Tahoma" w:hAnsi="Tahoma"/>
                <w:b/>
                <w:color w:val="FFFFFF"/>
                <w:sz w:val="18"/>
              </w:rPr>
              <w:t>Label</w:t>
            </w:r>
          </w:p>
        </w:tc>
        <w:tc>
          <w:tcPr>
            <w:tcW w:w="3800" w:type="dxa"/>
            <w:shd w:val="clear" w:color="auto" w:fill="5C0E24"/>
          </w:tcPr>
          <w:p>
            <w:pPr>
              <w:spacing w:before="60" w:after="60"/>
              <w:jc w:val="center"/>
            </w:pPr>
            <w:r>
              <w:rPr>
                <w:rFonts w:ascii="Tahoma" w:hAnsi="Tahoma"/>
                <w:b/>
                <w:color w:val="FFFFFF"/>
                <w:sz w:val="18"/>
              </w:rPr>
              <w:t>Meaning</w:t>
            </w:r>
          </w:p>
        </w:tc>
        <w:tc>
          <w:tcPr>
            <w:tcW w:w="3224" w:type="dxa"/>
            <w:shd w:val="clear" w:color="auto" w:fill="5C0E24"/>
          </w:tcPr>
          <w:p>
            <w:pPr>
              <w:spacing w:before="60" w:after="60"/>
              <w:jc w:val="center"/>
            </w:pPr>
            <w:r>
              <w:rPr>
                <w:rFonts w:ascii="Tahoma" w:hAnsi="Tahoma"/>
                <w:b/>
                <w:color w:val="FFFFFF"/>
                <w:sz w:val="18"/>
              </w:rPr>
              <w:t>Recommended Action</w:t>
            </w:r>
          </w:p>
        </w:tc>
      </w:tr>
      <w:tr>
        <w:tc>
          <w:tcPr>
            <w:tcW w:w="1400" w:type="dxa"/>
            <w:shd w:val="clear" w:color="auto" w:fill="FFFFFF"/>
          </w:tcPr>
          <w:p>
            <w:pPr>
              <w:spacing w:before="60" w:after="60"/>
              <w:jc w:val="left"/>
            </w:pPr>
            <w:r>
              <w:rPr>
                <w:rFonts w:ascii="Tahoma" w:hAnsi="Tahoma"/>
                <w:color w:val="222222"/>
                <w:sz w:val="17"/>
              </w:rPr>
              <w:t>90–100</w:t>
            </w:r>
          </w:p>
        </w:tc>
        <w:tc>
          <w:tcPr>
            <w:tcW w:w="1300" w:type="dxa"/>
            <w:shd w:val="clear" w:color="auto" w:fill="FFFFFF"/>
          </w:tcPr>
          <w:p>
            <w:pPr>
              <w:spacing w:before="60" w:after="60"/>
              <w:jc w:val="left"/>
            </w:pPr>
            <w:r>
              <w:rPr>
                <w:rFonts w:ascii="Tahoma" w:hAnsi="Tahoma"/>
                <w:color w:val="222222"/>
                <w:sz w:val="17"/>
              </w:rPr>
              <w:t>👑 Excellent</w:t>
            </w:r>
          </w:p>
        </w:tc>
        <w:tc>
          <w:tcPr>
            <w:tcW w:w="3800" w:type="dxa"/>
            <w:shd w:val="clear" w:color="auto" w:fill="FFFFFF"/>
          </w:tcPr>
          <w:p>
            <w:pPr>
              <w:spacing w:before="60" w:after="60"/>
              <w:jc w:val="left"/>
            </w:pPr>
            <w:r>
              <w:rPr>
                <w:rFonts w:ascii="Tahoma" w:hAnsi="Tahoma"/>
                <w:color w:val="222222"/>
                <w:sz w:val="17"/>
              </w:rPr>
              <w:t>Consistently saving ≥20%, all budgets on track, logging daily.</w:t>
            </w:r>
          </w:p>
        </w:tc>
        <w:tc>
          <w:tcPr>
            <w:tcW w:w="3224" w:type="dxa"/>
            <w:shd w:val="clear" w:color="auto" w:fill="FFFFFF"/>
          </w:tcPr>
          <w:p>
            <w:pPr>
              <w:spacing w:before="60" w:after="60"/>
              <w:jc w:val="left"/>
            </w:pPr>
            <w:r>
              <w:rPr>
                <w:rFonts w:ascii="Tahoma" w:hAnsi="Tahoma"/>
                <w:color w:val="222222"/>
                <w:sz w:val="17"/>
              </w:rPr>
              <w:t>Maintain habits. Consider increasing savings goal or investing surplus.</w:t>
            </w:r>
          </w:p>
        </w:tc>
      </w:tr>
      <w:tr>
        <w:tc>
          <w:tcPr>
            <w:tcW w:w="1400" w:type="dxa"/>
            <w:shd w:val="clear" w:color="auto" w:fill="F5F5F5"/>
          </w:tcPr>
          <w:p>
            <w:pPr>
              <w:spacing w:before="60" w:after="60"/>
              <w:jc w:val="left"/>
            </w:pPr>
            <w:r>
              <w:rPr>
                <w:rFonts w:ascii="Tahoma" w:hAnsi="Tahoma"/>
                <w:color w:val="222222"/>
                <w:sz w:val="17"/>
              </w:rPr>
              <w:t>80–89</w:t>
            </w:r>
          </w:p>
        </w:tc>
        <w:tc>
          <w:tcPr>
            <w:tcW w:w="1300" w:type="dxa"/>
            <w:shd w:val="clear" w:color="auto" w:fill="F5F5F5"/>
          </w:tcPr>
          <w:p>
            <w:pPr>
              <w:spacing w:before="60" w:after="60"/>
              <w:jc w:val="left"/>
            </w:pPr>
            <w:r>
              <w:rPr>
                <w:rFonts w:ascii="Tahoma" w:hAnsi="Tahoma"/>
                <w:color w:val="222222"/>
                <w:sz w:val="17"/>
              </w:rPr>
              <w:t>🏆 Great</w:t>
            </w:r>
          </w:p>
        </w:tc>
        <w:tc>
          <w:tcPr>
            <w:tcW w:w="3800" w:type="dxa"/>
            <w:shd w:val="clear" w:color="auto" w:fill="F5F5F5"/>
          </w:tcPr>
          <w:p>
            <w:pPr>
              <w:spacing w:before="60" w:after="60"/>
              <w:jc w:val="left"/>
            </w:pPr>
            <w:r>
              <w:rPr>
                <w:rFonts w:ascii="Tahoma" w:hAnsi="Tahoma"/>
                <w:color w:val="222222"/>
                <w:sz w:val="17"/>
              </w:rPr>
              <w:t>Strong financial control with minor gaps.</w:t>
            </w:r>
          </w:p>
        </w:tc>
        <w:tc>
          <w:tcPr>
            <w:tcW w:w="3224" w:type="dxa"/>
            <w:shd w:val="clear" w:color="auto" w:fill="F5F5F5"/>
          </w:tcPr>
          <w:p>
            <w:pPr>
              <w:spacing w:before="60" w:after="60"/>
              <w:jc w:val="left"/>
            </w:pPr>
            <w:r>
              <w:rPr>
                <w:rFonts w:ascii="Tahoma" w:hAnsi="Tahoma"/>
                <w:color w:val="222222"/>
                <w:sz w:val="17"/>
              </w:rPr>
              <w:t>Review which component is below 25 pts and target it specifically.</w:t>
            </w:r>
          </w:p>
        </w:tc>
      </w:tr>
      <w:tr>
        <w:tc>
          <w:tcPr>
            <w:tcW w:w="1400" w:type="dxa"/>
            <w:shd w:val="clear" w:color="auto" w:fill="FFFFFF"/>
          </w:tcPr>
          <w:p>
            <w:pPr>
              <w:spacing w:before="60" w:after="60"/>
              <w:jc w:val="left"/>
            </w:pPr>
            <w:r>
              <w:rPr>
                <w:rFonts w:ascii="Tahoma" w:hAnsi="Tahoma"/>
                <w:color w:val="222222"/>
                <w:sz w:val="17"/>
              </w:rPr>
              <w:t>70–79</w:t>
            </w:r>
          </w:p>
        </w:tc>
        <w:tc>
          <w:tcPr>
            <w:tcW w:w="1300" w:type="dxa"/>
            <w:shd w:val="clear" w:color="auto" w:fill="FFFFFF"/>
          </w:tcPr>
          <w:p>
            <w:pPr>
              <w:spacing w:before="60" w:after="60"/>
              <w:jc w:val="left"/>
            </w:pPr>
            <w:r>
              <w:rPr>
                <w:rFonts w:ascii="Tahoma" w:hAnsi="Tahoma"/>
                <w:color w:val="222222"/>
                <w:sz w:val="17"/>
              </w:rPr>
              <w:t>⭐ Good</w:t>
            </w:r>
          </w:p>
        </w:tc>
        <w:tc>
          <w:tcPr>
            <w:tcW w:w="3800" w:type="dxa"/>
            <w:shd w:val="clear" w:color="auto" w:fill="FFFFFF"/>
          </w:tcPr>
          <w:p>
            <w:pPr>
              <w:spacing w:before="60" w:after="60"/>
              <w:jc w:val="left"/>
            </w:pPr>
            <w:r>
              <w:rPr>
                <w:rFonts w:ascii="Tahoma" w:hAnsi="Tahoma"/>
                <w:color w:val="222222"/>
                <w:sz w:val="17"/>
              </w:rPr>
              <w:t>On the right track, but at least one component needs attention.</w:t>
            </w:r>
          </w:p>
        </w:tc>
        <w:tc>
          <w:tcPr>
            <w:tcW w:w="3224" w:type="dxa"/>
            <w:shd w:val="clear" w:color="auto" w:fill="FFFFFF"/>
          </w:tcPr>
          <w:p>
            <w:pPr>
              <w:spacing w:before="60" w:after="60"/>
              <w:jc w:val="left"/>
            </w:pPr>
            <w:r>
              <w:rPr>
                <w:rFonts w:ascii="Tahoma" w:hAnsi="Tahoma"/>
                <w:color w:val="222222"/>
                <w:sz w:val="17"/>
              </w:rPr>
              <w:t>Set or review category budgets. Improve daily logging consistency.</w:t>
            </w:r>
          </w:p>
        </w:tc>
      </w:tr>
      <w:tr>
        <w:tc>
          <w:tcPr>
            <w:tcW w:w="1400" w:type="dxa"/>
            <w:shd w:val="clear" w:color="auto" w:fill="F5F5F5"/>
          </w:tcPr>
          <w:p>
            <w:pPr>
              <w:spacing w:before="60" w:after="60"/>
              <w:jc w:val="left"/>
            </w:pPr>
            <w:r>
              <w:rPr>
                <w:rFonts w:ascii="Tahoma" w:hAnsi="Tahoma"/>
                <w:color w:val="222222"/>
                <w:sz w:val="17"/>
              </w:rPr>
              <w:t>60–69</w:t>
            </w:r>
          </w:p>
        </w:tc>
        <w:tc>
          <w:tcPr>
            <w:tcW w:w="1300" w:type="dxa"/>
            <w:shd w:val="clear" w:color="auto" w:fill="F5F5F5"/>
          </w:tcPr>
          <w:p>
            <w:pPr>
              <w:spacing w:before="60" w:after="60"/>
              <w:jc w:val="left"/>
            </w:pPr>
            <w:r>
              <w:rPr>
                <w:rFonts w:ascii="Tahoma" w:hAnsi="Tahoma"/>
                <w:color w:val="222222"/>
                <w:sz w:val="17"/>
              </w:rPr>
              <w:t>🌱 Fair</w:t>
            </w:r>
          </w:p>
        </w:tc>
        <w:tc>
          <w:tcPr>
            <w:tcW w:w="3800" w:type="dxa"/>
            <w:shd w:val="clear" w:color="auto" w:fill="F5F5F5"/>
          </w:tcPr>
          <w:p>
            <w:pPr>
              <w:spacing w:before="60" w:after="60"/>
              <w:jc w:val="left"/>
            </w:pPr>
            <w:r>
              <w:rPr>
                <w:rFonts w:ascii="Tahoma" w:hAnsi="Tahoma"/>
                <w:color w:val="222222"/>
                <w:sz w:val="17"/>
              </w:rPr>
              <w:t>Some financial management behaviors in place, but significant room to improve.</w:t>
            </w:r>
          </w:p>
        </w:tc>
        <w:tc>
          <w:tcPr>
            <w:tcW w:w="3224" w:type="dxa"/>
            <w:shd w:val="clear" w:color="auto" w:fill="F5F5F5"/>
          </w:tcPr>
          <w:p>
            <w:pPr>
              <w:spacing w:before="60" w:after="60"/>
              <w:jc w:val="left"/>
            </w:pPr>
            <w:r>
              <w:rPr>
                <w:rFonts w:ascii="Tahoma" w:hAnsi="Tahoma"/>
                <w:color w:val="222222"/>
                <w:sz w:val="17"/>
              </w:rPr>
              <w:t>Focus on the lowest-scoring component first. Use the AI to explain your breakdown.</w:t>
            </w:r>
          </w:p>
        </w:tc>
      </w:tr>
      <w:tr>
        <w:tc>
          <w:tcPr>
            <w:tcW w:w="1400" w:type="dxa"/>
            <w:shd w:val="clear" w:color="auto" w:fill="FFFFFF"/>
          </w:tcPr>
          <w:p>
            <w:pPr>
              <w:spacing w:before="60" w:after="60"/>
              <w:jc w:val="left"/>
            </w:pPr>
            <w:r>
              <w:rPr>
                <w:rFonts w:ascii="Tahoma" w:hAnsi="Tahoma"/>
                <w:color w:val="222222"/>
                <w:sz w:val="17"/>
              </w:rPr>
              <w:t>&lt; 60</w:t>
            </w:r>
          </w:p>
        </w:tc>
        <w:tc>
          <w:tcPr>
            <w:tcW w:w="1300" w:type="dxa"/>
            <w:shd w:val="clear" w:color="auto" w:fill="FFFFFF"/>
          </w:tcPr>
          <w:p>
            <w:pPr>
              <w:spacing w:before="60" w:after="60"/>
              <w:jc w:val="left"/>
            </w:pPr>
            <w:r>
              <w:rPr>
                <w:rFonts w:ascii="Tahoma" w:hAnsi="Tahoma"/>
                <w:color w:val="222222"/>
                <w:sz w:val="17"/>
              </w:rPr>
              <w:t>📉 Needs Work</w:t>
            </w:r>
          </w:p>
        </w:tc>
        <w:tc>
          <w:tcPr>
            <w:tcW w:w="3800" w:type="dxa"/>
            <w:shd w:val="clear" w:color="auto" w:fill="FFFFFF"/>
          </w:tcPr>
          <w:p>
            <w:pPr>
              <w:spacing w:before="60" w:after="60"/>
              <w:jc w:val="left"/>
            </w:pPr>
            <w:r>
              <w:rPr>
                <w:rFonts w:ascii="Tahoma" w:hAnsi="Tahoma"/>
                <w:color w:val="222222"/>
                <w:sz w:val="17"/>
              </w:rPr>
              <w:t>Core financial behaviors (saving, logging, budgeting) need significant development.</w:t>
            </w:r>
          </w:p>
        </w:tc>
        <w:tc>
          <w:tcPr>
            <w:tcW w:w="3224" w:type="dxa"/>
            <w:shd w:val="clear" w:color="auto" w:fill="FFFFFF"/>
          </w:tcPr>
          <w:p>
            <w:pPr>
              <w:spacing w:before="60" w:after="60"/>
              <w:jc w:val="left"/>
            </w:pPr>
            <w:r>
              <w:rPr>
                <w:rFonts w:ascii="Tahoma" w:hAnsi="Tahoma"/>
                <w:color w:val="222222"/>
                <w:sz w:val="17"/>
              </w:rPr>
              <w:t>Start with Logging Consistency — log every day for 7 days to see immediate improvement.</w:t>
            </w:r>
          </w:p>
        </w:tc>
      </w:tr>
    </w:tbl>
    <w:p>
      <w:pPr>
        <w:spacing w:after="80"/>
      </w:pPr>
    </w:p>
    <w:p>
      <w:pPr>
        <w:spacing w:before="200" w:after="40"/>
      </w:pPr>
      <w:r>
        <w:rPr>
          <w:rFonts w:ascii="Tahoma" w:hAnsi="Tahoma"/>
          <w:b/>
          <w:color w:val="5C0E24"/>
          <w:sz w:val="24"/>
        </w:rPr>
        <w:t>6.  Comparison with Existing Financial Health Scoring Systems</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440"/>
        <w:gridCol w:w="1440"/>
        <w:gridCol w:w="1440"/>
        <w:gridCol w:w="1440"/>
        <w:gridCol w:w="1440"/>
        <w:gridCol w:w="1440"/>
        <w:gridCol w:w="1440"/>
      </w:tblGrid>
      <w:tr>
        <w:tc>
          <w:tcPr>
            <w:tcW w:w="1800" w:type="dxa"/>
            <w:shd w:val="clear" w:color="auto" w:fill="5C0E24"/>
          </w:tcPr>
          <w:p>
            <w:pPr>
              <w:spacing w:before="60" w:after="60"/>
              <w:jc w:val="center"/>
            </w:pPr>
            <w:r>
              <w:rPr>
                <w:rFonts w:ascii="Tahoma" w:hAnsi="Tahoma"/>
                <w:b/>
                <w:color w:val="FFFFFF"/>
                <w:sz w:val="18"/>
              </w:rPr>
              <w:t>System</w:t>
            </w:r>
          </w:p>
        </w:tc>
        <w:tc>
          <w:tcPr>
            <w:tcW w:w="1700" w:type="dxa"/>
            <w:shd w:val="clear" w:color="auto" w:fill="5C0E24"/>
          </w:tcPr>
          <w:p>
            <w:pPr>
              <w:spacing w:before="60" w:after="60"/>
              <w:jc w:val="center"/>
            </w:pPr>
            <w:r>
              <w:rPr>
                <w:rFonts w:ascii="Tahoma" w:hAnsi="Tahoma"/>
                <w:b/>
                <w:color w:val="FFFFFF"/>
                <w:sz w:val="18"/>
              </w:rPr>
              <w:t>Publisher</w:t>
            </w:r>
          </w:p>
        </w:tc>
        <w:tc>
          <w:tcPr>
            <w:tcW w:w="900" w:type="dxa"/>
            <w:shd w:val="clear" w:color="auto" w:fill="5C0E24"/>
          </w:tcPr>
          <w:p>
            <w:pPr>
              <w:spacing w:before="60" w:after="60"/>
              <w:jc w:val="center"/>
            </w:pPr>
            <w:r>
              <w:rPr>
                <w:rFonts w:ascii="Tahoma" w:hAnsi="Tahoma"/>
                <w:b/>
                <w:color w:val="FFFFFF"/>
                <w:sz w:val="18"/>
              </w:rPr>
              <w:t>Score Range</w:t>
            </w:r>
          </w:p>
        </w:tc>
        <w:tc>
          <w:tcPr>
            <w:tcW w:w="2500" w:type="dxa"/>
            <w:shd w:val="clear" w:color="auto" w:fill="5C0E24"/>
          </w:tcPr>
          <w:p>
            <w:pPr>
              <w:spacing w:before="60" w:after="60"/>
              <w:jc w:val="center"/>
            </w:pPr>
            <w:r>
              <w:rPr>
                <w:rFonts w:ascii="Tahoma" w:hAnsi="Tahoma"/>
                <w:b/>
                <w:color w:val="FFFFFF"/>
                <w:sz w:val="18"/>
              </w:rPr>
              <w:t>Computation Method</w:t>
            </w:r>
          </w:p>
        </w:tc>
        <w:tc>
          <w:tcPr>
            <w:tcW w:w="1100" w:type="dxa"/>
            <w:shd w:val="clear" w:color="auto" w:fill="5C0E24"/>
          </w:tcPr>
          <w:p>
            <w:pPr>
              <w:spacing w:before="60" w:after="60"/>
              <w:jc w:val="center"/>
            </w:pPr>
            <w:r>
              <w:rPr>
                <w:rFonts w:ascii="Tahoma" w:hAnsi="Tahoma"/>
                <w:b/>
                <w:color w:val="FFFFFF"/>
                <w:sz w:val="18"/>
              </w:rPr>
              <w:t>Filipino Context</w:t>
            </w:r>
          </w:p>
        </w:tc>
        <w:tc>
          <w:tcPr>
            <w:tcW w:w="800" w:type="dxa"/>
            <w:shd w:val="clear" w:color="auto" w:fill="5C0E24"/>
          </w:tcPr>
          <w:p>
            <w:pPr>
              <w:spacing w:before="60" w:after="60"/>
              <w:jc w:val="center"/>
            </w:pPr>
            <w:r>
              <w:rPr>
                <w:rFonts w:ascii="Tahoma" w:hAnsi="Tahoma"/>
                <w:b/>
                <w:color w:val="FFFFFF"/>
                <w:sz w:val="18"/>
              </w:rPr>
              <w:t>Offline?</w:t>
            </w:r>
          </w:p>
        </w:tc>
        <w:tc>
          <w:tcPr>
            <w:tcW w:w="800" w:type="dxa"/>
            <w:shd w:val="clear" w:color="auto" w:fill="5C0E24"/>
          </w:tcPr>
          <w:p>
            <w:pPr>
              <w:spacing w:before="60" w:after="60"/>
              <w:jc w:val="center"/>
            </w:pPr>
            <w:r>
              <w:rPr>
                <w:rFonts w:ascii="Tahoma" w:hAnsi="Tahoma"/>
                <w:b/>
                <w:color w:val="FFFFFF"/>
                <w:sz w:val="18"/>
              </w:rPr>
              <w:t>Free?</w:t>
            </w:r>
          </w:p>
        </w:tc>
      </w:tr>
      <w:tr>
        <w:tc>
          <w:tcPr>
            <w:tcW w:w="1800" w:type="dxa"/>
            <w:shd w:val="clear" w:color="auto" w:fill="FFFFFF"/>
          </w:tcPr>
          <w:p>
            <w:pPr>
              <w:spacing w:before="60" w:after="60"/>
              <w:jc w:val="left"/>
            </w:pPr>
            <w:r>
              <w:rPr>
                <w:rFonts w:ascii="Tahoma" w:hAnsi="Tahoma"/>
                <w:color w:val="222222"/>
                <w:sz w:val="16"/>
              </w:rPr>
              <w:t>FinHealth Score®</w:t>
            </w:r>
          </w:p>
        </w:tc>
        <w:tc>
          <w:tcPr>
            <w:tcW w:w="1700" w:type="dxa"/>
            <w:shd w:val="clear" w:color="auto" w:fill="FFFFFF"/>
          </w:tcPr>
          <w:p>
            <w:pPr>
              <w:spacing w:before="60" w:after="60"/>
              <w:jc w:val="left"/>
            </w:pPr>
            <w:r>
              <w:rPr>
                <w:rFonts w:ascii="Tahoma" w:hAnsi="Tahoma"/>
                <w:color w:val="222222"/>
                <w:sz w:val="16"/>
              </w:rPr>
              <w:t>Financial Health Network</w:t>
            </w:r>
          </w:p>
        </w:tc>
        <w:tc>
          <w:tcPr>
            <w:tcW w:w="900" w:type="dxa"/>
            <w:shd w:val="clear" w:color="auto" w:fill="FFFFFF"/>
          </w:tcPr>
          <w:p>
            <w:pPr>
              <w:spacing w:before="60" w:after="60"/>
              <w:jc w:val="left"/>
            </w:pPr>
            <w:r>
              <w:rPr>
                <w:rFonts w:ascii="Tahoma" w:hAnsi="Tahoma"/>
                <w:color w:val="222222"/>
                <w:sz w:val="16"/>
              </w:rPr>
              <w:t>0–100</w:t>
            </w:r>
          </w:p>
        </w:tc>
        <w:tc>
          <w:tcPr>
            <w:tcW w:w="2500" w:type="dxa"/>
            <w:shd w:val="clear" w:color="auto" w:fill="FFFFFF"/>
          </w:tcPr>
          <w:p>
            <w:pPr>
              <w:spacing w:before="60" w:after="60"/>
              <w:jc w:val="left"/>
            </w:pPr>
            <w:r>
              <w:rPr>
                <w:rFonts w:ascii="Tahoma" w:hAnsi="Tahoma"/>
                <w:color w:val="222222"/>
                <w:sz w:val="16"/>
              </w:rPr>
              <w:t>8 behavioral indicators via survey + linked account data</w:t>
            </w:r>
          </w:p>
        </w:tc>
        <w:tc>
          <w:tcPr>
            <w:tcW w:w="1100" w:type="dxa"/>
            <w:shd w:val="clear" w:color="auto" w:fill="FFFFFF"/>
          </w:tcPr>
          <w:p>
            <w:pPr>
              <w:spacing w:before="60" w:after="60"/>
              <w:jc w:val="left"/>
            </w:pPr>
            <w:r>
              <w:rPr>
                <w:rFonts w:ascii="Tahoma" w:hAnsi="Tahoma"/>
                <w:color w:val="222222"/>
                <w:sz w:val="16"/>
              </w:rPr>
              <w:t>❌ US-focused</w:t>
            </w:r>
          </w:p>
        </w:tc>
        <w:tc>
          <w:tcPr>
            <w:tcW w:w="800" w:type="dxa"/>
            <w:shd w:val="clear" w:color="auto" w:fill="FFFFFF"/>
          </w:tcPr>
          <w:p>
            <w:pPr>
              <w:spacing w:before="60" w:after="60"/>
              <w:jc w:val="left"/>
            </w:pPr>
            <w:r>
              <w:rPr>
                <w:rFonts w:ascii="Tahoma" w:hAnsi="Tahoma"/>
                <w:color w:val="222222"/>
                <w:sz w:val="16"/>
              </w:rPr>
              <w:t>❌</w:t>
            </w:r>
          </w:p>
        </w:tc>
        <w:tc>
          <w:tcPr>
            <w:tcW w:w="800" w:type="dxa"/>
            <w:shd w:val="clear" w:color="auto" w:fill="FFFFFF"/>
          </w:tcPr>
          <w:p>
            <w:pPr>
              <w:spacing w:before="60" w:after="60"/>
              <w:jc w:val="left"/>
            </w:pPr>
            <w:r>
              <w:rPr>
                <w:rFonts w:ascii="Tahoma" w:hAnsi="Tahoma"/>
                <w:color w:val="222222"/>
                <w:sz w:val="16"/>
              </w:rPr>
              <w:t>❌ Institutional</w:t>
            </w:r>
          </w:p>
        </w:tc>
      </w:tr>
      <w:tr>
        <w:tc>
          <w:tcPr>
            <w:tcW w:w="1800" w:type="dxa"/>
            <w:shd w:val="clear" w:color="auto" w:fill="F5F5F5"/>
          </w:tcPr>
          <w:p>
            <w:pPr>
              <w:spacing w:before="60" w:after="60"/>
              <w:jc w:val="left"/>
            </w:pPr>
            <w:r>
              <w:rPr>
                <w:rFonts w:ascii="Tahoma" w:hAnsi="Tahoma"/>
                <w:color w:val="222222"/>
                <w:sz w:val="16"/>
              </w:rPr>
              <w:t>CFPB Financial Well-Being Scale</w:t>
            </w:r>
          </w:p>
        </w:tc>
        <w:tc>
          <w:tcPr>
            <w:tcW w:w="1700" w:type="dxa"/>
            <w:shd w:val="clear" w:color="auto" w:fill="F5F5F5"/>
          </w:tcPr>
          <w:p>
            <w:pPr>
              <w:spacing w:before="60" w:after="60"/>
              <w:jc w:val="left"/>
            </w:pPr>
            <w:r>
              <w:rPr>
                <w:rFonts w:ascii="Tahoma" w:hAnsi="Tahoma"/>
                <w:color w:val="222222"/>
                <w:sz w:val="16"/>
              </w:rPr>
              <w:t>CFPB (USA)</w:t>
            </w:r>
          </w:p>
        </w:tc>
        <w:tc>
          <w:tcPr>
            <w:tcW w:w="900" w:type="dxa"/>
            <w:shd w:val="clear" w:color="auto" w:fill="F5F5F5"/>
          </w:tcPr>
          <w:p>
            <w:pPr>
              <w:spacing w:before="60" w:after="60"/>
              <w:jc w:val="left"/>
            </w:pPr>
            <w:r>
              <w:rPr>
                <w:rFonts w:ascii="Tahoma" w:hAnsi="Tahoma"/>
                <w:color w:val="222222"/>
                <w:sz w:val="16"/>
              </w:rPr>
              <w:t>0–100</w:t>
            </w:r>
          </w:p>
        </w:tc>
        <w:tc>
          <w:tcPr>
            <w:tcW w:w="2500" w:type="dxa"/>
            <w:shd w:val="clear" w:color="auto" w:fill="F5F5F5"/>
          </w:tcPr>
          <w:p>
            <w:pPr>
              <w:spacing w:before="60" w:after="60"/>
              <w:jc w:val="left"/>
            </w:pPr>
            <w:r>
              <w:rPr>
                <w:rFonts w:ascii="Tahoma" w:hAnsi="Tahoma"/>
                <w:color w:val="222222"/>
                <w:sz w:val="16"/>
              </w:rPr>
              <w:t>10-item self-report survey (subjective)</w:t>
            </w:r>
          </w:p>
        </w:tc>
        <w:tc>
          <w:tcPr>
            <w:tcW w:w="1100" w:type="dxa"/>
            <w:shd w:val="clear" w:color="auto" w:fill="F5F5F5"/>
          </w:tcPr>
          <w:p>
            <w:pPr>
              <w:spacing w:before="60" w:after="60"/>
              <w:jc w:val="left"/>
            </w:pPr>
            <w:r>
              <w:rPr>
                <w:rFonts w:ascii="Tahoma" w:hAnsi="Tahoma"/>
                <w:color w:val="222222"/>
                <w:sz w:val="16"/>
              </w:rPr>
              <w:t>❌ US-focused</w:t>
            </w:r>
          </w:p>
        </w:tc>
        <w:tc>
          <w:tcPr>
            <w:tcW w:w="800" w:type="dxa"/>
            <w:shd w:val="clear" w:color="auto" w:fill="F5F5F5"/>
          </w:tcPr>
          <w:p>
            <w:pPr>
              <w:spacing w:before="60" w:after="60"/>
              <w:jc w:val="left"/>
            </w:pPr>
            <w:r>
              <w:rPr>
                <w:rFonts w:ascii="Tahoma" w:hAnsi="Tahoma"/>
                <w:color w:val="222222"/>
                <w:sz w:val="16"/>
              </w:rPr>
              <w:t>✅ Paper-based</w:t>
            </w:r>
          </w:p>
        </w:tc>
        <w:tc>
          <w:tcPr>
            <w:tcW w:w="800" w:type="dxa"/>
            <w:shd w:val="clear" w:color="auto" w:fill="F5F5F5"/>
          </w:tcPr>
          <w:p>
            <w:pPr>
              <w:spacing w:before="60" w:after="60"/>
              <w:jc w:val="left"/>
            </w:pPr>
            <w:r>
              <w:rPr>
                <w:rFonts w:ascii="Tahoma" w:hAnsi="Tahoma"/>
                <w:color w:val="222222"/>
                <w:sz w:val="16"/>
              </w:rPr>
              <w:t>✅</w:t>
            </w:r>
          </w:p>
        </w:tc>
      </w:tr>
      <w:tr>
        <w:tc>
          <w:tcPr>
            <w:tcW w:w="1800" w:type="dxa"/>
            <w:shd w:val="clear" w:color="auto" w:fill="FFFFFF"/>
          </w:tcPr>
          <w:p>
            <w:pPr>
              <w:spacing w:before="60" w:after="60"/>
              <w:jc w:val="left"/>
            </w:pPr>
            <w:r>
              <w:rPr>
                <w:rFonts w:ascii="Tahoma" w:hAnsi="Tahoma"/>
                <w:color w:val="222222"/>
                <w:sz w:val="16"/>
              </w:rPr>
              <w:t>Cleo Health Score</w:t>
            </w:r>
          </w:p>
        </w:tc>
        <w:tc>
          <w:tcPr>
            <w:tcW w:w="1700" w:type="dxa"/>
            <w:shd w:val="clear" w:color="auto" w:fill="FFFFFF"/>
          </w:tcPr>
          <w:p>
            <w:pPr>
              <w:spacing w:before="60" w:after="60"/>
              <w:jc w:val="left"/>
            </w:pPr>
            <w:r>
              <w:rPr>
                <w:rFonts w:ascii="Tahoma" w:hAnsi="Tahoma"/>
                <w:color w:val="222222"/>
                <w:sz w:val="16"/>
              </w:rPr>
              <w:t>Cleo (UK)</w:t>
            </w:r>
          </w:p>
        </w:tc>
        <w:tc>
          <w:tcPr>
            <w:tcW w:w="900" w:type="dxa"/>
            <w:shd w:val="clear" w:color="auto" w:fill="FFFFFF"/>
          </w:tcPr>
          <w:p>
            <w:pPr>
              <w:spacing w:before="60" w:after="60"/>
              <w:jc w:val="left"/>
            </w:pPr>
            <w:r>
              <w:rPr>
                <w:rFonts w:ascii="Tahoma" w:hAnsi="Tahoma"/>
                <w:color w:val="222222"/>
                <w:sz w:val="16"/>
              </w:rPr>
              <w:t>0–100</w:t>
            </w:r>
          </w:p>
        </w:tc>
        <w:tc>
          <w:tcPr>
            <w:tcW w:w="2500" w:type="dxa"/>
            <w:shd w:val="clear" w:color="auto" w:fill="FFFFFF"/>
          </w:tcPr>
          <w:p>
            <w:pPr>
              <w:spacing w:before="60" w:after="60"/>
              <w:jc w:val="left"/>
            </w:pPr>
            <w:r>
              <w:rPr>
                <w:rFonts w:ascii="Tahoma" w:hAnsi="Tahoma"/>
                <w:color w:val="222222"/>
                <w:sz w:val="16"/>
              </w:rPr>
              <w:t>Proprietary; savings + bill payment patterns (not disclosed)</w:t>
            </w:r>
          </w:p>
        </w:tc>
        <w:tc>
          <w:tcPr>
            <w:tcW w:w="1100" w:type="dxa"/>
            <w:shd w:val="clear" w:color="auto" w:fill="FFFFFF"/>
          </w:tcPr>
          <w:p>
            <w:pPr>
              <w:spacing w:before="60" w:after="60"/>
              <w:jc w:val="left"/>
            </w:pPr>
            <w:r>
              <w:rPr>
                <w:rFonts w:ascii="Tahoma" w:hAnsi="Tahoma"/>
                <w:color w:val="222222"/>
                <w:sz w:val="16"/>
              </w:rPr>
              <w:t>❌</w:t>
            </w:r>
          </w:p>
        </w:tc>
        <w:tc>
          <w:tcPr>
            <w:tcW w:w="800" w:type="dxa"/>
            <w:shd w:val="clear" w:color="auto" w:fill="FFFFFF"/>
          </w:tcPr>
          <w:p>
            <w:pPr>
              <w:spacing w:before="60" w:after="60"/>
              <w:jc w:val="left"/>
            </w:pPr>
            <w:r>
              <w:rPr>
                <w:rFonts w:ascii="Tahoma" w:hAnsi="Tahoma"/>
                <w:color w:val="222222"/>
                <w:sz w:val="16"/>
              </w:rPr>
              <w:t>❌</w:t>
            </w:r>
          </w:p>
        </w:tc>
        <w:tc>
          <w:tcPr>
            <w:tcW w:w="800" w:type="dxa"/>
            <w:shd w:val="clear" w:color="auto" w:fill="FFFFFF"/>
          </w:tcPr>
          <w:p>
            <w:pPr>
              <w:spacing w:before="60" w:after="60"/>
              <w:jc w:val="left"/>
            </w:pPr>
            <w:r>
              <w:rPr>
                <w:rFonts w:ascii="Tahoma" w:hAnsi="Tahoma"/>
                <w:color w:val="222222"/>
                <w:sz w:val="16"/>
              </w:rPr>
              <w:t>❌ Subscription</w:t>
            </w:r>
          </w:p>
        </w:tc>
      </w:tr>
      <w:tr>
        <w:tc>
          <w:tcPr>
            <w:tcW w:w="1800" w:type="dxa"/>
            <w:shd w:val="clear" w:color="auto" w:fill="F5F5F5"/>
          </w:tcPr>
          <w:p>
            <w:pPr>
              <w:spacing w:before="60" w:after="60"/>
              <w:jc w:val="left"/>
            </w:pPr>
            <w:r>
              <w:rPr>
                <w:rFonts w:ascii="Tahoma" w:hAnsi="Tahoma"/>
                <w:color w:val="222222"/>
                <w:sz w:val="16"/>
              </w:rPr>
              <w:t>BudgetPH Score</w:t>
            </w:r>
          </w:p>
        </w:tc>
        <w:tc>
          <w:tcPr>
            <w:tcW w:w="1700" w:type="dxa"/>
            <w:shd w:val="clear" w:color="auto" w:fill="F5F5F5"/>
          </w:tcPr>
          <w:p>
            <w:pPr>
              <w:spacing w:before="60" w:after="60"/>
              <w:jc w:val="left"/>
            </w:pPr>
            <w:r>
              <w:rPr>
                <w:rFonts w:ascii="Tahoma" w:hAnsi="Tahoma"/>
                <w:color w:val="222222"/>
                <w:sz w:val="16"/>
              </w:rPr>
              <w:t>BudgetPH (PH)</w:t>
            </w:r>
          </w:p>
        </w:tc>
        <w:tc>
          <w:tcPr>
            <w:tcW w:w="900" w:type="dxa"/>
            <w:shd w:val="clear" w:color="auto" w:fill="F5F5F5"/>
          </w:tcPr>
          <w:p>
            <w:pPr>
              <w:spacing w:before="60" w:after="60"/>
              <w:jc w:val="left"/>
            </w:pPr>
            <w:r>
              <w:rPr>
                <w:rFonts w:ascii="Tahoma" w:hAnsi="Tahoma"/>
                <w:color w:val="222222"/>
                <w:sz w:val="16"/>
              </w:rPr>
              <w:t>Unlisted</w:t>
            </w:r>
          </w:p>
        </w:tc>
        <w:tc>
          <w:tcPr>
            <w:tcW w:w="2500" w:type="dxa"/>
            <w:shd w:val="clear" w:color="auto" w:fill="F5F5F5"/>
          </w:tcPr>
          <w:p>
            <w:pPr>
              <w:spacing w:before="60" w:after="60"/>
              <w:jc w:val="left"/>
            </w:pPr>
            <w:r>
              <w:rPr>
                <w:rFonts w:ascii="Tahoma" w:hAnsi="Tahoma"/>
                <w:color w:val="222222"/>
                <w:sz w:val="16"/>
              </w:rPr>
              <w:t>Budget adherence + streak tracking (formula not published)</w:t>
            </w:r>
          </w:p>
        </w:tc>
        <w:tc>
          <w:tcPr>
            <w:tcW w:w="1100" w:type="dxa"/>
            <w:shd w:val="clear" w:color="auto" w:fill="F5F5F5"/>
          </w:tcPr>
          <w:p>
            <w:pPr>
              <w:spacing w:before="60" w:after="60"/>
              <w:jc w:val="left"/>
            </w:pPr>
            <w:r>
              <w:rPr>
                <w:rFonts w:ascii="Tahoma" w:hAnsi="Tahoma"/>
                <w:color w:val="222222"/>
                <w:sz w:val="16"/>
              </w:rPr>
              <w:t>✅ Filipino</w:t>
            </w:r>
          </w:p>
        </w:tc>
        <w:tc>
          <w:tcPr>
            <w:tcW w:w="800" w:type="dxa"/>
            <w:shd w:val="clear" w:color="auto" w:fill="F5F5F5"/>
          </w:tcPr>
          <w:p>
            <w:pPr>
              <w:spacing w:before="60" w:after="60"/>
              <w:jc w:val="left"/>
            </w:pPr>
            <w:r>
              <w:rPr>
                <w:rFonts w:ascii="Tahoma" w:hAnsi="Tahoma"/>
                <w:color w:val="222222"/>
                <w:sz w:val="16"/>
              </w:rPr>
              <w:t>✅ Limited</w:t>
            </w:r>
          </w:p>
        </w:tc>
        <w:tc>
          <w:tcPr>
            <w:tcW w:w="800" w:type="dxa"/>
            <w:shd w:val="clear" w:color="auto" w:fill="F5F5F5"/>
          </w:tcPr>
          <w:p>
            <w:pPr>
              <w:spacing w:before="60" w:after="60"/>
              <w:jc w:val="left"/>
            </w:pPr>
            <w:r>
              <w:rPr>
                <w:rFonts w:ascii="Tahoma" w:hAnsi="Tahoma"/>
                <w:color w:val="222222"/>
                <w:sz w:val="16"/>
              </w:rPr>
              <w:t>✅</w:t>
            </w:r>
          </w:p>
        </w:tc>
      </w:tr>
      <w:tr>
        <w:tc>
          <w:tcPr>
            <w:tcW w:w="1800" w:type="dxa"/>
            <w:shd w:val="clear" w:color="auto" w:fill="FFFFFF"/>
          </w:tcPr>
          <w:p>
            <w:pPr>
              <w:spacing w:before="60" w:after="60"/>
              <w:jc w:val="left"/>
            </w:pPr>
            <w:r>
              <w:rPr>
                <w:rFonts w:ascii="Tahoma" w:hAnsi="Tahoma"/>
                <w:color w:val="222222"/>
                <w:sz w:val="16"/>
              </w:rPr>
              <w:t>Alkansya Financial Health</w:t>
            </w:r>
          </w:p>
        </w:tc>
        <w:tc>
          <w:tcPr>
            <w:tcW w:w="1700" w:type="dxa"/>
            <w:shd w:val="clear" w:color="auto" w:fill="FFFFFF"/>
          </w:tcPr>
          <w:p>
            <w:pPr>
              <w:spacing w:before="60" w:after="60"/>
              <w:jc w:val="left"/>
            </w:pPr>
            <w:r>
              <w:rPr>
                <w:rFonts w:ascii="Tahoma" w:hAnsi="Tahoma"/>
                <w:color w:val="222222"/>
                <w:sz w:val="16"/>
              </w:rPr>
              <w:t>Alkansya (PH)</w:t>
            </w:r>
          </w:p>
        </w:tc>
        <w:tc>
          <w:tcPr>
            <w:tcW w:w="900" w:type="dxa"/>
            <w:shd w:val="clear" w:color="auto" w:fill="FFFFFF"/>
          </w:tcPr>
          <w:p>
            <w:pPr>
              <w:spacing w:before="60" w:after="60"/>
              <w:jc w:val="left"/>
            </w:pPr>
            <w:r>
              <w:rPr>
                <w:rFonts w:ascii="Tahoma" w:hAnsi="Tahoma"/>
                <w:color w:val="222222"/>
                <w:sz w:val="16"/>
              </w:rPr>
              <w:t>0–100</w:t>
            </w:r>
          </w:p>
        </w:tc>
        <w:tc>
          <w:tcPr>
            <w:tcW w:w="2500" w:type="dxa"/>
            <w:shd w:val="clear" w:color="auto" w:fill="FFFFFF"/>
          </w:tcPr>
          <w:p>
            <w:pPr>
              <w:spacing w:before="60" w:after="60"/>
              <w:jc w:val="left"/>
            </w:pPr>
            <w:r>
              <w:rPr>
                <w:rFonts w:ascii="Tahoma" w:hAnsi="Tahoma"/>
                <w:color w:val="222222"/>
                <w:sz w:val="16"/>
              </w:rPr>
              <w:t>Spending patterns + net worth (formula not published)</w:t>
            </w:r>
          </w:p>
        </w:tc>
        <w:tc>
          <w:tcPr>
            <w:tcW w:w="1100" w:type="dxa"/>
            <w:shd w:val="clear" w:color="auto" w:fill="FFFFFF"/>
          </w:tcPr>
          <w:p>
            <w:pPr>
              <w:spacing w:before="60" w:after="60"/>
              <w:jc w:val="left"/>
            </w:pPr>
            <w:r>
              <w:rPr>
                <w:rFonts w:ascii="Tahoma" w:hAnsi="Tahoma"/>
                <w:color w:val="222222"/>
                <w:sz w:val="16"/>
              </w:rPr>
              <w:t>✅ Filipino</w:t>
            </w:r>
          </w:p>
        </w:tc>
        <w:tc>
          <w:tcPr>
            <w:tcW w:w="800" w:type="dxa"/>
            <w:shd w:val="clear" w:color="auto" w:fill="FFFFFF"/>
          </w:tcPr>
          <w:p>
            <w:pPr>
              <w:spacing w:before="60" w:after="60"/>
              <w:jc w:val="left"/>
            </w:pPr>
            <w:r>
              <w:rPr>
                <w:rFonts w:ascii="Tahoma" w:hAnsi="Tahoma"/>
                <w:color w:val="222222"/>
                <w:sz w:val="16"/>
              </w:rPr>
              <w:t>❌ Web only</w:t>
            </w:r>
          </w:p>
        </w:tc>
        <w:tc>
          <w:tcPr>
            <w:tcW w:w="800" w:type="dxa"/>
            <w:shd w:val="clear" w:color="auto" w:fill="FFFFFF"/>
          </w:tcPr>
          <w:p>
            <w:pPr>
              <w:spacing w:before="60" w:after="60"/>
              <w:jc w:val="left"/>
            </w:pPr>
            <w:r>
              <w:rPr>
                <w:rFonts w:ascii="Tahoma" w:hAnsi="Tahoma"/>
                <w:color w:val="222222"/>
                <w:sz w:val="16"/>
              </w:rPr>
              <w:t>⚠️ Limited</w:t>
            </w:r>
          </w:p>
        </w:tc>
      </w:tr>
      <w:tr>
        <w:tc>
          <w:tcPr>
            <w:tcW w:w="1800" w:type="dxa"/>
            <w:shd w:val="clear" w:color="auto" w:fill="F5F5F5"/>
          </w:tcPr>
          <w:p>
            <w:pPr>
              <w:spacing w:before="60" w:after="60"/>
              <w:jc w:val="left"/>
            </w:pPr>
            <w:r>
              <w:rPr>
                <w:rFonts w:ascii="Tahoma" w:hAnsi="Tahoma"/>
                <w:color w:val="222222"/>
                <w:sz w:val="16"/>
              </w:rPr>
              <w:t>SmartSpend FHS</w:t>
            </w:r>
          </w:p>
        </w:tc>
        <w:tc>
          <w:tcPr>
            <w:tcW w:w="1700" w:type="dxa"/>
            <w:shd w:val="clear" w:color="auto" w:fill="F5F5F5"/>
          </w:tcPr>
          <w:p>
            <w:pPr>
              <w:spacing w:before="60" w:after="60"/>
              <w:jc w:val="left"/>
            </w:pPr>
            <w:r>
              <w:rPr>
                <w:rFonts w:ascii="Tahoma" w:hAnsi="Tahoma"/>
                <w:color w:val="222222"/>
                <w:sz w:val="16"/>
              </w:rPr>
              <w:t>Lucid Frame (this study)</w:t>
            </w:r>
          </w:p>
        </w:tc>
        <w:tc>
          <w:tcPr>
            <w:tcW w:w="900" w:type="dxa"/>
            <w:shd w:val="clear" w:color="auto" w:fill="F5F5F5"/>
          </w:tcPr>
          <w:p>
            <w:pPr>
              <w:spacing w:before="60" w:after="60"/>
              <w:jc w:val="left"/>
            </w:pPr>
            <w:r>
              <w:rPr>
                <w:rFonts w:ascii="Tahoma" w:hAnsi="Tahoma"/>
                <w:color w:val="222222"/>
                <w:sz w:val="16"/>
              </w:rPr>
              <w:t>0–100</w:t>
            </w:r>
          </w:p>
        </w:tc>
        <w:tc>
          <w:tcPr>
            <w:tcW w:w="2500" w:type="dxa"/>
            <w:shd w:val="clear" w:color="auto" w:fill="F5F5F5"/>
          </w:tcPr>
          <w:p>
            <w:pPr>
              <w:spacing w:before="60" w:after="60"/>
              <w:jc w:val="left"/>
            </w:pPr>
            <w:r>
              <w:rPr>
                <w:rFonts w:ascii="Tahoma" w:hAnsi="Tahoma"/>
                <w:color w:val="222222"/>
                <w:sz w:val="16"/>
              </w:rPr>
              <w:t>4-component behavioral formula computed from SQLite transaction data. Dual-mode (Full/Lightweight). Fully documented and traceable.</w:t>
            </w:r>
          </w:p>
        </w:tc>
        <w:tc>
          <w:tcPr>
            <w:tcW w:w="1100" w:type="dxa"/>
            <w:shd w:val="clear" w:color="auto" w:fill="F5F5F5"/>
          </w:tcPr>
          <w:p>
            <w:pPr>
              <w:spacing w:before="60" w:after="60"/>
              <w:jc w:val="left"/>
            </w:pPr>
            <w:r>
              <w:rPr>
                <w:rFonts w:ascii="Tahoma" w:hAnsi="Tahoma"/>
                <w:color w:val="222222"/>
                <w:sz w:val="16"/>
              </w:rPr>
              <w:t>✅ Full Taglish AI</w:t>
            </w:r>
          </w:p>
        </w:tc>
        <w:tc>
          <w:tcPr>
            <w:tcW w:w="800" w:type="dxa"/>
            <w:shd w:val="clear" w:color="auto" w:fill="F5F5F5"/>
          </w:tcPr>
          <w:p>
            <w:pPr>
              <w:spacing w:before="60" w:after="60"/>
              <w:jc w:val="left"/>
            </w:pPr>
            <w:r>
              <w:rPr>
                <w:rFonts w:ascii="Tahoma" w:hAnsi="Tahoma"/>
                <w:color w:val="222222"/>
                <w:sz w:val="16"/>
              </w:rPr>
              <w:t>✅ Fully offline</w:t>
            </w:r>
          </w:p>
        </w:tc>
        <w:tc>
          <w:tcPr>
            <w:tcW w:w="800" w:type="dxa"/>
            <w:shd w:val="clear" w:color="auto" w:fill="F5F5F5"/>
          </w:tcPr>
          <w:p>
            <w:pPr>
              <w:spacing w:before="60" w:after="60"/>
              <w:jc w:val="left"/>
            </w:pPr>
            <w:r>
              <w:rPr>
                <w:rFonts w:ascii="Tahoma" w:hAnsi="Tahoma"/>
                <w:color w:val="222222"/>
                <w:sz w:val="16"/>
              </w:rPr>
              <w:t>✅ Always free</w:t>
            </w:r>
          </w:p>
        </w:tc>
      </w:tr>
    </w:tbl>
    <w:p>
      <w:pPr>
        <w:spacing w:after="80"/>
      </w:pPr>
    </w:p>
    <w:tbl>
      <w:tblPr>
        <w:tblLook w:firstColumn="1" w:firstRow="1" w:lastColumn="0" w:lastRow="0" w:noHBand="0" w:noVBand="1" w:val="04A0"/>
        <w:tblW w:w="10224" w:type="dxa"/>
        <w:tblBorders>
          <w:top w:val="single" w:sz="4" w:space="0" w:color="1A6B3A"/>
          <w:left w:val="single" w:sz="4" w:space="0" w:color="1A6B3A"/>
          <w:bottom w:val="single" w:sz="4" w:space="0" w:color="1A6B3A"/>
          <w:right w:val="single" w:sz="4" w:space="0" w:color="1A6B3A"/>
          <w:insideH w:val="single" w:sz="4" w:space="0" w:color="1A6B3A"/>
          <w:insideV w:val="single" w:sz="4" w:space="0" w:color="1A6B3A"/>
        </w:tblBorders>
      </w:tblPr>
      <w:tblGrid>
        <w:gridCol w:w="10080"/>
      </w:tblGrid>
      <w:tr>
        <w:tc>
          <w:tcPr>
            <w:tcW w:type="dxa" w:w="10080"/>
            <w:shd w:val="clear" w:color="auto" w:fill="EFFFEF"/>
          </w:tcPr>
          <w:p>
            <w:pPr>
              <w:spacing w:before="100" w:after="100"/>
              <w:jc w:val="left"/>
            </w:pPr>
            <w:r>
              <w:rPr>
                <w:rFonts w:ascii="Tahoma" w:hAnsi="Tahoma"/>
                <w:b w:val="0"/>
                <w:color w:val="1A6B3A"/>
                <w:sz w:val="19"/>
              </w:rPr>
              <w:t>🎓  ACADEMIC ADVANTAGE</w:t>
              <w:br/>
              <w:t>SmartSpend's FHS is the only mobile-first, offline-capable, Filipino-English financial health scoring system with a fully documented, academically-traceable formula. Unlike Cleo or BudgetPH whose formulas are proprietary, every component and threshold in SmartSpend's FHS can be directly cited to a published academic framework.</w:t>
            </w:r>
          </w:p>
        </w:tc>
      </w:tr>
    </w:tbl>
    <w:p>
      <w:pPr>
        <w:spacing w:after="60"/>
      </w:pPr>
    </w:p>
    <w:p>
      <w:pPr>
        <w:spacing w:before="200" w:after="40"/>
      </w:pPr>
      <w:r>
        <w:rPr>
          <w:rFonts w:ascii="Tahoma" w:hAnsi="Tahoma"/>
          <w:b/>
          <w:color w:val="5C0E24"/>
          <w:sz w:val="24"/>
        </w:rPr>
        <w:t>7.  APA Citations for the FHS Framework</w:t>
      </w:r>
    </w:p>
    <w:p>
      <w:pPr>
        <w:spacing w:before="20" w:after="60"/>
        <w:ind w:left="432" w:hanging="432"/>
      </w:pPr>
      <w:r>
        <w:rPr>
          <w:rFonts w:ascii="Tahoma" w:hAnsi="Tahoma"/>
          <w:color w:val="222222"/>
          <w:sz w:val="17"/>
        </w:rPr>
        <w:t>Consumer Financial Protection Bureau. (2017). Financial well-being scale: Scale development technical report. CFPB. https://files.consumerfinance.gov/f/documents/201705_cfpb_financial-well-being-scale-technical-report.pdf</w:t>
      </w:r>
    </w:p>
    <w:p>
      <w:pPr>
        <w:spacing w:before="20" w:after="60"/>
        <w:ind w:left="432" w:hanging="432"/>
      </w:pPr>
      <w:r>
        <w:rPr>
          <w:rFonts w:ascii="Tahoma" w:hAnsi="Tahoma"/>
          <w:color w:val="222222"/>
          <w:sz w:val="17"/>
        </w:rPr>
        <w:t>Financial Health Network. (2021). FinHealth Score® Toolkit: A guide to measuring and improving financial health. https://finhealthnetwork.org/tools/financial-health-score/</w:t>
      </w:r>
    </w:p>
    <w:p>
      <w:pPr>
        <w:spacing w:before="20" w:after="60"/>
        <w:ind w:left="432" w:hanging="432"/>
      </w:pPr>
      <w:r>
        <w:rPr>
          <w:rFonts w:ascii="Tahoma" w:hAnsi="Tahoma"/>
          <w:color w:val="222222"/>
          <w:sz w:val="17"/>
        </w:rPr>
        <w:t>Financial Health Network. (2026). From insight to impact: The next phase of financial health measurement. https://finhealthnetwork.org/research/from-insight-to-impact-the-next-phase-of-financial-health-measurement/</w:t>
      </w:r>
    </w:p>
    <w:p>
      <w:pPr>
        <w:spacing w:before="20" w:after="60"/>
        <w:ind w:left="432" w:hanging="432"/>
      </w:pPr>
      <w:r>
        <w:rPr>
          <w:rFonts w:ascii="Tahoma" w:hAnsi="Tahoma"/>
          <w:color w:val="222222"/>
          <w:sz w:val="17"/>
        </w:rPr>
        <w:t>Kahneman, D., &amp; Tversky, A. (1979). Prospect theory: An analysis of decision under risk. Econometrica, 47(2), 263–292.</w:t>
      </w:r>
    </w:p>
    <w:p>
      <w:pPr>
        <w:spacing w:before="20" w:after="60"/>
        <w:ind w:left="432" w:hanging="432"/>
      </w:pPr>
      <w:r>
        <w:rPr>
          <w:rFonts w:ascii="Tahoma" w:hAnsi="Tahoma"/>
          <w:color w:val="222222"/>
          <w:sz w:val="17"/>
        </w:rPr>
        <w:t>Mindfulsuite. (2026). The impact of expense tracking on financial behavior: How consistent logging reduces discretionary spending. https://mindfulsuite.com/blog/expense-tracking-financial-behavior</w:t>
      </w:r>
    </w:p>
    <w:p>
      <w:pPr>
        <w:spacing w:before="20" w:after="60"/>
        <w:ind w:left="432" w:hanging="432"/>
      </w:pPr>
      <w:r>
        <w:rPr>
          <w:rFonts w:ascii="Tahoma" w:hAnsi="Tahoma"/>
          <w:color w:val="222222"/>
          <w:sz w:val="17"/>
        </w:rPr>
        <w:t>Thaler, R. H., &amp; Sunstein, C. R. (2008). Nudge: Improving decisions about health, wealth, and happiness. Yale University Press.</w:t>
      </w:r>
    </w:p>
    <w:p>
      <w:pPr>
        <w:spacing w:before="20" w:after="60"/>
        <w:ind w:left="432" w:hanging="432"/>
      </w:pPr>
      <w:r>
        <w:rPr>
          <w:rFonts w:ascii="Tahoma" w:hAnsi="Tahoma"/>
          <w:color w:val="222222"/>
          <w:sz w:val="17"/>
        </w:rPr>
        <w:t>UNSGSA. (2021). Measuring financial health: A framework for practitioners. United Nations Secretary-General's Special Advocate for Inclusive Finance for Development. https://www.unsgsa.org</w:t>
      </w:r>
    </w:p>
    <w:p>
      <w:pPr>
        <w:spacing w:before="20" w:after="60"/>
        <w:ind w:left="432" w:hanging="432"/>
      </w:pPr>
      <w:r>
        <w:rPr>
          <w:rFonts w:ascii="Tahoma" w:hAnsi="Tahoma"/>
          <w:color w:val="222222"/>
          <w:sz w:val="17"/>
        </w:rPr>
        <w:t>Warren, E., &amp; Tyagi, A. W. (2005). All your worth: The ultimate lifetime money plan. Free Press.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ahoma" w:hAnsi="Tahoma"/>
        <w:color w:val="666666"/>
        <w:sz w:val="14"/>
      </w:rPr>
      <w:t>SmartSpend FHS Research Brief  |  Lucid Frame  |  Lorma Colleges CCSE BSIT  |  AY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ahoma" w:hAnsi="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