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Výsledný protokol genetického vyšetření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000"/>
        <w:gridCol w:w="4000"/>
      </w:tblGrid>
      <w:tr>
        <w:tc>
          <w:tcPr>
            <w:tcW w:type="dxa" w:w="4320"/>
          </w:tcPr>
          <w:p>
            <w:r>
              <w:rPr>
                <w:b/>
              </w:rPr>
              <w:t>Jméno a příjmení:</w:t>
            </w:r>
          </w:p>
        </w:tc>
        <w:tc>
          <w:tcPr>
            <w:tcW w:type="dxa" w:w="4320"/>
          </w:tcPr>
          <w:p>
            <w:r>
              <w:t>Jan Novák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Rodné číslo:</w:t>
            </w:r>
          </w:p>
        </w:tc>
        <w:tc>
          <w:tcPr>
            <w:tcW w:type="dxa" w:w="4320"/>
          </w:tcPr>
          <w:p>
            <w:r>
              <w:t>850126/1158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Datum odběru:</w:t>
            </w:r>
          </w:p>
        </w:tc>
        <w:tc>
          <w:tcPr>
            <w:tcW w:type="dxa" w:w="4320"/>
          </w:tcPr>
          <w:p>
            <w:r>
              <w:t>2024-02-01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