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1017" w14:textId="77777777" w:rsidR="00B02320" w:rsidRPr="00B02320" w:rsidRDefault="00B02320" w:rsidP="00B02320">
      <w:r w:rsidRPr="00B02320">
        <w:t>Predicting the direction of financial dollarization movement with genetic algorithm and machine learning algorithms: The case of Turkey</w:t>
      </w:r>
    </w:p>
    <w:p w14:paraId="0DEA232B" w14:textId="77777777" w:rsidR="00B02320" w:rsidRPr="00B02320" w:rsidRDefault="00B02320" w:rsidP="00B02320">
      <w:r w:rsidRPr="00B02320">
        <w:t xml:space="preserve">Author links open overlay </w:t>
      </w:r>
      <w:proofErr w:type="spellStart"/>
      <w:r w:rsidRPr="00B02320">
        <w:t>panelMete</w:t>
      </w:r>
      <w:proofErr w:type="spellEnd"/>
      <w:r w:rsidRPr="00B02320">
        <w:t> </w:t>
      </w:r>
      <w:proofErr w:type="spellStart"/>
      <w:r w:rsidRPr="00B02320">
        <w:t>Bumin</w:t>
      </w:r>
      <w:proofErr w:type="spellEnd"/>
      <w:r w:rsidRPr="00B02320">
        <w:t> </w:t>
      </w:r>
      <w:r w:rsidRPr="00B02320">
        <w:rPr>
          <w:vertAlign w:val="superscript"/>
        </w:rPr>
        <w:t>a</w:t>
      </w:r>
      <w:r w:rsidRPr="00B02320">
        <w:t>, Mehmet </w:t>
      </w:r>
      <w:proofErr w:type="spellStart"/>
      <w:r w:rsidRPr="00B02320">
        <w:t>Ozcalici</w:t>
      </w:r>
      <w:proofErr w:type="spellEnd"/>
      <w:r w:rsidRPr="00B02320">
        <w:t> </w:t>
      </w:r>
      <w:r w:rsidRPr="00B02320">
        <w:rPr>
          <w:vertAlign w:val="superscript"/>
        </w:rPr>
        <w:t>b</w:t>
      </w:r>
    </w:p>
    <w:p w14:paraId="6A53CFCE" w14:textId="77777777" w:rsidR="00B02320" w:rsidRPr="00B02320" w:rsidRDefault="00B02320" w:rsidP="00B02320">
      <w:r w:rsidRPr="00B02320">
        <w:t>Show more</w:t>
      </w:r>
    </w:p>
    <w:p w14:paraId="2C5811F7" w14:textId="77777777" w:rsidR="00B02320" w:rsidRPr="00B02320" w:rsidRDefault="00B02320" w:rsidP="00B02320">
      <w:r w:rsidRPr="00B02320">
        <w:t>Add to Mendeley</w:t>
      </w:r>
    </w:p>
    <w:p w14:paraId="49B5FB6F" w14:textId="77777777" w:rsidR="00B02320" w:rsidRPr="00B02320" w:rsidRDefault="00B02320" w:rsidP="00B02320">
      <w:r w:rsidRPr="00B02320">
        <w:t>Share</w:t>
      </w:r>
    </w:p>
    <w:p w14:paraId="657BAED5" w14:textId="77777777" w:rsidR="00B02320" w:rsidRPr="00B02320" w:rsidRDefault="00B02320" w:rsidP="00B02320">
      <w:r w:rsidRPr="00B02320">
        <w:t>Cite</w:t>
      </w:r>
    </w:p>
    <w:p w14:paraId="54EF1597" w14:textId="77777777" w:rsidR="00B02320" w:rsidRPr="00B02320" w:rsidRDefault="00B02320" w:rsidP="00B02320">
      <w:hyperlink r:id="rId5" w:tgtFrame="_blank" w:tooltip="Persistent link using digital object identifier" w:history="1">
        <w:r w:rsidRPr="00B02320">
          <w:rPr>
            <w:rStyle w:val="Hyperlink"/>
          </w:rPr>
          <w:t>https://doi.org/10.1016/j.eswa.2022.119301</w:t>
        </w:r>
      </w:hyperlink>
      <w:hyperlink r:id="rId6" w:tgtFrame="_blank" w:history="1">
        <w:r w:rsidRPr="00B02320">
          <w:rPr>
            <w:rStyle w:val="Hyperlink"/>
          </w:rPr>
          <w:t>Get rights and content</w:t>
        </w:r>
      </w:hyperlink>
    </w:p>
    <w:p w14:paraId="731C377D" w14:textId="77777777" w:rsidR="00B02320" w:rsidRPr="00B02320" w:rsidRDefault="00B02320" w:rsidP="00B02320">
      <w:pPr>
        <w:rPr>
          <w:lang w:val="en"/>
        </w:rPr>
      </w:pPr>
      <w:r w:rsidRPr="00B02320">
        <w:rPr>
          <w:lang w:val="en"/>
        </w:rPr>
        <w:t>Highlights</w:t>
      </w:r>
    </w:p>
    <w:p w14:paraId="1C89BD5C" w14:textId="77777777" w:rsidR="00B02320" w:rsidRPr="00B02320" w:rsidRDefault="00B02320" w:rsidP="00B02320">
      <w:pPr>
        <w:numPr>
          <w:ilvl w:val="0"/>
          <w:numId w:val="1"/>
        </w:numPr>
      </w:pPr>
      <w:r w:rsidRPr="00B02320">
        <w:rPr>
          <w:lang w:val="en"/>
        </w:rPr>
        <w:t>•</w:t>
      </w:r>
    </w:p>
    <w:p w14:paraId="6B322B24" w14:textId="77777777" w:rsidR="00B02320" w:rsidRPr="00B02320" w:rsidRDefault="00B02320" w:rsidP="00B02320">
      <w:r w:rsidRPr="00B02320">
        <w:rPr>
          <w:lang w:val="en"/>
        </w:rPr>
        <w:t>The direction of the financial dollarization rate is predicted one week ahead.</w:t>
      </w:r>
    </w:p>
    <w:p w14:paraId="7EADF12C" w14:textId="77777777" w:rsidR="00B02320" w:rsidRPr="00B02320" w:rsidRDefault="00B02320" w:rsidP="00B02320">
      <w:pPr>
        <w:numPr>
          <w:ilvl w:val="0"/>
          <w:numId w:val="1"/>
        </w:numPr>
      </w:pPr>
      <w:r w:rsidRPr="00B02320">
        <w:rPr>
          <w:lang w:val="en"/>
        </w:rPr>
        <w:t>•</w:t>
      </w:r>
    </w:p>
    <w:p w14:paraId="720A10CE" w14:textId="77777777" w:rsidR="00B02320" w:rsidRPr="00B02320" w:rsidRDefault="00B02320" w:rsidP="00B02320">
      <w:r w:rsidRPr="00B02320">
        <w:rPr>
          <w:lang w:val="en"/>
        </w:rPr>
        <w:t>Four machine learning algorithms are utilized.</w:t>
      </w:r>
    </w:p>
    <w:p w14:paraId="0733975D" w14:textId="77777777" w:rsidR="00B02320" w:rsidRPr="00B02320" w:rsidRDefault="00B02320" w:rsidP="00B02320">
      <w:pPr>
        <w:numPr>
          <w:ilvl w:val="0"/>
          <w:numId w:val="1"/>
        </w:numPr>
      </w:pPr>
      <w:r w:rsidRPr="00B02320">
        <w:rPr>
          <w:lang w:val="en"/>
        </w:rPr>
        <w:t>•</w:t>
      </w:r>
    </w:p>
    <w:p w14:paraId="61428D3F" w14:textId="77777777" w:rsidR="00B02320" w:rsidRPr="00B02320" w:rsidRDefault="00B02320" w:rsidP="00B02320">
      <w:r w:rsidRPr="00B02320">
        <w:rPr>
          <w:lang w:val="en"/>
        </w:rPr>
        <w:t xml:space="preserve">Parameters of the machine learning algorithms are optimized with genetic </w:t>
      </w:r>
      <w:proofErr w:type="gramStart"/>
      <w:r w:rsidRPr="00B02320">
        <w:rPr>
          <w:lang w:val="en"/>
        </w:rPr>
        <w:t>algorithm</w:t>
      </w:r>
      <w:proofErr w:type="gramEnd"/>
      <w:r w:rsidRPr="00B02320">
        <w:rPr>
          <w:lang w:val="en"/>
        </w:rPr>
        <w:t>.</w:t>
      </w:r>
    </w:p>
    <w:p w14:paraId="51318825" w14:textId="77777777" w:rsidR="00B02320" w:rsidRPr="00B02320" w:rsidRDefault="00B02320" w:rsidP="00B02320">
      <w:r w:rsidRPr="00B02320">
        <w:t>Abstract</w:t>
      </w:r>
    </w:p>
    <w:p w14:paraId="7440E09C" w14:textId="77777777" w:rsidR="00B02320" w:rsidRPr="00B02320" w:rsidRDefault="00B02320" w:rsidP="00B02320">
      <w:r w:rsidRPr="00B02320">
        <w:t>Financial dollarization has many implications on the economy and the banking sector of developing countries. High level of financial dollarization causes fragilities on the balance sheet of the banks. Due to the negative effects of dollarization on the banks, predicting the financial dollarization rate for the following periods becomes very crucial for the soundness of the banking sector. This study aims to predict the weekly movement of the financial dollarization rate in the Turkish banking sector. The dataset includes asset dollarization rate series for 848 weeks between 30/12/2005 and 25/03/2022. Four different machine learning algorithms (K-Nearest Neighbor, Decision Tree, Naïve Bayes, and Support Vector Machine) are utilized to predict the next week’s financial dollarization rate movement. The parameters of the machine learning algorithms are optimized with a genetic algorithm. The parameters are divided into two groups as common parameters and model-specific parameters. Common parameters are the parameters utilized in all machine learning models and include the score transform method, standardization choice, the values on the cost matrix (used to reduce the misclassification rate), and autoregressive degree. The overall dataset is divided into four sub-</w:t>
      </w:r>
      <w:proofErr w:type="gramStart"/>
      <w:r w:rsidRPr="00B02320">
        <w:t>periods</w:t>
      </w:r>
      <w:proofErr w:type="gramEnd"/>
      <w:r w:rsidRPr="00B02320">
        <w:t xml:space="preserve"> and three different predicting schemes are </w:t>
      </w:r>
      <w:r w:rsidRPr="00B02320">
        <w:lastRenderedPageBreak/>
        <w:t xml:space="preserve">utilized in each sub-period and overall period. According to the results of the analysis, the </w:t>
      </w:r>
      <w:proofErr w:type="gramStart"/>
      <w:r w:rsidRPr="00B02320">
        <w:t>prediction</w:t>
      </w:r>
      <w:proofErr w:type="gramEnd"/>
      <w:r w:rsidRPr="00B02320">
        <w:t xml:space="preserve"> performance in the overall dataset, which covers a wider period, was up to 73 % and the prediction performance was up to 90 % in sub-period datasets where the economy was relatively stable.</w:t>
      </w:r>
    </w:p>
    <w:p w14:paraId="77F5B375" w14:textId="77777777" w:rsidR="00B02320" w:rsidRPr="00B02320" w:rsidRDefault="00B02320" w:rsidP="00B02320">
      <w:r w:rsidRPr="00B02320">
        <w:t>Introduction</w:t>
      </w:r>
    </w:p>
    <w:p w14:paraId="27F29A33" w14:textId="77777777" w:rsidR="00B02320" w:rsidRPr="00B02320" w:rsidRDefault="00B02320" w:rsidP="00B02320">
      <w:r w:rsidRPr="00B02320">
        <w:t xml:space="preserve">Dollarization is a highly discussed subject in </w:t>
      </w:r>
      <w:proofErr w:type="gramStart"/>
      <w:r w:rsidRPr="00B02320">
        <w:t>the finance</w:t>
      </w:r>
      <w:proofErr w:type="gramEnd"/>
      <w:r w:rsidRPr="00B02320">
        <w:t xml:space="preserve"> literature that aims to explore the main drivers of holding deposits and using loans in foreign currencies by the firms and households in the economies of developing countries. In the literature, financial dollarization is generally defined as holding a share of assets and liabilities in foreign currency by the residents (Armas et al., 2006). In this context, while asset dollarization mainly refers to the deposits held in foreign currencies, liability dollarization mainly refers to the loans denominated in foreign currencies in the banking system. Financial dollarization has many negative effects and implications on the economy and the banking sector. Financial dollarization causes increase in the exposure of firms and households to exchange rate </w:t>
      </w:r>
      <w:proofErr w:type="gramStart"/>
      <w:r w:rsidRPr="00B02320">
        <w:t>risk</w:t>
      </w:r>
      <w:proofErr w:type="gramEnd"/>
      <w:r w:rsidRPr="00B02320">
        <w:t xml:space="preserve"> and, because of that, it arises as a potential source of financial instability in the economy.</w:t>
      </w:r>
    </w:p>
    <w:p w14:paraId="21125266" w14:textId="77777777" w:rsidR="00B02320" w:rsidRPr="00B02320" w:rsidRDefault="00B02320" w:rsidP="00B02320">
      <w:r w:rsidRPr="00B02320">
        <w:t>In some developing countries, high levels of foreign exchange deposits resulting from the lack of confidence in domestic currency due to the periods of high inflation rates and depreciation increased the high exchange rate exposure of the agents, which eventually pose threats to the macroeconomic and financial stability of these countries (Winkler &amp; Beck, 2006).</w:t>
      </w:r>
    </w:p>
    <w:p w14:paraId="56EFCB8D" w14:textId="77777777" w:rsidR="00B02320" w:rsidRPr="00B02320" w:rsidRDefault="00B02320" w:rsidP="00B02320">
      <w:r w:rsidRPr="00B02320">
        <w:t>The banking sectors of developing countries have also been affected by financial dollarization. Maturity and currency mismatch of loans and deposits, local and foreign currency liquidity requirements of the banks, and increase in non-performing loans by affecting the asset quality of the banks are the potential risk areas for the banks caused by financial dollarization.</w:t>
      </w:r>
    </w:p>
    <w:p w14:paraId="4860B86A" w14:textId="77777777" w:rsidR="00B02320" w:rsidRPr="00B02320" w:rsidRDefault="00B02320" w:rsidP="00B02320">
      <w:r w:rsidRPr="00B02320">
        <w:t>Having foreign exchange deposits and foreign currency-denominated loans can increase the financial fragility of the banks, create balance sheet problems and affect the profitability of banks by increasing banks’ currency risk and their clients’ default risk due to the depreciation of the local currency in a group of dollarized banking systems (</w:t>
      </w:r>
      <w:proofErr w:type="spellStart"/>
      <w:r w:rsidRPr="00B02320">
        <w:t>Kutan</w:t>
      </w:r>
      <w:proofErr w:type="spellEnd"/>
      <w:r w:rsidRPr="00B02320">
        <w:t xml:space="preserve"> et al., 2012).</w:t>
      </w:r>
    </w:p>
    <w:p w14:paraId="418F8C54" w14:textId="77777777" w:rsidR="00B02320" w:rsidRPr="00B02320" w:rsidRDefault="00B02320" w:rsidP="00B02320">
      <w:r w:rsidRPr="00B02320">
        <w:t xml:space="preserve">Financial dollarization has many negative implications for the banking sector of developing countries. Currency mismatch of loans and deposits in the banking sector because of the high level of financial dollarization cause fragilities on the balance sheet of the banks in times of </w:t>
      </w:r>
      <w:proofErr w:type="gramStart"/>
      <w:r w:rsidRPr="00B02320">
        <w:t>the depreciation</w:t>
      </w:r>
      <w:proofErr w:type="gramEnd"/>
      <w:r w:rsidRPr="00B02320">
        <w:t xml:space="preserve"> of the local currency. Due to the negative effects of financial </w:t>
      </w:r>
      <w:r w:rsidRPr="00B02320">
        <w:lastRenderedPageBreak/>
        <w:t>dollarization on the banks, predicting the financial dollarization rate for the following periods becomes very crucial for the soundness of the banking sector. Therefore, supervisory authorities who are responsible for the supervision of the banking sector should closely follow the financial dollarization rates in the sector to monitor the banks and prevent bank failures.</w:t>
      </w:r>
    </w:p>
    <w:p w14:paraId="3B0759D8" w14:textId="77777777" w:rsidR="00B02320" w:rsidRPr="00B02320" w:rsidRDefault="00B02320" w:rsidP="00B02320">
      <w:r w:rsidRPr="00B02320">
        <w:t xml:space="preserve">Predicting the dollarization rate in future periods by using the data of the past performance of the sector help supervisory authorities for enforcing the required policies and actions to protect the financial soundness of the banking sector. Supervisory authorities may apply different models to predict the financial dollarization of the banking sector. Therefore, determining the most effective model, which has higher performance in predicting the dollarization rates, is a crucial issue for the supervisory authorities. Effective predicting models on the dollarization rates also help </w:t>
      </w:r>
      <w:proofErr w:type="gramStart"/>
      <w:r w:rsidRPr="00B02320">
        <w:t>the central</w:t>
      </w:r>
      <w:proofErr w:type="gramEnd"/>
      <w:r w:rsidRPr="00B02320">
        <w:t xml:space="preserve"> banks and other public authorities in the economy to shape monetary and economic policies. These models can also be used by researchers, economists, and generally all players in the market to monitor the general status of the banking sector and economy.</w:t>
      </w:r>
    </w:p>
    <w:p w14:paraId="240E7974" w14:textId="77777777" w:rsidR="00B02320" w:rsidRPr="00B02320" w:rsidRDefault="00B02320" w:rsidP="00B02320">
      <w:r w:rsidRPr="00B02320">
        <w:t>Machine learning is a powerful data analysis tool that provides the ability to learn from historical data automatically and improve it without the need for explicit programming. (Verma et al., 2021). These techniques are often grouped into two categories (</w:t>
      </w:r>
      <w:proofErr w:type="spellStart"/>
      <w:r w:rsidRPr="00B02320">
        <w:t>Pallathadka</w:t>
      </w:r>
      <w:proofErr w:type="spellEnd"/>
      <w:r w:rsidRPr="00B02320">
        <w:t xml:space="preserve"> et al., 2021). The first category is supervised learning where labeled training data is employed for classification or regression. The second category is unsupervised learning techniques where unlabeled data is employed to identify hidden existing patterns (clustering). Many classification analysis applications involve input attributes that are time series classification problems (Lee et al., 2012).</w:t>
      </w:r>
    </w:p>
    <w:p w14:paraId="5A5623A4" w14:textId="77777777" w:rsidR="00B02320" w:rsidRPr="00B02320" w:rsidRDefault="00B02320" w:rsidP="00B02320">
      <w:r w:rsidRPr="00B02320">
        <w:t xml:space="preserve">Machine learning algorithms are successfully utilized for financial time series direction prediction (Barra et al., 2020, Carta et al., 2019, Carta et al., 2020, Dingli and Fournier, 2017, Huang et al., 2005, Hu et al., 2018, </w:t>
      </w:r>
      <w:proofErr w:type="spellStart"/>
      <w:r w:rsidRPr="00B02320">
        <w:t>Hyup</w:t>
      </w:r>
      <w:proofErr w:type="spellEnd"/>
      <w:r w:rsidRPr="00B02320">
        <w:t xml:space="preserve"> Roh, 2007, Kara et al., 2011, </w:t>
      </w:r>
      <w:proofErr w:type="spellStart"/>
      <w:r w:rsidRPr="00B02320">
        <w:t>Kewat</w:t>
      </w:r>
      <w:proofErr w:type="spellEnd"/>
      <w:r w:rsidRPr="00B02320">
        <w:t xml:space="preserve"> et al., 2017; K. Kim et al., 2022; K. J. Kim, 2003; S. Kim et al., 2020, Liu and Tomoharu Nagao, 2006, Moews et al., 2019, </w:t>
      </w:r>
      <w:proofErr w:type="spellStart"/>
      <w:r w:rsidRPr="00B02320">
        <w:t>Özorhan</w:t>
      </w:r>
      <w:proofErr w:type="spellEnd"/>
      <w:r w:rsidRPr="00B02320">
        <w:t xml:space="preserve"> et al., 2019, </w:t>
      </w:r>
      <w:proofErr w:type="spellStart"/>
      <w:r w:rsidRPr="00B02320">
        <w:t>Skabar</w:t>
      </w:r>
      <w:proofErr w:type="spellEnd"/>
      <w:r w:rsidRPr="00B02320">
        <w:t>, 2013; D. Wu et al., 2020, Zhiqiang et al., 2012). For that reason, machine learning algorithms are selected as predicting models in this study. However, the determination of the parameters of the machine learning algorithms emerged as a problem that the researcher must solve carefully. There is no consensus on a single method for determining the parameters of the machine learning algorithms.</w:t>
      </w:r>
    </w:p>
    <w:p w14:paraId="35A235E0" w14:textId="77777777" w:rsidR="00B02320" w:rsidRPr="00B02320" w:rsidRDefault="00B02320" w:rsidP="00B02320">
      <w:r w:rsidRPr="00B02320">
        <w:t xml:space="preserve">This study proposes a method to optimize the parameters of machine learning algorithms with genetic </w:t>
      </w:r>
      <w:proofErr w:type="gramStart"/>
      <w:r w:rsidRPr="00B02320">
        <w:t>algorithm</w:t>
      </w:r>
      <w:proofErr w:type="gramEnd"/>
      <w:r w:rsidRPr="00B02320">
        <w:t xml:space="preserve"> in predicting the movement of the dollarization rate.</w:t>
      </w:r>
    </w:p>
    <w:p w14:paraId="2AF9B069" w14:textId="77777777" w:rsidR="00B02320" w:rsidRPr="00B02320" w:rsidRDefault="00B02320" w:rsidP="00B02320">
      <w:r w:rsidRPr="00B02320">
        <w:lastRenderedPageBreak/>
        <w:t>The contribution of the study can be highlighted as follows:</w:t>
      </w:r>
    </w:p>
    <w:p w14:paraId="47F18469" w14:textId="77777777" w:rsidR="00B02320" w:rsidRPr="00B02320" w:rsidRDefault="00B02320" w:rsidP="00B02320">
      <w:pPr>
        <w:numPr>
          <w:ilvl w:val="0"/>
          <w:numId w:val="2"/>
        </w:numPr>
      </w:pPr>
      <w:r w:rsidRPr="00B02320">
        <w:t>-</w:t>
      </w:r>
    </w:p>
    <w:p w14:paraId="177188F0" w14:textId="77777777" w:rsidR="00B02320" w:rsidRPr="00B02320" w:rsidRDefault="00B02320" w:rsidP="00B02320">
      <w:r w:rsidRPr="00B02320">
        <w:t xml:space="preserve">Next week’s direction of FX deposit rate is predicted with four different machine learning models </w:t>
      </w:r>
      <w:proofErr w:type="spellStart"/>
      <w:r w:rsidRPr="00B02320">
        <w:t>i</w:t>
      </w:r>
      <w:proofErr w:type="spellEnd"/>
      <w:r w:rsidRPr="00B02320">
        <w:t>) K nearest neighbors (KNN), ii) decision tree (TREE), iii) Naïve Bayes (NB), and iv) support vector machine (SVM).</w:t>
      </w:r>
    </w:p>
    <w:p w14:paraId="799F1C07" w14:textId="77777777" w:rsidR="00B02320" w:rsidRPr="00B02320" w:rsidRDefault="00B02320" w:rsidP="00B02320">
      <w:pPr>
        <w:numPr>
          <w:ilvl w:val="0"/>
          <w:numId w:val="2"/>
        </w:numPr>
      </w:pPr>
      <w:r w:rsidRPr="00B02320">
        <w:t>-</w:t>
      </w:r>
    </w:p>
    <w:p w14:paraId="68032543" w14:textId="77777777" w:rsidR="00B02320" w:rsidRPr="00B02320" w:rsidRDefault="00B02320" w:rsidP="00B02320">
      <w:r w:rsidRPr="00B02320">
        <w:t>Parameters of the machine learning models as well as autoregressive degree are optimized together with a popular metaheuristic algorithm, which is called genetic algorithm.</w:t>
      </w:r>
    </w:p>
    <w:p w14:paraId="5BB96AC2" w14:textId="77777777" w:rsidR="00B02320" w:rsidRPr="00B02320" w:rsidRDefault="00B02320" w:rsidP="00B02320">
      <w:pPr>
        <w:numPr>
          <w:ilvl w:val="0"/>
          <w:numId w:val="2"/>
        </w:numPr>
      </w:pPr>
      <w:r w:rsidRPr="00B02320">
        <w:t>-</w:t>
      </w:r>
    </w:p>
    <w:p w14:paraId="73417222" w14:textId="77777777" w:rsidR="00B02320" w:rsidRPr="00B02320" w:rsidRDefault="00B02320" w:rsidP="00B02320">
      <w:r w:rsidRPr="00B02320">
        <w:t>There are five common parameters and up to four model-specific parameters in the parameter pool.</w:t>
      </w:r>
    </w:p>
    <w:p w14:paraId="30C48481" w14:textId="77777777" w:rsidR="00B02320" w:rsidRPr="00B02320" w:rsidRDefault="00B02320" w:rsidP="00B02320">
      <w:pPr>
        <w:numPr>
          <w:ilvl w:val="0"/>
          <w:numId w:val="2"/>
        </w:numPr>
      </w:pPr>
      <w:r w:rsidRPr="00B02320">
        <w:t>-</w:t>
      </w:r>
    </w:p>
    <w:p w14:paraId="7E1C0FF7" w14:textId="77777777" w:rsidR="00B02320" w:rsidRPr="00B02320" w:rsidRDefault="00B02320" w:rsidP="00B02320">
      <w:r w:rsidRPr="00B02320">
        <w:t>Parameters are optimized without the intervention of the researcher.</w:t>
      </w:r>
    </w:p>
    <w:p w14:paraId="159D8566" w14:textId="77777777" w:rsidR="00B02320" w:rsidRPr="00B02320" w:rsidRDefault="00B02320" w:rsidP="00B02320">
      <w:pPr>
        <w:numPr>
          <w:ilvl w:val="0"/>
          <w:numId w:val="2"/>
        </w:numPr>
      </w:pPr>
      <w:r w:rsidRPr="00B02320">
        <w:t>-</w:t>
      </w:r>
    </w:p>
    <w:p w14:paraId="57134789" w14:textId="77777777" w:rsidR="00B02320" w:rsidRPr="00B02320" w:rsidRDefault="00B02320" w:rsidP="00B02320">
      <w:r w:rsidRPr="00B02320">
        <w:t>Three different predicting schemes (fixed, extended window, and rolling window) are utilized to determine whether there was a difference in predicting performance.</w:t>
      </w:r>
    </w:p>
    <w:p w14:paraId="19AC366D" w14:textId="77777777" w:rsidR="00B02320" w:rsidRPr="00B02320" w:rsidRDefault="00B02320" w:rsidP="00B02320">
      <w:pPr>
        <w:numPr>
          <w:ilvl w:val="0"/>
          <w:numId w:val="2"/>
        </w:numPr>
      </w:pPr>
      <w:r w:rsidRPr="00B02320">
        <w:t>-</w:t>
      </w:r>
    </w:p>
    <w:p w14:paraId="7EB0BD66" w14:textId="77777777" w:rsidR="00B02320" w:rsidRPr="00B02320" w:rsidRDefault="00B02320" w:rsidP="00B02320">
      <w:r w:rsidRPr="00B02320">
        <w:t>The overall dataset is divided into sub-periods to determine whether there was a difference in predicting performance.</w:t>
      </w:r>
    </w:p>
    <w:p w14:paraId="5D5EEF09" w14:textId="77777777" w:rsidR="00B02320" w:rsidRPr="00B02320" w:rsidRDefault="00B02320" w:rsidP="00B02320">
      <w:pPr>
        <w:numPr>
          <w:ilvl w:val="0"/>
          <w:numId w:val="2"/>
        </w:numPr>
      </w:pPr>
      <w:r w:rsidRPr="00B02320">
        <w:t>-</w:t>
      </w:r>
    </w:p>
    <w:p w14:paraId="1E050536" w14:textId="77777777" w:rsidR="00B02320" w:rsidRPr="00B02320" w:rsidRDefault="00B02320" w:rsidP="00B02320">
      <w:r w:rsidRPr="00B02320">
        <w:t>The performance of the models is evaluated with 10 classification error measurements.</w:t>
      </w:r>
    </w:p>
    <w:p w14:paraId="41A5B365" w14:textId="77777777" w:rsidR="00B02320" w:rsidRPr="00B02320" w:rsidRDefault="00B02320" w:rsidP="00B02320">
      <w:r w:rsidRPr="00B02320">
        <w:t>The study has been formed as follows. After this introduction section, a summary of the literature is presented in Section 2. In Section 3, the development of financial dollarization, namely asset and liability dollarization, in the Turkish banking sector is presented. Section 4 is devoted to the summaries of the methodology of the study. In Section 5, the analysis and results of the study are presented. Section 6 is dedicated to the conclusion, limitations, and future research directions.</w:t>
      </w:r>
    </w:p>
    <w:p w14:paraId="0CE00E2C" w14:textId="77777777" w:rsidR="00B02320" w:rsidRPr="00B02320" w:rsidRDefault="00B02320" w:rsidP="00B02320">
      <w:r w:rsidRPr="00B02320">
        <w:t>Access through your organization</w:t>
      </w:r>
    </w:p>
    <w:p w14:paraId="0A8C77B8" w14:textId="77777777" w:rsidR="00B02320" w:rsidRPr="00B02320" w:rsidRDefault="00B02320" w:rsidP="00B02320">
      <w:r w:rsidRPr="00B02320">
        <w:t>Check access to the full text by signing in through your organization.</w:t>
      </w:r>
    </w:p>
    <w:p w14:paraId="49D97721" w14:textId="77777777" w:rsidR="00B02320" w:rsidRPr="00B02320" w:rsidRDefault="00B02320" w:rsidP="00B02320">
      <w:r w:rsidRPr="00B02320">
        <w:lastRenderedPageBreak/>
        <w:t>Section snippets</w:t>
      </w:r>
    </w:p>
    <w:p w14:paraId="36BC0A0D" w14:textId="77777777" w:rsidR="00B02320" w:rsidRPr="00B02320" w:rsidRDefault="00B02320" w:rsidP="00B02320">
      <w:r w:rsidRPr="00B02320">
        <w:t>Literature review</w:t>
      </w:r>
    </w:p>
    <w:p w14:paraId="66DA5F20" w14:textId="77777777" w:rsidR="00B02320" w:rsidRPr="00B02320" w:rsidRDefault="00B02320" w:rsidP="00B02320">
      <w:r w:rsidRPr="00B02320">
        <w:t>The studies on dollarization attempted to explore the relationship between dollarization and other variables such as inflation, interest rate differential, exchange rate volatility, and other macroeconomic variables on data from one or more countries by employing different empirical methods. While some studies focused on asset (deposit) dollarization and liability (loan) dollarization together, some studies worked on asset and liability dollarization separately.</w:t>
      </w:r>
    </w:p>
    <w:p w14:paraId="628036A0" w14:textId="77777777" w:rsidR="00B02320" w:rsidRPr="00B02320" w:rsidRDefault="00B02320" w:rsidP="00B02320">
      <w:r w:rsidRPr="00B02320">
        <w:t>The studies that used data from</w:t>
      </w:r>
    </w:p>
    <w:p w14:paraId="6BBC7675" w14:textId="77777777" w:rsidR="00B02320" w:rsidRPr="00B02320" w:rsidRDefault="00B02320" w:rsidP="00B02320">
      <w:r w:rsidRPr="00B02320">
        <w:t>Financial dollarization in the Turkish banking sector</w:t>
      </w:r>
    </w:p>
    <w:p w14:paraId="38195AA5" w14:textId="77777777" w:rsidR="00B02320" w:rsidRPr="00B02320" w:rsidRDefault="00B02320" w:rsidP="00B02320">
      <w:r w:rsidRPr="00B02320">
        <w:t>Banks, which are the main players in the Turkish financial system, constitute 81 % of the total assets of the financial sector. (TBB, 2019). The total assets of the Turkish banking sector have reached 9,149 billion TL (758 billion USD) as of December 2021. Loans have the highest portion of total assets in the sector. In December 2021, the total loan amount was 4,721 billion TL. The share of loans in total assets was 51.6 %. As of December 2021, loans in Turkish Lira (TL loans) accounted for</w:t>
      </w:r>
    </w:p>
    <w:p w14:paraId="3FB73466" w14:textId="77777777" w:rsidR="00B02320" w:rsidRPr="00B02320" w:rsidRDefault="00B02320" w:rsidP="00B02320">
      <w:r w:rsidRPr="00B02320">
        <w:t>Methodology</w:t>
      </w:r>
    </w:p>
    <w:p w14:paraId="7261F954" w14:textId="77777777" w:rsidR="00B02320" w:rsidRPr="00B02320" w:rsidRDefault="00B02320" w:rsidP="00B02320">
      <w:r w:rsidRPr="00B02320">
        <w:t>In this section, the principles of the genetic algorithm, K-nearest neighbor, decision tree (CART algorithm), Naïve Bayes, and Support Vector Machines are summarized.</w:t>
      </w:r>
    </w:p>
    <w:p w14:paraId="33A70846" w14:textId="77777777" w:rsidR="00B02320" w:rsidRPr="00B02320" w:rsidRDefault="00B02320" w:rsidP="00B02320">
      <w:r w:rsidRPr="00B02320">
        <w:t>Datasets</w:t>
      </w:r>
    </w:p>
    <w:p w14:paraId="29F5298B" w14:textId="77777777" w:rsidR="00B02320" w:rsidRPr="00B02320" w:rsidRDefault="00B02320" w:rsidP="00B02320">
      <w:r w:rsidRPr="00B02320">
        <w:t xml:space="preserve">In the study, the asset dollarization rate (FX deposits/total deposits) of 848 weekly data of the Turkish banking sector between the period of 30/12/2005 and 25/03/2022 was used. In addition to </w:t>
      </w:r>
      <w:proofErr w:type="gramStart"/>
      <w:r w:rsidRPr="00B02320">
        <w:t>this 848 weeks</w:t>
      </w:r>
      <w:proofErr w:type="gramEnd"/>
      <w:r w:rsidRPr="00B02320">
        <w:t xml:space="preserve"> period (overall period), the datasets were also divided into four sub-periods by considering exchange rate movement to make a more robust analysis. The four sub-periods were created in which exchange rates were increased at a steady rate in the overall period. The certain periods of time</w:t>
      </w:r>
    </w:p>
    <w:p w14:paraId="3D47713E" w14:textId="77777777" w:rsidR="00B02320" w:rsidRPr="00B02320" w:rsidRDefault="00B02320" w:rsidP="00B02320">
      <w:r w:rsidRPr="00B02320">
        <w:t>Conclusion</w:t>
      </w:r>
    </w:p>
    <w:p w14:paraId="78D036C1" w14:textId="77777777" w:rsidR="00B02320" w:rsidRPr="00B02320" w:rsidRDefault="00B02320" w:rsidP="00B02320">
      <w:r w:rsidRPr="00B02320">
        <w:t>To utilize machine learning algorithms for predicting purposes, the parameters of the models must be determined. Determining optimal parameters for researchers of the models may be difficult if they are not an expert in the machine learning field. In this study, the Genetic Algorithm is employed to determine the parameters of the machine learning algorithms. Model-specific parameters, as well as common parameters such as score transformation method, standardization choice, cost matrix, and</w:t>
      </w:r>
    </w:p>
    <w:p w14:paraId="66D18525" w14:textId="77777777" w:rsidR="00B02320" w:rsidRPr="00B02320" w:rsidRDefault="00B02320" w:rsidP="00B02320">
      <w:proofErr w:type="spellStart"/>
      <w:r w:rsidRPr="00B02320">
        <w:lastRenderedPageBreak/>
        <w:t>CRediT</w:t>
      </w:r>
      <w:proofErr w:type="spellEnd"/>
      <w:r w:rsidRPr="00B02320">
        <w:t xml:space="preserve"> authorship contribution statement</w:t>
      </w:r>
    </w:p>
    <w:p w14:paraId="0EEDC02D" w14:textId="77777777" w:rsidR="00B02320" w:rsidRPr="00B02320" w:rsidRDefault="00B02320" w:rsidP="00B02320">
      <w:r w:rsidRPr="00B02320">
        <w:rPr>
          <w:b/>
          <w:bCs/>
        </w:rPr>
        <w:t xml:space="preserve">Mete </w:t>
      </w:r>
      <w:proofErr w:type="spellStart"/>
      <w:r w:rsidRPr="00B02320">
        <w:rPr>
          <w:b/>
          <w:bCs/>
        </w:rPr>
        <w:t>Bumin</w:t>
      </w:r>
      <w:proofErr w:type="spellEnd"/>
      <w:r w:rsidRPr="00B02320">
        <w:rPr>
          <w:b/>
          <w:bCs/>
        </w:rPr>
        <w:t>:</w:t>
      </w:r>
      <w:r w:rsidRPr="00B02320">
        <w:t> Conceptualization, Validation, Resources, Data curation, Writing – original draft, Supervision. </w:t>
      </w:r>
      <w:r w:rsidRPr="00B02320">
        <w:rPr>
          <w:b/>
          <w:bCs/>
        </w:rPr>
        <w:t>Mehmet Ozcalici:</w:t>
      </w:r>
      <w:r w:rsidRPr="00B02320">
        <w:t> Methodology, Software, Formal analysis, Investigation, Writing – review &amp; editing, Visualization.</w:t>
      </w:r>
    </w:p>
    <w:p w14:paraId="51F228C2" w14:textId="77777777" w:rsidR="00B02320" w:rsidRPr="00B02320" w:rsidRDefault="00B02320" w:rsidP="00B02320">
      <w:r w:rsidRPr="00B02320">
        <w:t>Declaration of Competing Interest</w:t>
      </w:r>
    </w:p>
    <w:p w14:paraId="52126CF9" w14:textId="77777777" w:rsidR="00B02320" w:rsidRPr="00B02320" w:rsidRDefault="00B02320" w:rsidP="00B02320">
      <w:r w:rsidRPr="00B02320">
        <w:t>The authors declare that they have no known competing financial interests or personal relationships that could have appeared to influence the work reported in this paper.</w:t>
      </w:r>
    </w:p>
    <w:p w14:paraId="27EB65C6" w14:textId="77777777" w:rsidR="00B02320" w:rsidRPr="00B02320" w:rsidRDefault="00B02320" w:rsidP="00B02320">
      <w:r w:rsidRPr="00B02320">
        <w:t>Acknowledgement</w:t>
      </w:r>
    </w:p>
    <w:p w14:paraId="0CAC2431" w14:textId="77777777" w:rsidR="00B02320" w:rsidRPr="00B02320" w:rsidRDefault="00B02320" w:rsidP="00B02320">
      <w:r w:rsidRPr="00B02320">
        <w:t xml:space="preserve">The authors would like to </w:t>
      </w:r>
      <w:proofErr w:type="gramStart"/>
      <w:r w:rsidRPr="00B02320">
        <w:t>thank to</w:t>
      </w:r>
      <w:proofErr w:type="gramEnd"/>
      <w:r w:rsidRPr="00B02320">
        <w:t xml:space="preserve"> the editors and the anonymous reviewers for </w:t>
      </w:r>
      <w:proofErr w:type="gramStart"/>
      <w:r w:rsidRPr="00B02320">
        <w:t>all of</w:t>
      </w:r>
      <w:proofErr w:type="gramEnd"/>
      <w:r w:rsidRPr="00B02320">
        <w:t xml:space="preserve"> their careful, constructive and insightful comments and suggestions towards improving this study.</w:t>
      </w:r>
    </w:p>
    <w:p w14:paraId="42F51550" w14:textId="77777777" w:rsidR="00B02320" w:rsidRPr="00B02320" w:rsidRDefault="00B02320" w:rsidP="00B02320">
      <w:r w:rsidRPr="00B02320">
        <w:rPr>
          <w:b/>
          <w:bCs/>
        </w:rPr>
        <w:t xml:space="preserve">Mr. Mete </w:t>
      </w:r>
      <w:proofErr w:type="spellStart"/>
      <w:r w:rsidRPr="00B02320">
        <w:rPr>
          <w:b/>
          <w:bCs/>
        </w:rPr>
        <w:t>Bumin</w:t>
      </w:r>
      <w:proofErr w:type="spellEnd"/>
      <w:r w:rsidRPr="00B02320">
        <w:t xml:space="preserve"> is an associate professor and working at the Banking Regulation and Supervision Agency of Turkey, which is the public authority responsible for the supervision of the Turkish banking sector. He received bachelor's degree (BA) in political science and international relations from </w:t>
      </w:r>
      <w:proofErr w:type="spellStart"/>
      <w:r w:rsidRPr="00B02320">
        <w:t>Bogazici</w:t>
      </w:r>
      <w:proofErr w:type="spellEnd"/>
      <w:r w:rsidRPr="00B02320">
        <w:t xml:space="preserve"> University, Istanbul, Turkey in 1992; </w:t>
      </w:r>
      <w:proofErr w:type="gramStart"/>
      <w:r w:rsidRPr="00B02320">
        <w:t>master of business administration</w:t>
      </w:r>
      <w:proofErr w:type="gramEnd"/>
      <w:r w:rsidRPr="00B02320">
        <w:t xml:space="preserve"> degree (MBA) in finance from Temple University, Philadelphia, USA in 1997; and PhD. degree in business administration from</w:t>
      </w:r>
    </w:p>
    <w:p w14:paraId="3C83B195" w14:textId="77777777" w:rsidR="003632BE" w:rsidRPr="003632BE" w:rsidRDefault="003632BE" w:rsidP="003632BE">
      <w:r w:rsidRPr="003632BE">
        <w:t>Forecasting macroeconomic time series: LASSO-based approaches and their forecast combinations with dynamic factor models</w:t>
      </w:r>
    </w:p>
    <w:p w14:paraId="23407BB8" w14:textId="77777777" w:rsidR="003632BE" w:rsidRPr="003632BE" w:rsidRDefault="003632BE" w:rsidP="003632BE">
      <w:r w:rsidRPr="003632BE">
        <w:t xml:space="preserve">Author links open overlay </w:t>
      </w:r>
      <w:proofErr w:type="spellStart"/>
      <w:r w:rsidRPr="003632BE">
        <w:t>panelJiahan</w:t>
      </w:r>
      <w:proofErr w:type="spellEnd"/>
      <w:r w:rsidRPr="003632BE">
        <w:t> Li, Weiye Chen</w:t>
      </w:r>
    </w:p>
    <w:p w14:paraId="7BD70C78" w14:textId="77777777" w:rsidR="003632BE" w:rsidRPr="003632BE" w:rsidRDefault="003632BE" w:rsidP="003632BE">
      <w:r w:rsidRPr="003632BE">
        <w:t>Show more</w:t>
      </w:r>
    </w:p>
    <w:p w14:paraId="04065481" w14:textId="77777777" w:rsidR="003632BE" w:rsidRPr="003632BE" w:rsidRDefault="003632BE" w:rsidP="003632BE">
      <w:r w:rsidRPr="003632BE">
        <w:t>Add to Mendeley</w:t>
      </w:r>
    </w:p>
    <w:p w14:paraId="01E4848D" w14:textId="77777777" w:rsidR="003632BE" w:rsidRPr="003632BE" w:rsidRDefault="003632BE" w:rsidP="003632BE">
      <w:r w:rsidRPr="003632BE">
        <w:t>Share</w:t>
      </w:r>
    </w:p>
    <w:p w14:paraId="36BDC4BA" w14:textId="77777777" w:rsidR="003632BE" w:rsidRPr="003632BE" w:rsidRDefault="003632BE" w:rsidP="003632BE">
      <w:r w:rsidRPr="003632BE">
        <w:t>Cite</w:t>
      </w:r>
    </w:p>
    <w:p w14:paraId="2930F38F" w14:textId="77777777" w:rsidR="003632BE" w:rsidRPr="003632BE" w:rsidRDefault="003632BE" w:rsidP="003632BE">
      <w:hyperlink r:id="rId7" w:tgtFrame="_blank" w:tooltip="Persistent link using digital object identifier" w:history="1">
        <w:r w:rsidRPr="003632BE">
          <w:rPr>
            <w:rStyle w:val="Hyperlink"/>
          </w:rPr>
          <w:t>https://doi.org/10.1016/j.ijforecast.2014.03.016</w:t>
        </w:r>
      </w:hyperlink>
      <w:hyperlink r:id="rId8" w:tgtFrame="_blank" w:history="1">
        <w:r w:rsidRPr="003632BE">
          <w:rPr>
            <w:rStyle w:val="Hyperlink"/>
          </w:rPr>
          <w:t>Get rights and content</w:t>
        </w:r>
      </w:hyperlink>
    </w:p>
    <w:p w14:paraId="55FC7337" w14:textId="77777777" w:rsidR="003632BE" w:rsidRPr="003632BE" w:rsidRDefault="003632BE" w:rsidP="003632BE">
      <w:pPr>
        <w:rPr>
          <w:lang w:val="en"/>
        </w:rPr>
      </w:pPr>
      <w:r w:rsidRPr="003632BE">
        <w:rPr>
          <w:lang w:val="en"/>
        </w:rPr>
        <w:t>Abstract</w:t>
      </w:r>
    </w:p>
    <w:p w14:paraId="50DCDCA5" w14:textId="77777777" w:rsidR="003632BE" w:rsidRPr="003632BE" w:rsidRDefault="003632BE" w:rsidP="003632BE">
      <w:pPr>
        <w:rPr>
          <w:lang w:val="en"/>
        </w:rPr>
      </w:pPr>
      <w:r w:rsidRPr="003632BE">
        <w:rPr>
          <w:lang w:val="en"/>
        </w:rPr>
        <w:t>In a data-rich environment, </w:t>
      </w:r>
      <w:hyperlink r:id="rId9" w:history="1">
        <w:r w:rsidRPr="003632BE">
          <w:rPr>
            <w:rStyle w:val="Hyperlink"/>
            <w:lang w:val="en"/>
          </w:rPr>
          <w:t>forecasting economic</w:t>
        </w:r>
      </w:hyperlink>
      <w:r w:rsidRPr="003632BE">
        <w:rPr>
          <w:lang w:val="en"/>
        </w:rPr>
        <w:t> variables amounts to extracting and organizing useful information from a large number of predictors. So far, the dynamic factor model and its variants have been the most successful models for such exercises. In this paper, we investigate a category of LASSO-based approaches and evaluate their predictive abilities for forecasting twenty important </w:t>
      </w:r>
      <w:hyperlink r:id="rId10" w:history="1">
        <w:r w:rsidRPr="003632BE">
          <w:rPr>
            <w:rStyle w:val="Hyperlink"/>
            <w:lang w:val="en"/>
          </w:rPr>
          <w:t>macroeconomic</w:t>
        </w:r>
      </w:hyperlink>
      <w:r w:rsidRPr="003632BE">
        <w:rPr>
          <w:lang w:val="en"/>
        </w:rPr>
        <w:t xml:space="preserve"> variables. These alternative </w:t>
      </w:r>
      <w:r w:rsidRPr="003632BE">
        <w:rPr>
          <w:lang w:val="en"/>
        </w:rPr>
        <w:lastRenderedPageBreak/>
        <w:t xml:space="preserve">models can handle hundreds of data series </w:t>
      </w:r>
      <w:proofErr w:type="gramStart"/>
      <w:r w:rsidRPr="003632BE">
        <w:rPr>
          <w:lang w:val="en"/>
        </w:rPr>
        <w:t>simultaneously, and</w:t>
      </w:r>
      <w:proofErr w:type="gramEnd"/>
      <w:r w:rsidRPr="003632BE">
        <w:rPr>
          <w:lang w:val="en"/>
        </w:rPr>
        <w:t xml:space="preserve"> extract useful information for forecasting. We also show, both analytically and empirically, that combing forecasts from LASSO-based models with those from dynamic factor models can reduce the mean square forecast error (MSFE) further. Our three main findings can be summarized as follows. First, for most of the variables under investigation, </w:t>
      </w:r>
      <w:proofErr w:type="gramStart"/>
      <w:r w:rsidRPr="003632BE">
        <w:rPr>
          <w:lang w:val="en"/>
        </w:rPr>
        <w:t>all of</w:t>
      </w:r>
      <w:proofErr w:type="gramEnd"/>
      <w:r w:rsidRPr="003632BE">
        <w:rPr>
          <w:lang w:val="en"/>
        </w:rPr>
        <w:t xml:space="preserve"> the LASSO-based models outperform dynamic factor models in the out-of-sample forecast evaluations. Second, by extracting information and formulating predictors at economically meaningful block levels, the new methods greatly enhance the interpretability of the models. Third, once forecasts from a LASSO-based approach are combined with those from a dynamic factor model by forecast combination techniques, the combined forecasts are significantly better than either dynamic factor model forecasts or the naïve random walk benchmark.</w:t>
      </w:r>
    </w:p>
    <w:p w14:paraId="440993B6" w14:textId="77777777" w:rsidR="003632BE" w:rsidRPr="003632BE" w:rsidRDefault="003632BE" w:rsidP="003632BE">
      <w:r w:rsidRPr="003632BE">
        <w:t>Introduction</w:t>
      </w:r>
    </w:p>
    <w:p w14:paraId="3E748AEE" w14:textId="77777777" w:rsidR="003632BE" w:rsidRPr="003632BE" w:rsidRDefault="003632BE" w:rsidP="003632BE">
      <w:r w:rsidRPr="003632BE">
        <w:t xml:space="preserve">The forecasting of macroeconomic variables plays a critical role in macroeconomic studies, financial economics and monetary policy analysis. Accurate forecasts lead to a better understanding of mechanisms of economic dynamics (Bai &amp; Ng, 2008), better portfolio management and hedging strategies (Rapach, Strauss, &amp; Zhou, 2010), and more effective monetary policies (Bernanke, Boivin, &amp; Eliasz, 2005). In the data-rich environment that exists nowadays, large numbers of economic data series are tracked by economists and </w:t>
      </w:r>
      <w:proofErr w:type="gramStart"/>
      <w:r w:rsidRPr="003632BE">
        <w:t>policy-makers</w:t>
      </w:r>
      <w:proofErr w:type="gramEnd"/>
      <w:r w:rsidRPr="003632BE">
        <w:t xml:space="preserve">. Low-dimensional models usually incorporate a few pre-specified economic predictors, and thus have difficulty in capturing the complex, dynamic patterns which </w:t>
      </w:r>
      <w:proofErr w:type="gramStart"/>
      <w:r w:rsidRPr="003632BE">
        <w:t>underlie</w:t>
      </w:r>
      <w:proofErr w:type="gramEnd"/>
      <w:r w:rsidRPr="003632BE">
        <w:t xml:space="preserve"> large panels of time series. Therefore, there is a daunting need to propose econometric models and analysis frameworks which aim to extend their low-dimensional counterparts </w:t>
      </w:r>
      <w:proofErr w:type="gramStart"/>
      <w:r w:rsidRPr="003632BE">
        <w:t>in order to</w:t>
      </w:r>
      <w:proofErr w:type="gramEnd"/>
      <w:r w:rsidRPr="003632BE">
        <w:t xml:space="preserve"> obtain better predictions.</w:t>
      </w:r>
    </w:p>
    <w:p w14:paraId="18028FD3" w14:textId="77777777" w:rsidR="003632BE" w:rsidRPr="003632BE" w:rsidRDefault="003632BE" w:rsidP="003632BE">
      <w:r w:rsidRPr="003632BE">
        <w:t xml:space="preserve">Over the past decade, the Dynamic Factor Model (DFM; Stock and Watson, 2002a, Stock and Watson, 2002b) and its variants have been used widely for extracting and organizing useful information from </w:t>
      </w:r>
      <w:proofErr w:type="gramStart"/>
      <w:r w:rsidRPr="003632BE">
        <w:t>a large number of</w:t>
      </w:r>
      <w:proofErr w:type="gramEnd"/>
      <w:r w:rsidRPr="003632BE">
        <w:t xml:space="preserve"> predictors. These methods summarize a large panel of time series using dynamic factors, make forecasts of dynamic factors, and then recover the dynamics of the original variable using its factor loadings. Motivated by dynamic factor models, Bernanke et al. (2005) proposed the Factor-Augmented Vector Autoregressive (FAVAR) approach for monetary policy analysis. Moench (2008) summarized the risk factors which drive the pricing kernel using dynamic factor models, based on which yield curves are predicted in a no-arbitrage asset pricing framework.</w:t>
      </w:r>
    </w:p>
    <w:p w14:paraId="35545071" w14:textId="77777777" w:rsidR="003632BE" w:rsidRPr="003632BE" w:rsidRDefault="003632BE" w:rsidP="003632BE">
      <w:r w:rsidRPr="003632BE">
        <w:t xml:space="preserve">Despite the analytical tractability of dynamic factor models, however, a trade-off </w:t>
      </w:r>
      <w:proofErr w:type="gramStart"/>
      <w:r w:rsidRPr="003632BE">
        <w:t>has to</w:t>
      </w:r>
      <w:proofErr w:type="gramEnd"/>
      <w:r w:rsidRPr="003632BE">
        <w:t xml:space="preserve"> be made between the loss of information and the curse of dimensionality. In other words, if only the first few principal components are used to summarize </w:t>
      </w:r>
      <w:proofErr w:type="gramStart"/>
      <w:r w:rsidRPr="003632BE">
        <w:t>the majority of</w:t>
      </w:r>
      <w:proofErr w:type="gramEnd"/>
      <w:r w:rsidRPr="003632BE">
        <w:t xml:space="preserve"> the information in all time series, the remaining principal components could still explain a </w:t>
      </w:r>
      <w:r w:rsidRPr="003632BE">
        <w:lastRenderedPageBreak/>
        <w:t xml:space="preserve">considerable proportion of the overall variation. However, if more factors are included in the model, the dimensionality of the resulting model </w:t>
      </w:r>
      <w:proofErr w:type="gramStart"/>
      <w:r w:rsidRPr="003632BE">
        <w:t>increases</w:t>
      </w:r>
      <w:proofErr w:type="gramEnd"/>
      <w:r w:rsidRPr="003632BE">
        <w:t xml:space="preserve"> and the degrees-of-freedom problem arises again. As a result, the number of factors should be limited </w:t>
      </w:r>
      <w:proofErr w:type="gramStart"/>
      <w:r w:rsidRPr="003632BE">
        <w:t>in order to</w:t>
      </w:r>
      <w:proofErr w:type="gramEnd"/>
      <w:r w:rsidRPr="003632BE">
        <w:t xml:space="preserve"> conserve </w:t>
      </w:r>
      <w:proofErr w:type="gramStart"/>
      <w:r w:rsidRPr="003632BE">
        <w:t>the degrees</w:t>
      </w:r>
      <w:proofErr w:type="gramEnd"/>
      <w:r w:rsidRPr="003632BE">
        <w:t xml:space="preserve">-of-freedom, and the risk of losing useful information is hidden behind information compression and dimension reduction. Since such information can hardly be recovered in subsequent steps, an unsatisfactory predictive ability and biased structural inference may follow. Obviously, the larger the number of time series observed and the more heterogeneous these time series are, the more severe the information loss will be. In some recent empirical analyses, dynamic factor models have exhibited a lower predictive power in forecasting some economic indicators than Bayesian shrinkage approaches (see, e.g., </w:t>
      </w:r>
      <w:proofErr w:type="spellStart"/>
      <w:r w:rsidRPr="003632BE">
        <w:t>Korobilis</w:t>
      </w:r>
      <w:proofErr w:type="spellEnd"/>
      <w:r w:rsidRPr="003632BE">
        <w:t>, 2013).</w:t>
      </w:r>
    </w:p>
    <w:p w14:paraId="7E9EE121" w14:textId="77777777" w:rsidR="003632BE" w:rsidRPr="003632BE" w:rsidRDefault="003632BE" w:rsidP="003632BE">
      <w:r w:rsidRPr="003632BE">
        <w:t xml:space="preserve">In this paper, we propose a category of alternative forecasting methods, where </w:t>
      </w:r>
      <w:proofErr w:type="gramStart"/>
      <w:r w:rsidRPr="003632BE">
        <w:t>a large number of</w:t>
      </w:r>
      <w:proofErr w:type="gramEnd"/>
      <w:r w:rsidRPr="003632BE">
        <w:t xml:space="preserve"> predictors are accommodated simultaneously and shrinkage estimation methods are employed. Within this framework, dimension reduction is </w:t>
      </w:r>
      <w:r w:rsidRPr="003632BE">
        <w:rPr>
          <w:i/>
          <w:iCs/>
        </w:rPr>
        <w:t>not</w:t>
      </w:r>
      <w:r w:rsidRPr="003632BE">
        <w:t xml:space="preserve"> carried out before forecasting, but is guided by forecasting, thus avoiding the discard of potentially important information. Specifically, our methods depend on penalized least squares estimation, which is a generalization of ordinary least squares estimation, with an additional term that penalizes the size of regression coefficients. In doing so, it regularizes the model </w:t>
      </w:r>
      <w:proofErr w:type="gramStart"/>
      <w:r w:rsidRPr="003632BE">
        <w:t>complexity, and</w:t>
      </w:r>
      <w:proofErr w:type="gramEnd"/>
      <w:r w:rsidRPr="003632BE">
        <w:t xml:space="preserve"> avoids over-fitting that can cause the out-of-sample forecasting performance to deteriorate.</w:t>
      </w:r>
    </w:p>
    <w:p w14:paraId="302FA647" w14:textId="77777777" w:rsidR="003632BE" w:rsidRPr="003632BE" w:rsidRDefault="003632BE" w:rsidP="003632BE">
      <w:r w:rsidRPr="003632BE">
        <w:t>Common penalized least squares estimations include LASSO regression (</w:t>
      </w:r>
      <w:proofErr w:type="spellStart"/>
      <w:r w:rsidRPr="003632BE">
        <w:t>Tibshirani</w:t>
      </w:r>
      <w:proofErr w:type="spellEnd"/>
      <w:r w:rsidRPr="003632BE">
        <w:t xml:space="preserve">, 1996) and ridge regression (Hoerl &amp; Kennard, 1970), whose individual performances in forecasting economic variables were investigated by De Mol, Giannone, and Reichlin (2008) in a Bayesian framework. They concluded that the two methods produce highly correlated forecasts with similar predictive abilities. </w:t>
      </w:r>
      <w:proofErr w:type="gramStart"/>
      <w:r w:rsidRPr="003632BE">
        <w:t>In particular, LASSO</w:t>
      </w:r>
      <w:proofErr w:type="gramEnd"/>
      <w:r w:rsidRPr="003632BE">
        <w:t xml:space="preserve"> regressions tend to produce estimated regression coefficients that are exactly zeros, and thus can be used for variable selections, where only predictors with nonzero estimates </w:t>
      </w:r>
      <w:proofErr w:type="gramStart"/>
      <w:r w:rsidRPr="003632BE">
        <w:t>are considered to be</w:t>
      </w:r>
      <w:proofErr w:type="gramEnd"/>
      <w:r w:rsidRPr="003632BE">
        <w:t xml:space="preserve"> important. In macroeconomic forecasting, such a property has been explored by Bai and Ng (2008) for selecting a subset of predictors, from which factors in dynamic factor models are constructed.</w:t>
      </w:r>
    </w:p>
    <w:p w14:paraId="2F0AABDD" w14:textId="77777777" w:rsidR="003632BE" w:rsidRPr="003632BE" w:rsidRDefault="003632BE" w:rsidP="003632BE">
      <w:r w:rsidRPr="003632BE">
        <w:t xml:space="preserve">In this paper, however, we will consider several LASSO-based approaches that generalize the classic LASSO regression. First, Zou and Hastie (2005) showed that the variable selection instability of LASSO is due to the parameter uncertainty in estimating a large covariance matrix. They showed that replacing the sample estimator of the covariance matrix with a shrinkage estimator made the resulting regression coefficients and variable selection process more stable. This is equivalent to imposing an additional L2 norm </w:t>
      </w:r>
      <w:r w:rsidRPr="003632BE">
        <w:lastRenderedPageBreak/>
        <w:t>constraint in a LASSO regression problem. In the statistics literature, this method is known as the elastic net, since it is like a net that catches all “big fish” for better forecasts.</w:t>
      </w:r>
    </w:p>
    <w:p w14:paraId="47700E5C" w14:textId="77777777" w:rsidR="003632BE" w:rsidRPr="003632BE" w:rsidRDefault="003632BE" w:rsidP="003632BE">
      <w:r w:rsidRPr="003632BE">
        <w:t>Second, since predictors in economic forecasting can be divided into different blocks (Hallin and Liška, 2011, Moench et al., 2011), we impose sparsity constraints at the block level. This is done with a two-stage procedure. In the first stage, all predictors are grouped into different blocks. Then, in the second stage, group LASSO (Yuan &amp; Lin, 2005) is employed so that predictors in the same block tend to be selected together. As can be seen from the empirical analysis, all LASSO-based approaches have very similar out-of-sample forecast performances, and in general outperform dynamic factor models, but elastic net regression and group LASSO regression give more consistent variable selection results over the whole out-of-sample evaluation period, leading to enhanced model interpretability.</w:t>
      </w:r>
    </w:p>
    <w:p w14:paraId="30E3A76E" w14:textId="77777777" w:rsidR="003632BE" w:rsidRPr="003632BE" w:rsidRDefault="003632BE" w:rsidP="003632BE">
      <w:r w:rsidRPr="003632BE">
        <w:t xml:space="preserve">Moreover, motivated by our results that, although LASSO-based approaches have better forecast accuracies in general, dynamic factor models could gain momentum from time to time, we propose to combine the forecasts of LASSO-based models with those of dynamic factor models using forecast combination techniques (Bates and Granger, 1969, Timmermann, 2006). We show analytically that the combined forecasts are associated with smaller mean square forecast errors (MSFE) at the population level in the presence of model uncertainty. Empirically, combined forecasts have significantly lower forecast errors than those from dynamic factor models for </w:t>
      </w:r>
      <w:proofErr w:type="gramStart"/>
      <w:r w:rsidRPr="003632BE">
        <w:t>all of</w:t>
      </w:r>
      <w:proofErr w:type="gramEnd"/>
      <w:r w:rsidRPr="003632BE">
        <w:t xml:space="preserve"> the economic variables we have predicted, and these forecasts are stabilized over time.</w:t>
      </w:r>
    </w:p>
    <w:p w14:paraId="289AEFCB" w14:textId="77777777" w:rsidR="003632BE" w:rsidRPr="003632BE" w:rsidRDefault="003632BE" w:rsidP="003632BE">
      <w:r w:rsidRPr="003632BE">
        <w:t xml:space="preserve">The advantages of these LASSO-based approaches are predictive accuracy and model interpretability. Other than model uncertainty, the forecasting gains can also be explained by the role of non-pervasive shocks. When the true data generating process is unknown, assuming common factors for all variables may ignore shocks that affect a group of variables (or non-pervasive shocks; </w:t>
      </w:r>
      <w:proofErr w:type="spellStart"/>
      <w:r w:rsidRPr="003632BE">
        <w:t>seeLuciani</w:t>
      </w:r>
      <w:proofErr w:type="spellEnd"/>
      <w:r w:rsidRPr="003632BE">
        <w:t>, 2014). As a result, LASSO-based regressions may capture the local correlation that was left behind by common factors in a factor model. As regards model interpretability, it is well known that variables selected by the classic LASSO are not stable over time, in the sense that, once another observation has been added into the estimation window, the estimated regression coefficients and the subset of important predictors may change dramatically. This phenomenon is observed in the statistical analysis of high-dimensional data (Fan and Li, 2001, Zou and Hastie, 2005), as well as in forecasting macroeconomic time series with many predictors (De Mol et al., 2008). Elastic net and group lasso regressions, on the other hand, could deliver relatively stable forecasts and enhanced model interpretation.</w:t>
      </w:r>
    </w:p>
    <w:p w14:paraId="5AEE0780" w14:textId="77777777" w:rsidR="003632BE" w:rsidRPr="003632BE" w:rsidRDefault="003632BE" w:rsidP="003632BE">
      <w:r w:rsidRPr="003632BE">
        <w:t xml:space="preserve">The rest of the paper is organized as follows. </w:t>
      </w:r>
      <w:proofErr w:type="gramStart"/>
      <w:r w:rsidRPr="003632BE">
        <w:t>Section  2</w:t>
      </w:r>
      <w:proofErr w:type="gramEnd"/>
      <w:r w:rsidRPr="003632BE">
        <w:t xml:space="preserve"> introduces three versions of LASSO-based regressions and their estimation details. </w:t>
      </w:r>
      <w:proofErr w:type="gramStart"/>
      <w:r w:rsidRPr="003632BE">
        <w:t>Section  3</w:t>
      </w:r>
      <w:proofErr w:type="gramEnd"/>
      <w:r w:rsidRPr="003632BE">
        <w:t xml:space="preserve"> presents forecast combination </w:t>
      </w:r>
      <w:r w:rsidRPr="003632BE">
        <w:lastRenderedPageBreak/>
        <w:t xml:space="preserve">techniques that combine forecasts from LASSO-based methods and dynamic factor models. In </w:t>
      </w:r>
      <w:proofErr w:type="gramStart"/>
      <w:r w:rsidRPr="003632BE">
        <w:t>Section  4</w:t>
      </w:r>
      <w:proofErr w:type="gramEnd"/>
      <w:r w:rsidRPr="003632BE">
        <w:t xml:space="preserve"> we evaluate the statistical predictabilities of the proposed methods. </w:t>
      </w:r>
      <w:proofErr w:type="gramStart"/>
      <w:r w:rsidRPr="003632BE">
        <w:t>Section  5</w:t>
      </w:r>
      <w:proofErr w:type="gramEnd"/>
      <w:r w:rsidRPr="003632BE">
        <w:t xml:space="preserve"> presents the results of an empirical analysis of more than </w:t>
      </w:r>
      <w:proofErr w:type="gramStart"/>
      <w:r w:rsidRPr="003632BE">
        <w:t>one hundred time</w:t>
      </w:r>
      <w:proofErr w:type="gramEnd"/>
      <w:r w:rsidRPr="003632BE">
        <w:t xml:space="preserve"> series, where twenty macroeconomic variables are predicted by different approaches and the forecasting performances are evaluated and compared. Finally, in </w:t>
      </w:r>
      <w:proofErr w:type="gramStart"/>
      <w:r w:rsidRPr="003632BE">
        <w:t>Section  6</w:t>
      </w:r>
      <w:proofErr w:type="gramEnd"/>
      <w:r w:rsidRPr="003632BE">
        <w:t>, we provide concluding remarks.</w:t>
      </w:r>
    </w:p>
    <w:p w14:paraId="78A2A1A6" w14:textId="77777777" w:rsidR="003632BE" w:rsidRPr="003632BE" w:rsidRDefault="003632BE" w:rsidP="003632BE">
      <w:r w:rsidRPr="003632BE">
        <w:t>Access through your organization</w:t>
      </w:r>
    </w:p>
    <w:p w14:paraId="12204994" w14:textId="77777777" w:rsidR="003632BE" w:rsidRPr="003632BE" w:rsidRDefault="003632BE" w:rsidP="003632BE">
      <w:r w:rsidRPr="003632BE">
        <w:t>Check access to the full text by signing in through your organization.</w:t>
      </w:r>
    </w:p>
    <w:p w14:paraId="7BB3785F" w14:textId="77777777" w:rsidR="003632BE" w:rsidRPr="003632BE" w:rsidRDefault="003632BE" w:rsidP="003632BE">
      <w:r w:rsidRPr="003632BE">
        <w:t>Section snippets</w:t>
      </w:r>
    </w:p>
    <w:p w14:paraId="2F1DCAE6" w14:textId="77777777" w:rsidR="003632BE" w:rsidRPr="003632BE" w:rsidRDefault="003632BE" w:rsidP="003632BE">
      <w:r w:rsidRPr="003632BE">
        <w:t>LASSO regression</w:t>
      </w:r>
    </w:p>
    <w:p w14:paraId="24FDB319" w14:textId="77777777" w:rsidR="003632BE" w:rsidRPr="003632BE" w:rsidRDefault="003632BE" w:rsidP="003632BE">
      <w:r w:rsidRPr="003632BE">
        <w:t xml:space="preserve">Assuming </w:t>
      </w:r>
      <w:proofErr w:type="gramStart"/>
      <w:r w:rsidRPr="003632BE">
        <w:t>that  stationary</w:t>
      </w:r>
      <w:proofErr w:type="gramEnd"/>
      <w:r w:rsidRPr="003632BE">
        <w:t xml:space="preserve"> time series of macroeconomic </w:t>
      </w:r>
      <w:proofErr w:type="gramStart"/>
      <w:r w:rsidRPr="003632BE">
        <w:t>variables ,</w:t>
      </w:r>
      <w:proofErr w:type="gramEnd"/>
      <w:r w:rsidRPr="003632BE">
        <w:t xml:space="preserve"> are observed, </w:t>
      </w:r>
      <w:proofErr w:type="gramStart"/>
      <w:r w:rsidRPr="003632BE">
        <w:t>with  being</w:t>
      </w:r>
      <w:proofErr w:type="gramEnd"/>
      <w:r w:rsidRPr="003632BE">
        <w:t xml:space="preserve"> very large, our goal is to forecast the </w:t>
      </w:r>
      <w:proofErr w:type="spellStart"/>
      <w:r w:rsidRPr="003632BE">
        <w:t>th</w:t>
      </w:r>
      <w:proofErr w:type="spellEnd"/>
      <w:r w:rsidRPr="003632BE">
        <w:t xml:space="preserve"> </w:t>
      </w:r>
      <w:proofErr w:type="gramStart"/>
      <w:r w:rsidRPr="003632BE">
        <w:t>variable  using</w:t>
      </w:r>
      <w:proofErr w:type="gramEnd"/>
      <w:r w:rsidRPr="003632BE">
        <w:t xml:space="preserve"> the forecasting </w:t>
      </w:r>
      <w:proofErr w:type="gramStart"/>
      <w:r w:rsidRPr="003632BE">
        <w:t>model  or</w:t>
      </w:r>
      <w:proofErr w:type="gramEnd"/>
      <w:r w:rsidRPr="003632BE">
        <w:t xml:space="preserve">  after dropping the subscript for simplicity, </w:t>
      </w:r>
      <w:proofErr w:type="gramStart"/>
      <w:r w:rsidRPr="003632BE">
        <w:t>where  denotes</w:t>
      </w:r>
      <w:proofErr w:type="gramEnd"/>
      <w:r w:rsidRPr="003632BE">
        <w:t xml:space="preserve"> the linear dependency </w:t>
      </w:r>
      <w:proofErr w:type="gramStart"/>
      <w:r w:rsidRPr="003632BE">
        <w:t>of  on</w:t>
      </w:r>
      <w:proofErr w:type="gramEnd"/>
      <w:r w:rsidRPr="003632BE">
        <w:t xml:space="preserve"> , </w:t>
      </w:r>
      <w:proofErr w:type="gramStart"/>
      <w:r w:rsidRPr="003632BE">
        <w:t>for ,</w:t>
      </w:r>
      <w:proofErr w:type="gramEnd"/>
      <w:r w:rsidRPr="003632BE">
        <w:t xml:space="preserve"> and the error </w:t>
      </w:r>
      <w:proofErr w:type="gramStart"/>
      <w:r w:rsidRPr="003632BE">
        <w:t>term  is</w:t>
      </w:r>
      <w:proofErr w:type="gramEnd"/>
      <w:r w:rsidRPr="003632BE">
        <w:t xml:space="preserve"> stationary and follows a normal distribution with mean zero </w:t>
      </w:r>
    </w:p>
    <w:p w14:paraId="33CC7BE2" w14:textId="77777777" w:rsidR="003632BE" w:rsidRPr="003632BE" w:rsidRDefault="003632BE" w:rsidP="003632BE">
      <w:r w:rsidRPr="003632BE">
        <w:t>Forecast combination of LASSO-based approaches and dynamic factor models</w:t>
      </w:r>
    </w:p>
    <w:p w14:paraId="46B9509D" w14:textId="77777777" w:rsidR="003632BE" w:rsidRPr="003632BE" w:rsidRDefault="003632BE" w:rsidP="003632BE">
      <w:r w:rsidRPr="003632BE">
        <w:t xml:space="preserve">In general, all LASSO-based approaches and dynamic factor models are dimension reduction methods for forecasting using large numbers of time series. However, the method of dimension reduction varies. While LASSO-based approaches try to identify and aggregate individual predictors that are relevant to the variable to be predicted, the dynamic factors summarize </w:t>
      </w:r>
      <w:proofErr w:type="gramStart"/>
      <w:r w:rsidRPr="003632BE">
        <w:t>all of</w:t>
      </w:r>
      <w:proofErr w:type="gramEnd"/>
      <w:r w:rsidRPr="003632BE">
        <w:t xml:space="preserve"> the information </w:t>
      </w:r>
      <w:proofErr w:type="gramStart"/>
      <w:r w:rsidRPr="003632BE">
        <w:t>using  principal</w:t>
      </w:r>
      <w:proofErr w:type="gramEnd"/>
      <w:r w:rsidRPr="003632BE">
        <w:t xml:space="preserve"> components before forecasting. As a result, if only a few predictors contain information for</w:t>
      </w:r>
    </w:p>
    <w:p w14:paraId="4E5663C3" w14:textId="77777777" w:rsidR="003632BE" w:rsidRPr="003632BE" w:rsidRDefault="003632BE" w:rsidP="003632BE">
      <w:r w:rsidRPr="003632BE">
        <w:t>Evaluation of statistical predictability</w:t>
      </w:r>
    </w:p>
    <w:p w14:paraId="633E09AD" w14:textId="77777777" w:rsidR="003632BE" w:rsidRPr="003632BE" w:rsidRDefault="003632BE" w:rsidP="003632BE">
      <w:r w:rsidRPr="003632BE">
        <w:t>Since the performance of the dynamic factor model has been superior for forecasting economic variables, outperforming univariate autoregressions, small vector autoregressions, and leading indicator models (Stock &amp; Watson, 2002a), we will use the dynamic factor model as a benchmark against which to compare the proposed strategies.</w:t>
      </w:r>
    </w:p>
    <w:p w14:paraId="5E0629E2" w14:textId="77777777" w:rsidR="003632BE" w:rsidRPr="003632BE" w:rsidRDefault="003632BE" w:rsidP="003632BE">
      <w:r w:rsidRPr="003632BE">
        <w:t>In what follows, we describe various statistical criteria for comparing the out-of-sample predictive abilities of alternative approaches. First, we compute the root</w:t>
      </w:r>
    </w:p>
    <w:p w14:paraId="2D819C7E" w14:textId="77777777" w:rsidR="003632BE" w:rsidRPr="003632BE" w:rsidRDefault="003632BE" w:rsidP="003632BE">
      <w:r w:rsidRPr="003632BE">
        <w:t>Data and estimation</w:t>
      </w:r>
    </w:p>
    <w:p w14:paraId="605D5BFF" w14:textId="77777777" w:rsidR="003632BE" w:rsidRPr="003632BE" w:rsidRDefault="003632BE" w:rsidP="003632BE">
      <w:r w:rsidRPr="003632BE">
        <w:t xml:space="preserve">The data set for empirical analysis contains 107 macroeconomic indicators, including industrial production, price levels, credit conditions, employment and inflation. This </w:t>
      </w:r>
      <w:r w:rsidRPr="003632BE">
        <w:lastRenderedPageBreak/>
        <w:t>monthly data set was used by Stock and Watson (2012), and can be downloaded from Mark Watson’s website:</w:t>
      </w:r>
      <w:r w:rsidRPr="003632BE">
        <w:rPr>
          <w:vertAlign w:val="superscript"/>
        </w:rPr>
        <w:t>2</w:t>
      </w:r>
      <w:hyperlink r:id="rId11" w:tgtFrame="_blank" w:history="1">
        <w:r w:rsidRPr="003632BE">
          <w:rPr>
            <w:rStyle w:val="Hyperlink"/>
          </w:rPr>
          <w:t>http://www.princeton.edu/~mwatson/publi.html</w:t>
        </w:r>
      </w:hyperlink>
      <w:r w:rsidRPr="003632BE">
        <w:t>. According to the common practice in the macroeconomic literature, these data series have been transformed to be </w:t>
      </w:r>
    </w:p>
    <w:p w14:paraId="789F37C0" w14:textId="77777777" w:rsidR="003632BE" w:rsidRPr="003632BE" w:rsidRDefault="003632BE" w:rsidP="003632BE">
      <w:r w:rsidRPr="003632BE">
        <w:t>Concluding remarks</w:t>
      </w:r>
    </w:p>
    <w:p w14:paraId="0F2AB318" w14:textId="77777777" w:rsidR="003632BE" w:rsidRPr="003632BE" w:rsidRDefault="003632BE" w:rsidP="003632BE">
      <w:r w:rsidRPr="003632BE">
        <w:t xml:space="preserve">In economics and finance, forecasting multivariate time series using large numbers of predictors is an important and challenging problem. Various attempts have been made in </w:t>
      </w:r>
      <w:proofErr w:type="gramStart"/>
      <w:r w:rsidRPr="003632BE">
        <w:t>the literature</w:t>
      </w:r>
      <w:proofErr w:type="gramEnd"/>
      <w:r w:rsidRPr="003632BE">
        <w:t xml:space="preserve"> to improve </w:t>
      </w:r>
      <w:proofErr w:type="gramStart"/>
      <w:r w:rsidRPr="003632BE">
        <w:t>the model</w:t>
      </w:r>
      <w:proofErr w:type="gramEnd"/>
      <w:r w:rsidRPr="003632BE">
        <w:t xml:space="preserve"> tractability and predictive ability, but there has been less consideration of model interpretation. This paper proposes and tests a collection of LASSO-assisted predictive regressions, where the LASSO components </w:t>
      </w:r>
      <w:proofErr w:type="gramStart"/>
      <w:r w:rsidRPr="003632BE">
        <w:t>are capable of eliminating</w:t>
      </w:r>
      <w:proofErr w:type="gramEnd"/>
      <w:r w:rsidRPr="003632BE">
        <w:t xml:space="preserve"> irrelevant predictors from the predictive model</w:t>
      </w:r>
    </w:p>
    <w:p w14:paraId="74255A62" w14:textId="77777777" w:rsidR="003632BE" w:rsidRPr="003632BE" w:rsidRDefault="003632BE" w:rsidP="003632BE">
      <w:r w:rsidRPr="003632BE">
        <w:t>Acknowledgments</w:t>
      </w:r>
    </w:p>
    <w:p w14:paraId="58096A6B" w14:textId="77777777" w:rsidR="003632BE" w:rsidRPr="003632BE" w:rsidRDefault="003632BE" w:rsidP="003632BE">
      <w:r w:rsidRPr="003632BE">
        <w:t>The authors are grateful to Rob Hyndman (the Editor-in-Chief), three anonymous referees, Mark Watson and Thomas Cosimano for helpful comments.</w:t>
      </w:r>
    </w:p>
    <w:p w14:paraId="7C447EC8" w14:textId="77777777" w:rsidR="003632BE" w:rsidRPr="003632BE" w:rsidRDefault="003632BE" w:rsidP="003632BE">
      <w:proofErr w:type="spellStart"/>
      <w:r w:rsidRPr="003632BE">
        <w:rPr>
          <w:b/>
          <w:bCs/>
        </w:rPr>
        <w:t>Jiahan</w:t>
      </w:r>
      <w:proofErr w:type="spellEnd"/>
      <w:r w:rsidRPr="003632BE">
        <w:rPr>
          <w:b/>
          <w:bCs/>
        </w:rPr>
        <w:t xml:space="preserve"> Li</w:t>
      </w:r>
      <w:r w:rsidRPr="003632BE">
        <w:t> is an assistant professor of statistics at the Department of Applied and Computational Mathematics and Statistics (ACMS), the University of Notre Dame. He received his M.S. degree from the University of Florida in 2008 and a Ph.D. in statistics from the Pennsylvania State University in 2011. His research interests include large data analytics, financial econometrics and forecasting methods for bioinformatics and business. His work won the Best Paper Award at the Fourth Annual Applied</w:t>
      </w:r>
    </w:p>
    <w:p w14:paraId="3B0401D6" w14:textId="77777777" w:rsidR="003632BE" w:rsidRPr="003632BE" w:rsidRDefault="003632BE" w:rsidP="003632BE">
      <w:r w:rsidRPr="003632BE">
        <w:t>A Practical Guide to harnessing the HAR volatility model</w:t>
      </w:r>
      <w:bookmarkStart w:id="0" w:name="baep-article-footnote-id1"/>
      <w:r w:rsidRPr="003632BE">
        <w:fldChar w:fldCharType="begin"/>
      </w:r>
      <w:r w:rsidRPr="003632BE">
        <w:instrText>HYPERLINK "https://www.sciencedirect.com/science/article/abs/pii/S0378426621002417" \l "aep-article-footnote-id1"</w:instrText>
      </w:r>
      <w:r w:rsidRPr="003632BE">
        <w:fldChar w:fldCharType="separate"/>
      </w:r>
      <w:r w:rsidRPr="003632BE">
        <w:rPr>
          <w:rStyle w:val="Hyperlink"/>
          <w:rFonts w:ascii="Segoe UI Symbol" w:hAnsi="Segoe UI Symbol" w:cs="Segoe UI Symbol"/>
        </w:rPr>
        <w:t>☆</w:t>
      </w:r>
      <w:r w:rsidRPr="003632BE">
        <w:fldChar w:fldCharType="end"/>
      </w:r>
      <w:bookmarkEnd w:id="0"/>
    </w:p>
    <w:p w14:paraId="23C7310E" w14:textId="77777777" w:rsidR="003632BE" w:rsidRPr="003632BE" w:rsidRDefault="003632BE" w:rsidP="003632BE">
      <w:r w:rsidRPr="003632BE">
        <w:t xml:space="preserve">Author links open overlay </w:t>
      </w:r>
      <w:proofErr w:type="spellStart"/>
      <w:r w:rsidRPr="003632BE">
        <w:t>panel</w:t>
      </w:r>
      <w:bookmarkStart w:id="1" w:name="bau0001-profile"/>
      <w:r w:rsidRPr="003632BE">
        <w:fldChar w:fldCharType="begin"/>
      </w:r>
      <w:r w:rsidRPr="003632BE">
        <w:instrText>HYPERLINK "https://www.sciencedirect.com/author/13408806100/adam-e-clements"</w:instrText>
      </w:r>
      <w:r w:rsidRPr="003632BE">
        <w:fldChar w:fldCharType="separate"/>
      </w:r>
      <w:r w:rsidRPr="003632BE">
        <w:rPr>
          <w:rStyle w:val="Hyperlink"/>
        </w:rPr>
        <w:t>Adam</w:t>
      </w:r>
      <w:proofErr w:type="spellEnd"/>
      <w:r w:rsidRPr="003632BE">
        <w:rPr>
          <w:rStyle w:val="Hyperlink"/>
        </w:rPr>
        <w:t> Clements </w:t>
      </w:r>
      <w:r w:rsidRPr="003632BE">
        <w:rPr>
          <w:rStyle w:val="Hyperlink"/>
          <w:vertAlign w:val="superscript"/>
        </w:rPr>
        <w:t>a</w:t>
      </w:r>
      <w:r w:rsidRPr="003632BE">
        <w:fldChar w:fldCharType="end"/>
      </w:r>
      <w:bookmarkEnd w:id="1"/>
      <w:r w:rsidRPr="003632BE">
        <w:t>, Daniel P.A. Preve </w:t>
      </w:r>
      <w:r w:rsidRPr="003632BE">
        <w:rPr>
          <w:vertAlign w:val="superscript"/>
        </w:rPr>
        <w:t>b</w:t>
      </w:r>
    </w:p>
    <w:p w14:paraId="2BB1B669" w14:textId="77777777" w:rsidR="003632BE" w:rsidRPr="003632BE" w:rsidRDefault="003632BE" w:rsidP="003632BE">
      <w:r w:rsidRPr="003632BE">
        <w:t>Show more</w:t>
      </w:r>
    </w:p>
    <w:p w14:paraId="5BAFA931" w14:textId="77777777" w:rsidR="003632BE" w:rsidRPr="003632BE" w:rsidRDefault="003632BE" w:rsidP="003632BE">
      <w:r w:rsidRPr="003632BE">
        <w:t>Add to Mendeley</w:t>
      </w:r>
    </w:p>
    <w:p w14:paraId="7CFAAED7" w14:textId="77777777" w:rsidR="003632BE" w:rsidRPr="003632BE" w:rsidRDefault="003632BE" w:rsidP="003632BE">
      <w:r w:rsidRPr="003632BE">
        <w:t>Share</w:t>
      </w:r>
    </w:p>
    <w:p w14:paraId="3812597B" w14:textId="77777777" w:rsidR="003632BE" w:rsidRPr="003632BE" w:rsidRDefault="003632BE" w:rsidP="003632BE">
      <w:r w:rsidRPr="003632BE">
        <w:t>Cite</w:t>
      </w:r>
    </w:p>
    <w:p w14:paraId="32FF8266" w14:textId="77777777" w:rsidR="003632BE" w:rsidRPr="003632BE" w:rsidRDefault="003632BE" w:rsidP="003632BE">
      <w:hyperlink r:id="rId12" w:tgtFrame="_blank" w:tooltip="Persistent link using digital object identifier" w:history="1">
        <w:r w:rsidRPr="003632BE">
          <w:rPr>
            <w:rStyle w:val="Hyperlink"/>
          </w:rPr>
          <w:t>https://doi.org/10.1016/j.jbankfin.2021.106285</w:t>
        </w:r>
      </w:hyperlink>
      <w:hyperlink r:id="rId13" w:tgtFrame="_blank" w:history="1">
        <w:r w:rsidRPr="003632BE">
          <w:rPr>
            <w:rStyle w:val="Hyperlink"/>
          </w:rPr>
          <w:t>Get rights and content</w:t>
        </w:r>
      </w:hyperlink>
    </w:p>
    <w:p w14:paraId="0F3A5E2C" w14:textId="77777777" w:rsidR="003632BE" w:rsidRPr="003632BE" w:rsidRDefault="003632BE" w:rsidP="003632BE">
      <w:r w:rsidRPr="003632BE">
        <w:t>Highlights</w:t>
      </w:r>
    </w:p>
    <w:p w14:paraId="4D3B6CAA" w14:textId="77777777" w:rsidR="003632BE" w:rsidRPr="003632BE" w:rsidRDefault="003632BE" w:rsidP="003632BE">
      <w:pPr>
        <w:numPr>
          <w:ilvl w:val="0"/>
          <w:numId w:val="3"/>
        </w:numPr>
      </w:pPr>
      <w:r w:rsidRPr="003632BE">
        <w:t>•</w:t>
      </w:r>
    </w:p>
    <w:p w14:paraId="7BC495D0" w14:textId="77777777" w:rsidR="003632BE" w:rsidRPr="003632BE" w:rsidRDefault="003632BE" w:rsidP="003632BE">
      <w:r w:rsidRPr="003632BE">
        <w:t>Considers forecasting benefits from the HAR model looking at alternatives to OLS on raw RV.</w:t>
      </w:r>
    </w:p>
    <w:p w14:paraId="3FB44785" w14:textId="77777777" w:rsidR="003632BE" w:rsidRPr="003632BE" w:rsidRDefault="003632BE" w:rsidP="003632BE">
      <w:pPr>
        <w:numPr>
          <w:ilvl w:val="0"/>
          <w:numId w:val="3"/>
        </w:numPr>
      </w:pPr>
      <w:r w:rsidRPr="003632BE">
        <w:lastRenderedPageBreak/>
        <w:t>•</w:t>
      </w:r>
    </w:p>
    <w:p w14:paraId="02289602" w14:textId="77777777" w:rsidR="003632BE" w:rsidRPr="003632BE" w:rsidRDefault="003632BE" w:rsidP="003632BE">
      <w:r w:rsidRPr="003632BE">
        <w:t>Moving to WLS is useful with Robust Regression often the best.</w:t>
      </w:r>
    </w:p>
    <w:p w14:paraId="6A0F7249" w14:textId="77777777" w:rsidR="003632BE" w:rsidRPr="003632BE" w:rsidRDefault="003632BE" w:rsidP="003632BE">
      <w:pPr>
        <w:numPr>
          <w:ilvl w:val="0"/>
          <w:numId w:val="3"/>
        </w:numPr>
      </w:pPr>
      <w:r w:rsidRPr="003632BE">
        <w:t>•</w:t>
      </w:r>
    </w:p>
    <w:p w14:paraId="6DA05720" w14:textId="77777777" w:rsidR="003632BE" w:rsidRPr="003632BE" w:rsidRDefault="003632BE" w:rsidP="003632BE">
      <w:r w:rsidRPr="003632BE">
        <w:t>Transforming RV is useful with log RV the best.</w:t>
      </w:r>
    </w:p>
    <w:p w14:paraId="3B3B5A17" w14:textId="77777777" w:rsidR="003632BE" w:rsidRPr="003632BE" w:rsidRDefault="003632BE" w:rsidP="003632BE">
      <w:pPr>
        <w:numPr>
          <w:ilvl w:val="0"/>
          <w:numId w:val="3"/>
        </w:numPr>
      </w:pPr>
      <w:r w:rsidRPr="003632BE">
        <w:t>•</w:t>
      </w:r>
    </w:p>
    <w:p w14:paraId="6EFBFABF" w14:textId="77777777" w:rsidR="003632BE" w:rsidRPr="003632BE" w:rsidRDefault="003632BE" w:rsidP="003632BE">
      <w:r w:rsidRPr="003632BE">
        <w:t>There are smaller marginal benefits from using WLS or RR with transformed RV.</w:t>
      </w:r>
    </w:p>
    <w:p w14:paraId="53CF5BC9" w14:textId="77777777" w:rsidR="003632BE" w:rsidRPr="003632BE" w:rsidRDefault="003632BE" w:rsidP="003632BE">
      <w:pPr>
        <w:numPr>
          <w:ilvl w:val="0"/>
          <w:numId w:val="3"/>
        </w:numPr>
      </w:pPr>
      <w:r w:rsidRPr="003632BE">
        <w:t>•</w:t>
      </w:r>
    </w:p>
    <w:p w14:paraId="55010529" w14:textId="77777777" w:rsidR="003632BE" w:rsidRPr="003632BE" w:rsidRDefault="003632BE" w:rsidP="003632BE">
      <w:r w:rsidRPr="003632BE">
        <w:t>Easy practical approaches to get better performance from the standard HAR.</w:t>
      </w:r>
    </w:p>
    <w:p w14:paraId="232FD940" w14:textId="77777777" w:rsidR="003632BE" w:rsidRPr="003632BE" w:rsidRDefault="003632BE" w:rsidP="003632BE">
      <w:r w:rsidRPr="003632BE">
        <w:t>Abstract</w:t>
      </w:r>
    </w:p>
    <w:p w14:paraId="7DAE408A" w14:textId="77777777" w:rsidR="003632BE" w:rsidRPr="003632BE" w:rsidRDefault="003632BE" w:rsidP="003632BE">
      <w:r w:rsidRPr="003632BE">
        <w:t>The standard heterogeneous autoregressive (HAR) model is perhaps the most popular benchmark model for forecasting return volatility. It is often estimated using raw realized variance (RV) and ordinary </w:t>
      </w:r>
      <w:hyperlink r:id="rId14" w:history="1">
        <w:r w:rsidRPr="003632BE">
          <w:rPr>
            <w:rStyle w:val="Hyperlink"/>
          </w:rPr>
          <w:t>least squares</w:t>
        </w:r>
      </w:hyperlink>
      <w:r w:rsidRPr="003632BE">
        <w:t> (OLS). However, given the stylized facts of RV and well-known properties of OLS, this combination should be far from ideal. The aim of this paper is to investigate how the predictive accuracy of the HAR model depends on the choice of estimator, transformation, or combination scheme made by the market practitioner. In an out-of-sample study, covering the S&amp;P 500 index and 26 frequently traded NYSE stocks, it is found that simple remedies systematically outperform not only standard HAR but also state of the art HARQ forecasts.</w:t>
      </w:r>
    </w:p>
    <w:p w14:paraId="20EEFB9A" w14:textId="77777777" w:rsidR="003632BE" w:rsidRPr="003632BE" w:rsidRDefault="003632BE" w:rsidP="003632BE">
      <w:r w:rsidRPr="003632BE">
        <w:t>Introduction</w:t>
      </w:r>
    </w:p>
    <w:p w14:paraId="0B36F407" w14:textId="77777777" w:rsidR="003632BE" w:rsidRPr="003632BE" w:rsidRDefault="003632BE" w:rsidP="003632BE">
      <w:r w:rsidRPr="003632BE">
        <w:t>Forecasting the volatility of financial asset returns is an important issue in the context of risk management, portfolio construction, and derivative pricing. As such, a great deal of research effort has focused on developing and evaluating volatility forecasting models. With the widespread availability of high-frequency financial data, the recent literature has focused on employing realized volatility (RV) to build forecasting models. The heterogeneous autoregressive (HAR) model of Corsi (2009) was designed to parsimoniously capture the strong persistence typically observed in RV and has become the workhorse of this literature due to its consistently good forecasting performance, and that standard linear regression techniques can be used for its estimation. The influence of this model is reflected in the fact that as of July 2021, Corsi (2009) has attracted more than 2100 citations according to Google Scholar. The original HAR model is often estimated using RV and the method of ordinary least squares (OLS). However, given stylized features of raw RV (such as spikes/outliers, conditional heteroskedasticity, non-</w:t>
      </w:r>
      <w:proofErr w:type="spellStart"/>
      <w:r w:rsidRPr="003632BE">
        <w:t>Gaussianity</w:t>
      </w:r>
      <w:proofErr w:type="spellEnd"/>
      <w:r w:rsidRPr="003632BE">
        <w:t xml:space="preserve">) and well-known properties of OLS (highly sensitive to outliers, suboptimal in the presence of </w:t>
      </w:r>
      <w:r w:rsidRPr="003632BE">
        <w:lastRenderedPageBreak/>
        <w:t>conditional heteroskedasticity or non-</w:t>
      </w:r>
      <w:proofErr w:type="spellStart"/>
      <w:r w:rsidRPr="003632BE">
        <w:t>Gaussianity</w:t>
      </w:r>
      <w:proofErr w:type="spellEnd"/>
      <w:r w:rsidRPr="003632BE">
        <w:t>), this combination should be far from ideal, leaving opportunity for straightforward improvements.</w:t>
      </w:r>
    </w:p>
    <w:p w14:paraId="563C630B" w14:textId="77777777" w:rsidR="003632BE" w:rsidRPr="003632BE" w:rsidRDefault="003632BE" w:rsidP="003632BE">
      <w:r w:rsidRPr="003632BE">
        <w:t xml:space="preserve">To better deal with the stylized features of RV, </w:t>
      </w:r>
      <w:proofErr w:type="gramStart"/>
      <w:r w:rsidRPr="003632BE">
        <w:t>a number of</w:t>
      </w:r>
      <w:proofErr w:type="gramEnd"/>
      <w:r w:rsidRPr="003632BE">
        <w:t xml:space="preserve"> straightforward alternatives to using OLS and raw RV for generating forecasts from the HAR model will be considered. First, the impact of alternative estimation schemes, employing weighted least squares (WLS) or robust regression (RR), for the HAR model will be investigated. Second, the impact of alternative Box-Cox transformations (logarithmic and square root) of RV for the HAR model will be studied. Third, combinations of different estimation and transformation schemes will be explored. The potential benefits of these alternative approaches will be investigated in an out-of-sample study with the HAR model estimated by OLS used as benchmark. For a more complete picture, the recent HARQ model is also used as a benchmark model as it has been documented to outperform not only the original HAR model but also some of its numerous extensions in terms of forecasting. The HARQ model represents the state of the art in volatility forecasting </w:t>
      </w:r>
      <w:proofErr w:type="gramStart"/>
      <w:r w:rsidRPr="003632BE">
        <w:t>models, and</w:t>
      </w:r>
      <w:proofErr w:type="gramEnd"/>
      <w:r w:rsidRPr="003632BE">
        <w:t xml:space="preserve"> is designed to directly deal with the estimation error in RV (Bollerslev, Patton, </w:t>
      </w:r>
      <w:proofErr w:type="spellStart"/>
      <w:r w:rsidRPr="003632BE">
        <w:t>Quaedvlieg</w:t>
      </w:r>
      <w:proofErr w:type="spellEnd"/>
      <w:r w:rsidRPr="003632BE">
        <w:t xml:space="preserve">, 2016, Bollerslev, Patton, </w:t>
      </w:r>
      <w:proofErr w:type="spellStart"/>
      <w:r w:rsidRPr="003632BE">
        <w:t>Quaedvlieg</w:t>
      </w:r>
      <w:proofErr w:type="spellEnd"/>
      <w:r w:rsidRPr="003632BE">
        <w:t>, 2018). It should be emphasized that, in contrast to Buccheri and Corsi (2019) and Cipollini et al. (2021), the goal here is not to extend the original HAR model but instead to investigate how to get the most out of the existing model. For instance, by carefully selecting its estimator.</w:t>
      </w:r>
    </w:p>
    <w:p w14:paraId="65B0872B" w14:textId="77777777" w:rsidR="003632BE" w:rsidRPr="003632BE" w:rsidRDefault="003632BE" w:rsidP="003632BE">
      <w:r w:rsidRPr="003632BE">
        <w:t xml:space="preserve">The first issue considered is how the predictive accuracy of the HAR model depends on the choice of estimator. The idea of investigating whether the choice of estimator matters for forecasting is not </w:t>
      </w:r>
      <w:proofErr w:type="gramStart"/>
      <w:r w:rsidRPr="003632BE">
        <w:t>new, and</w:t>
      </w:r>
      <w:proofErr w:type="gramEnd"/>
      <w:r w:rsidRPr="003632BE">
        <w:t xml:space="preserve"> has for instance been considered by Westerlund and Narayan (2012) in the context of stock return predictability. In the context of volatility forecasting, a few estimators have been suggested for the HAR model. While Patton and Sheppard (2015) employed a simple WLS scheme, RR so far does not seem to have been considered. Furthermore, although alternatives to OLS have been proposed, the impact of the choice of estimator on the predictive accuracy of the HAR model does not seem to have been systematically examined. The empirical results reveal that the choice of the estimation scheme under which the HAR parameter estimates are obtained is important for volatility forecasting. By simply considering WLS or RR as an alternative to OLS, considerable reductions in common statistical and economic loss measures are observed. The benefits of replacing OLS with WLS or RR are particularly clear for longer forecast horizons.</w:t>
      </w:r>
    </w:p>
    <w:p w14:paraId="403E6539" w14:textId="77777777" w:rsidR="003632BE" w:rsidRPr="003632BE" w:rsidRDefault="003632BE" w:rsidP="003632BE">
      <w:r w:rsidRPr="003632BE">
        <w:t>Next</w:t>
      </w:r>
      <w:proofErr w:type="gramStart"/>
      <w:r w:rsidRPr="003632BE">
        <w:t>, how</w:t>
      </w:r>
      <w:proofErr w:type="gramEnd"/>
      <w:r w:rsidRPr="003632BE">
        <w:t xml:space="preserve"> the predictive accuracy of the HAR model depends on the choice of transformation of RV is considered. The idea of using transformed, rather than raw, RV for forecasting is not new and has been considered by Andersen et al. (2003), Corsi (2009), </w:t>
      </w:r>
      <w:r w:rsidRPr="003632BE">
        <w:lastRenderedPageBreak/>
        <w:t xml:space="preserve">Bekaert and </w:t>
      </w:r>
      <w:proofErr w:type="spellStart"/>
      <w:r w:rsidRPr="003632BE">
        <w:t>Hoerova</w:t>
      </w:r>
      <w:proofErr w:type="spellEnd"/>
      <w:r w:rsidRPr="003632BE">
        <w:t> (2014) and Taylor (2017) among others. The results of the empirical study show that HAR models based on transformed RV (and estimated by OLS) offer substantial reductions in the loss measures compared to the standard HAR based on raw RV. Overall, the logarithmic transformation does better than the square root transformation. Improvements in forecast accuracy are often similar to those provided by RR.</w:t>
      </w:r>
    </w:p>
    <w:p w14:paraId="34BE0510" w14:textId="77777777" w:rsidR="003632BE" w:rsidRPr="003632BE" w:rsidRDefault="003632BE" w:rsidP="003632BE">
      <w:r w:rsidRPr="003632BE">
        <w:t xml:space="preserve">Finally, the possible benefits of combination schemes, alternative estimation schemes (WLS or RR) applied to HAR models based on transformed (logarithmic or square root) RV, </w:t>
      </w:r>
      <w:proofErr w:type="gramStart"/>
      <w:r w:rsidRPr="003632BE">
        <w:t>is</w:t>
      </w:r>
      <w:proofErr w:type="gramEnd"/>
      <w:r w:rsidRPr="003632BE">
        <w:t xml:space="preserve"> examined. This idea of combining different transformations with alternative estimators in the context of return volatility predictability appears to be new. It is found that combination schemes often do better than HAR models based on transformed RV, estimated by OLS. A HAR model based on logarithmic RV estimated using RR does best overall. As the loss functions used for forecast comparison deal with over- and under-prediction differently, the interaction between forecasts from the alternative approaches and the loss functions is further investigated and discussed.</w:t>
      </w:r>
    </w:p>
    <w:p w14:paraId="78D509FB" w14:textId="77777777" w:rsidR="003632BE" w:rsidRPr="003632BE" w:rsidRDefault="003632BE" w:rsidP="003632BE">
      <w:r w:rsidRPr="003632BE">
        <w:t xml:space="preserve">The results are robust to index and individual stock data, with or without an “insanity filter” applied to all forecasts, to periods of high and low volatility, and to alternative multi-step ahead forecast schemes (direct, indirect). The approaches considered here also perform well compared to some extended HAR models (LHAR, HAR-RSV, HAR-CJ) suggested in the literature. These findings provide useful practical insights </w:t>
      </w:r>
      <w:proofErr w:type="gramStart"/>
      <w:r w:rsidRPr="003632BE">
        <w:t>in</w:t>
      </w:r>
      <w:proofErr w:type="gramEnd"/>
      <w:r w:rsidRPr="003632BE">
        <w:t xml:space="preserve"> the application of the HAR model. Improvements in forecast accuracy can readily be obtained without the need to resort to data beyond publicly available RV and sophisticated extensions of the HAR model.</w:t>
      </w:r>
    </w:p>
    <w:p w14:paraId="1FECD3DA" w14:textId="77777777" w:rsidR="003632BE" w:rsidRPr="003632BE" w:rsidRDefault="003632BE" w:rsidP="003632BE">
      <w:r w:rsidRPr="003632BE">
        <w:t>The remainder of this paper is organized as follows. Section 2 describes its methodology, Section 3 reports the results of its empirical study, and Section 4 concludes. Additional results to complement the main paper are contained in an Online Appendix.</w:t>
      </w:r>
    </w:p>
    <w:p w14:paraId="5B881ACD" w14:textId="77777777" w:rsidR="003632BE" w:rsidRPr="003632BE" w:rsidRDefault="003632BE" w:rsidP="003632BE">
      <w:r w:rsidRPr="003632BE">
        <w:t>Access through your organization</w:t>
      </w:r>
    </w:p>
    <w:p w14:paraId="0F7904B1" w14:textId="77777777" w:rsidR="003632BE" w:rsidRPr="003632BE" w:rsidRDefault="003632BE" w:rsidP="003632BE">
      <w:r w:rsidRPr="003632BE">
        <w:t>Check access to the full text by signing in through your organization.</w:t>
      </w:r>
    </w:p>
    <w:p w14:paraId="30B5A217" w14:textId="77777777" w:rsidR="003632BE" w:rsidRPr="003632BE" w:rsidRDefault="003632BE" w:rsidP="003632BE">
      <w:r w:rsidRPr="003632BE">
        <w:t>Section snippets</w:t>
      </w:r>
    </w:p>
    <w:p w14:paraId="43181124" w14:textId="77777777" w:rsidR="003632BE" w:rsidRPr="003632BE" w:rsidRDefault="003632BE" w:rsidP="003632BE">
      <w:r w:rsidRPr="003632BE">
        <w:t>Methodology</w:t>
      </w:r>
    </w:p>
    <w:p w14:paraId="0D56622E" w14:textId="77777777" w:rsidR="003632BE" w:rsidRPr="003632BE" w:rsidRDefault="003632BE" w:rsidP="003632BE">
      <w:r w:rsidRPr="003632BE">
        <w:t>This section describes the measures and models used to construct volatility forecasts, the estimators and transformations employed, how forecasts are computed, and how their accuracy is assessed.</w:t>
      </w:r>
    </w:p>
    <w:p w14:paraId="460138DB" w14:textId="77777777" w:rsidR="003632BE" w:rsidRPr="003632BE" w:rsidRDefault="003632BE" w:rsidP="003632BE">
      <w:r w:rsidRPr="003632BE">
        <w:t>Data</w:t>
      </w:r>
    </w:p>
    <w:p w14:paraId="37EF019A" w14:textId="77777777" w:rsidR="003632BE" w:rsidRPr="003632BE" w:rsidRDefault="003632BE" w:rsidP="003632BE">
      <w:r w:rsidRPr="003632BE">
        <w:lastRenderedPageBreak/>
        <w:t>The empirical study here is based on the Standard &amp; Poor’s 500 (SPX) index and 26 frequently traded NYSE stocks. For the S&amp;P 500, the same series of RV and RQ used in Bollerslev et al. (2016) are employed.</w:t>
      </w:r>
      <w:r w:rsidRPr="003632BE">
        <w:rPr>
          <w:vertAlign w:val="superscript"/>
        </w:rPr>
        <w:t>6</w:t>
      </w:r>
      <w:r w:rsidRPr="003632BE">
        <w:t> This dataset spans 21 April 1997 to 30 August 2013 representing 4096 daily observations and was chosen as the HARQ model is one of the benchmarks considered here, and as it was</w:t>
      </w:r>
    </w:p>
    <w:p w14:paraId="671D34D4" w14:textId="77777777" w:rsidR="003632BE" w:rsidRPr="003632BE" w:rsidRDefault="003632BE" w:rsidP="003632BE">
      <w:r w:rsidRPr="003632BE">
        <w:t>Concluding remarks</w:t>
      </w:r>
    </w:p>
    <w:p w14:paraId="66809895" w14:textId="77777777" w:rsidR="003632BE" w:rsidRPr="003632BE" w:rsidRDefault="003632BE" w:rsidP="003632BE">
      <w:r w:rsidRPr="003632BE">
        <w:t>This paper explored several, easily implemented, ways to improve the forecasting performance of the standard HAR model. Its main goal was to investigate how the predictive accuracy of the original HAR model depends on choices of estimation scheme, data transformation, and combinations thereof. In an out-of-sample study, covering the S&amp;P 500 index and 26 frequently traded NYSE stocks, it was found that RR and simple WLS schemes can yield substantial improvements to the predictive ability of the</w:t>
      </w:r>
    </w:p>
    <w:p w14:paraId="6E6A77B9" w14:textId="77777777" w:rsidR="003632BE" w:rsidRPr="003632BE" w:rsidRDefault="003632BE" w:rsidP="003632BE">
      <w:proofErr w:type="spellStart"/>
      <w:r w:rsidRPr="003632BE">
        <w:t>CRediT</w:t>
      </w:r>
      <w:proofErr w:type="spellEnd"/>
      <w:r w:rsidRPr="003632BE">
        <w:t xml:space="preserve"> authorship contribution statement</w:t>
      </w:r>
    </w:p>
    <w:p w14:paraId="057FEE1F" w14:textId="77777777" w:rsidR="003632BE" w:rsidRPr="003632BE" w:rsidRDefault="003632BE" w:rsidP="003632BE">
      <w:r w:rsidRPr="003632BE">
        <w:rPr>
          <w:b/>
          <w:bCs/>
        </w:rPr>
        <w:t>Adam Clements:</w:t>
      </w:r>
      <w:r w:rsidRPr="003632BE">
        <w:t> Conceptualization, Methodology, Data curation, Software, Writing – original draft, Writing – review &amp; editing. </w:t>
      </w:r>
      <w:r w:rsidRPr="003632BE">
        <w:rPr>
          <w:b/>
          <w:bCs/>
        </w:rPr>
        <w:t>Daniel P.A. Preve:</w:t>
      </w:r>
      <w:r w:rsidRPr="003632BE">
        <w:t> Conceptualization, Methodology, Software, Writing – original draft, Writing – review &amp; editing.</w:t>
      </w:r>
    </w:p>
    <w:p w14:paraId="17DEBCC2" w14:textId="77777777" w:rsidR="003632BE" w:rsidRPr="003632BE" w:rsidRDefault="003632BE" w:rsidP="003632BE">
      <w:r w:rsidRPr="003632BE">
        <w:t>Research data for this article</w:t>
      </w:r>
    </w:p>
    <w:p w14:paraId="7DF0A265" w14:textId="77777777" w:rsidR="003632BE" w:rsidRPr="003632BE" w:rsidRDefault="003632BE" w:rsidP="003632BE">
      <w:pPr>
        <w:rPr>
          <w:b/>
          <w:bCs/>
        </w:rPr>
      </w:pPr>
      <w:r w:rsidRPr="003632BE">
        <w:rPr>
          <w:b/>
          <w:bCs/>
        </w:rPr>
        <w:t xml:space="preserve">Is Small Really Beautiful for Central Bank Communication? Evaluating Language Models for Finance: Llama-3-70B, GPT-4, </w:t>
      </w:r>
      <w:proofErr w:type="spellStart"/>
      <w:r w:rsidRPr="003632BE">
        <w:rPr>
          <w:b/>
          <w:bCs/>
        </w:rPr>
        <w:t>FinBERT</w:t>
      </w:r>
      <w:proofErr w:type="spellEnd"/>
      <w:r w:rsidRPr="003632BE">
        <w:rPr>
          <w:b/>
          <w:bCs/>
        </w:rPr>
        <w:t xml:space="preserve">-FOMC, </w:t>
      </w:r>
      <w:proofErr w:type="spellStart"/>
      <w:r w:rsidRPr="003632BE">
        <w:rPr>
          <w:b/>
          <w:bCs/>
        </w:rPr>
        <w:t>FinBERT</w:t>
      </w:r>
      <w:proofErr w:type="spellEnd"/>
      <w:r w:rsidRPr="003632BE">
        <w:rPr>
          <w:b/>
          <w:bCs/>
        </w:rPr>
        <w:t>, and VADER</w:t>
      </w:r>
      <w:r w:rsidRPr="003632BE">
        <w:rPr>
          <w:b/>
          <w:bCs/>
        </w:rPr>
        <w:br/>
      </w:r>
    </w:p>
    <w:p w14:paraId="139306A3" w14:textId="77777777" w:rsidR="003632BE" w:rsidRPr="003632BE" w:rsidRDefault="003632BE" w:rsidP="003632BE">
      <w:hyperlink r:id="rId15" w:history="1">
        <w:r w:rsidRPr="003632BE">
          <w:rPr>
            <w:rStyle w:val="Hyperlink"/>
            <w:b/>
            <w:bCs/>
          </w:rPr>
          <w:t>Wonseong Kim</w:t>
        </w:r>
      </w:hyperlink>
      <w:r w:rsidRPr="003632BE">
        <w:t>, Institute of Economics and Statistics, Korea University, KR, </w:t>
      </w:r>
      <w:hyperlink r:id="rId16" w:history="1">
        <w:r w:rsidRPr="003632BE">
          <w:rPr>
            <w:rStyle w:val="Hyperlink"/>
            <w:b/>
            <w:bCs/>
          </w:rPr>
          <w:t>wonseongkim@korea.ac.kr</w:t>
        </w:r>
      </w:hyperlink>
    </w:p>
    <w:p w14:paraId="0A725E21" w14:textId="77777777" w:rsidR="003632BE" w:rsidRPr="003632BE" w:rsidRDefault="003632BE" w:rsidP="003632BE">
      <w:hyperlink r:id="rId17" w:history="1">
        <w:r w:rsidRPr="003632BE">
          <w:rPr>
            <w:rStyle w:val="Hyperlink"/>
            <w:b/>
            <w:bCs/>
          </w:rPr>
          <w:t>Jan Spörer</w:t>
        </w:r>
      </w:hyperlink>
      <w:r w:rsidRPr="003632BE">
        <w:t>, Institute of Computer Science, Chair of Natural Language Processing, University of St. Gallen, CH, </w:t>
      </w:r>
      <w:hyperlink r:id="rId18" w:history="1">
        <w:r w:rsidRPr="003632BE">
          <w:rPr>
            <w:rStyle w:val="Hyperlink"/>
            <w:b/>
            <w:bCs/>
          </w:rPr>
          <w:t>jan.spoerer@unisg.ch</w:t>
        </w:r>
      </w:hyperlink>
    </w:p>
    <w:p w14:paraId="6091D354" w14:textId="77777777" w:rsidR="003632BE" w:rsidRPr="003632BE" w:rsidRDefault="003632BE" w:rsidP="003632BE">
      <w:hyperlink r:id="rId19" w:history="1">
        <w:r w:rsidRPr="003632BE">
          <w:rPr>
            <w:rStyle w:val="Hyperlink"/>
            <w:b/>
            <w:bCs/>
          </w:rPr>
          <w:t>Choong Lyol Lee</w:t>
        </w:r>
      </w:hyperlink>
      <w:r w:rsidRPr="003632BE">
        <w:t>, Institute of Economics and Statistics, Korea University, KR, </w:t>
      </w:r>
      <w:hyperlink r:id="rId20" w:history="1">
        <w:r w:rsidRPr="003632BE">
          <w:rPr>
            <w:rStyle w:val="Hyperlink"/>
            <w:b/>
            <w:bCs/>
          </w:rPr>
          <w:t>cllee@korea.ac.kr</w:t>
        </w:r>
      </w:hyperlink>
    </w:p>
    <w:p w14:paraId="55653852" w14:textId="77777777" w:rsidR="003632BE" w:rsidRPr="003632BE" w:rsidRDefault="003632BE" w:rsidP="003632BE">
      <w:hyperlink r:id="rId21" w:history="1">
        <w:r w:rsidRPr="003632BE">
          <w:rPr>
            <w:rStyle w:val="Hyperlink"/>
            <w:b/>
            <w:bCs/>
          </w:rPr>
          <w:t>Siegfried Handschuh</w:t>
        </w:r>
      </w:hyperlink>
      <w:r w:rsidRPr="003632BE">
        <w:t xml:space="preserve">, Institute of Computer Science, Chair of Natural Language Processing, University of </w:t>
      </w:r>
      <w:proofErr w:type="spellStart"/>
      <w:proofErr w:type="gramStart"/>
      <w:r w:rsidRPr="003632BE">
        <w:t>St.Gallen</w:t>
      </w:r>
      <w:proofErr w:type="spellEnd"/>
      <w:proofErr w:type="gramEnd"/>
      <w:r w:rsidRPr="003632BE">
        <w:t>, CH, </w:t>
      </w:r>
      <w:hyperlink r:id="rId22" w:history="1">
        <w:r w:rsidRPr="003632BE">
          <w:rPr>
            <w:rStyle w:val="Hyperlink"/>
            <w:b/>
            <w:bCs/>
          </w:rPr>
          <w:t>Siegfried.Handschuh@unisg.ch</w:t>
        </w:r>
      </w:hyperlink>
    </w:p>
    <w:p w14:paraId="272E96D4" w14:textId="77777777" w:rsidR="003632BE" w:rsidRPr="003632BE" w:rsidRDefault="003632BE" w:rsidP="003632BE"/>
    <w:p w14:paraId="415D1237" w14:textId="77777777" w:rsidR="003632BE" w:rsidRPr="003632BE" w:rsidRDefault="003632BE" w:rsidP="003632BE">
      <w:pPr>
        <w:rPr>
          <w:b/>
          <w:bCs/>
        </w:rPr>
      </w:pPr>
      <w:r w:rsidRPr="003632BE">
        <w:rPr>
          <w:b/>
          <w:bCs/>
        </w:rPr>
        <w:t>DOI: </w:t>
      </w:r>
      <w:hyperlink r:id="rId23" w:tgtFrame="_blank" w:history="1">
        <w:r w:rsidRPr="003632BE">
          <w:rPr>
            <w:rStyle w:val="Hyperlink"/>
            <w:b/>
            <w:bCs/>
          </w:rPr>
          <w:t>https://doi.org/10.1145/3677052.3698675</w:t>
        </w:r>
      </w:hyperlink>
      <w:r w:rsidRPr="003632BE">
        <w:rPr>
          <w:b/>
          <w:bCs/>
        </w:rPr>
        <w:br/>
        <w:t>ICAIF '24: </w:t>
      </w:r>
      <w:hyperlink r:id="rId24" w:tgtFrame="_blank" w:history="1">
        <w:r w:rsidRPr="003632BE">
          <w:rPr>
            <w:rStyle w:val="Hyperlink"/>
            <w:b/>
            <w:bCs/>
          </w:rPr>
          <w:t>5th ACM International Conference on AI in Finance</w:t>
        </w:r>
      </w:hyperlink>
      <w:r w:rsidRPr="003632BE">
        <w:rPr>
          <w:b/>
          <w:bCs/>
        </w:rPr>
        <w:t>, Brooklyn, NY, USA, November 2024</w:t>
      </w:r>
    </w:p>
    <w:p w14:paraId="2A90A199" w14:textId="77777777" w:rsidR="003632BE" w:rsidRPr="003632BE" w:rsidRDefault="003632BE" w:rsidP="003632BE">
      <w:r w:rsidRPr="003632BE">
        <w:lastRenderedPageBreak/>
        <w:t xml:space="preserve">This study compares the sentiment detection capabilities of language models for the domain of central bank communication, particularly the official statements released by the U.S. Federal Open Market Committee (FOMC). While previous studies have explored FOMC communication, this work is one of the few studies that use a natural language processing-based approach. The analysis employs VADER, </w:t>
      </w:r>
      <w:proofErr w:type="spellStart"/>
      <w:r w:rsidRPr="003632BE">
        <w:t>FinBERT</w:t>
      </w:r>
      <w:proofErr w:type="spellEnd"/>
      <w:r w:rsidRPr="003632BE">
        <w:t xml:space="preserve">, a fine-tuned </w:t>
      </w:r>
      <w:proofErr w:type="spellStart"/>
      <w:r w:rsidRPr="003632BE">
        <w:t>FinBERT</w:t>
      </w:r>
      <w:proofErr w:type="spellEnd"/>
      <w:r w:rsidRPr="003632BE">
        <w:t xml:space="preserve"> model (</w:t>
      </w:r>
      <w:proofErr w:type="spellStart"/>
      <w:r w:rsidRPr="003632BE">
        <w:t>FinBERT</w:t>
      </w:r>
      <w:proofErr w:type="spellEnd"/>
      <w:r w:rsidRPr="003632BE">
        <w:t>-FOMC), GPT-4, and Llama-3-70B.</w:t>
      </w:r>
    </w:p>
    <w:p w14:paraId="0994275A" w14:textId="77777777" w:rsidR="003632BE" w:rsidRPr="003632BE" w:rsidRDefault="003632BE" w:rsidP="003632BE">
      <w:r w:rsidRPr="003632BE">
        <w:t xml:space="preserve">Within the scope of our labeled dataset on FOMC minutes, Llama 3 is the most accurate model, followed by GPT-4, </w:t>
      </w:r>
      <w:proofErr w:type="spellStart"/>
      <w:r w:rsidRPr="003632BE">
        <w:t>FinBERT</w:t>
      </w:r>
      <w:proofErr w:type="spellEnd"/>
      <w:r w:rsidRPr="003632BE">
        <w:t xml:space="preserve">-FOMC, </w:t>
      </w:r>
      <w:proofErr w:type="spellStart"/>
      <w:r w:rsidRPr="003632BE">
        <w:t>FinBERT</w:t>
      </w:r>
      <w:proofErr w:type="spellEnd"/>
      <w:r w:rsidRPr="003632BE">
        <w:t xml:space="preserve">, and VADER. The </w:t>
      </w:r>
      <w:proofErr w:type="spellStart"/>
      <w:r w:rsidRPr="003632BE">
        <w:t>FinBERT</w:t>
      </w:r>
      <w:proofErr w:type="spellEnd"/>
      <w:r w:rsidRPr="003632BE">
        <w:t xml:space="preserve">-FOMC model, which was fine-tuned on central bank communication and utilizes a text simplification pipeline, performs better than the original </w:t>
      </w:r>
      <w:proofErr w:type="spellStart"/>
      <w:r w:rsidRPr="003632BE">
        <w:t>FinBERT</w:t>
      </w:r>
      <w:proofErr w:type="spellEnd"/>
      <w:r w:rsidRPr="003632BE">
        <w:t xml:space="preserve"> model. Llama 3 and GPT-4 outperform at the expense of large model sizes. Unlike GPT-4, </w:t>
      </w:r>
      <w:proofErr w:type="spellStart"/>
      <w:r w:rsidRPr="003632BE">
        <w:t>FinBERT</w:t>
      </w:r>
      <w:proofErr w:type="spellEnd"/>
      <w:r w:rsidRPr="003632BE">
        <w:t xml:space="preserve"> and </w:t>
      </w:r>
      <w:proofErr w:type="spellStart"/>
      <w:r w:rsidRPr="003632BE">
        <w:t>FinBERT</w:t>
      </w:r>
      <w:proofErr w:type="spellEnd"/>
      <w:r w:rsidRPr="003632BE">
        <w:t>-FOMC are open-source and can be deployed on consumer-grade hardware. Llama 3 requires substantial hardware investments to deploy.</w:t>
      </w:r>
    </w:p>
    <w:p w14:paraId="13B66716" w14:textId="77777777" w:rsidR="003632BE" w:rsidRPr="003632BE" w:rsidRDefault="003632BE" w:rsidP="003632BE">
      <w:r w:rsidRPr="003632BE">
        <w:t>The work thus finds that there is still a between model size and performance, and that the notion that “small is beautiful” can still hold for use cases where maximum accuracy is a lesser concern than inference speed and cost.</w:t>
      </w:r>
    </w:p>
    <w:p w14:paraId="579D8418" w14:textId="77777777" w:rsidR="003632BE" w:rsidRPr="003632BE" w:rsidRDefault="003632BE" w:rsidP="003632BE">
      <w:r w:rsidRPr="003632BE">
        <w:t>Human performance is still significantly above all models, indicating that further improvements in language models and FOMC-specific prompting are possible. The labeled dataset for central bank communication we present in this paper is thus a challenging benchmark for future research.</w:t>
      </w:r>
    </w:p>
    <w:p w14:paraId="50E16309" w14:textId="77777777" w:rsidR="003632BE" w:rsidRPr="003632BE" w:rsidRDefault="003632BE" w:rsidP="003632BE">
      <w:r w:rsidRPr="003632BE">
        <w:t>The dataset is freely available for download.</w:t>
      </w:r>
      <w:hyperlink r:id="rId25" w:anchor="fn1" w:history="1">
        <w:r w:rsidRPr="003632BE">
          <w:rPr>
            <w:rStyle w:val="Hyperlink"/>
            <w:b/>
            <w:bCs/>
            <w:vertAlign w:val="superscript"/>
          </w:rPr>
          <w:t>1</w:t>
        </w:r>
      </w:hyperlink>
    </w:p>
    <w:p w14:paraId="71A133B2" w14:textId="77777777" w:rsidR="003632BE" w:rsidRPr="003632BE" w:rsidRDefault="003632BE" w:rsidP="003632BE">
      <w:r w:rsidRPr="003632BE">
        <w:rPr>
          <w:b/>
          <w:bCs/>
        </w:rPr>
        <w:t xml:space="preserve">CCS </w:t>
      </w:r>
      <w:proofErr w:type="gramStart"/>
      <w:r w:rsidRPr="003632BE">
        <w:rPr>
          <w:b/>
          <w:bCs/>
        </w:rPr>
        <w:t>Concepts:</w:t>
      </w:r>
      <w:r w:rsidRPr="003632BE">
        <w:t> •</w:t>
      </w:r>
      <w:proofErr w:type="gramEnd"/>
      <w:r w:rsidRPr="003632BE">
        <w:t> </w:t>
      </w:r>
      <w:r w:rsidRPr="003632BE">
        <w:rPr>
          <w:b/>
          <w:bCs/>
        </w:rPr>
        <w:t xml:space="preserve">Computing methodologies → Natural language </w:t>
      </w:r>
      <w:proofErr w:type="gramStart"/>
      <w:r w:rsidRPr="003632BE">
        <w:rPr>
          <w:b/>
          <w:bCs/>
        </w:rPr>
        <w:t>processing</w:t>
      </w:r>
      <w:r w:rsidRPr="003632BE">
        <w:t>; •</w:t>
      </w:r>
      <w:proofErr w:type="gramEnd"/>
      <w:r w:rsidRPr="003632BE">
        <w:t> </w:t>
      </w:r>
      <w:r w:rsidRPr="003632BE">
        <w:rPr>
          <w:b/>
          <w:bCs/>
        </w:rPr>
        <w:t xml:space="preserve">Information systems → Sentiment </w:t>
      </w:r>
      <w:proofErr w:type="gramStart"/>
      <w:r w:rsidRPr="003632BE">
        <w:rPr>
          <w:b/>
          <w:bCs/>
        </w:rPr>
        <w:t>analysis</w:t>
      </w:r>
      <w:r w:rsidRPr="003632BE">
        <w:t>;</w:t>
      </w:r>
      <w:proofErr w:type="gramEnd"/>
    </w:p>
    <w:p w14:paraId="5049354A" w14:textId="77777777" w:rsidR="003632BE" w:rsidRPr="003632BE" w:rsidRDefault="003632BE" w:rsidP="003632BE"/>
    <w:p w14:paraId="238E3B04" w14:textId="77777777" w:rsidR="003632BE" w:rsidRPr="003632BE" w:rsidRDefault="003632BE" w:rsidP="003632BE">
      <w:r w:rsidRPr="003632BE">
        <w:rPr>
          <w:b/>
          <w:bCs/>
        </w:rPr>
        <w:t>Keywords:</w:t>
      </w:r>
      <w:r w:rsidRPr="003632BE">
        <w:t> Federal Open Market Committee (FOMC), natural language processing, sentiment analysis, financial text</w:t>
      </w:r>
    </w:p>
    <w:p w14:paraId="227AC7D8" w14:textId="77777777" w:rsidR="003632BE" w:rsidRPr="003632BE" w:rsidRDefault="003632BE" w:rsidP="003632BE"/>
    <w:p w14:paraId="5B517692" w14:textId="77777777" w:rsidR="003632BE" w:rsidRPr="003632BE" w:rsidRDefault="003632BE" w:rsidP="003632BE">
      <w:r w:rsidRPr="003632BE">
        <w:rPr>
          <w:b/>
          <w:bCs/>
        </w:rPr>
        <w:t>ACM Reference Format:</w:t>
      </w:r>
      <w:r w:rsidRPr="003632BE">
        <w:br/>
      </w:r>
      <w:proofErr w:type="spellStart"/>
      <w:r w:rsidRPr="003632BE">
        <w:t>Wonseong</w:t>
      </w:r>
      <w:proofErr w:type="spellEnd"/>
      <w:r w:rsidRPr="003632BE">
        <w:t xml:space="preserve"> Kim, Jan Spörer, Choong </w:t>
      </w:r>
      <w:proofErr w:type="spellStart"/>
      <w:r w:rsidRPr="003632BE">
        <w:t>Lyol</w:t>
      </w:r>
      <w:proofErr w:type="spellEnd"/>
      <w:r w:rsidRPr="003632BE">
        <w:t xml:space="preserve"> Lee, and Siegfried Handschuh. 2024. Is Small Really Beautiful for Central Bank Communication? Evaluating Language Models for Finance: Llama-3-70B, GPT-4, </w:t>
      </w:r>
      <w:proofErr w:type="spellStart"/>
      <w:r w:rsidRPr="003632BE">
        <w:t>FinBERT</w:t>
      </w:r>
      <w:proofErr w:type="spellEnd"/>
      <w:r w:rsidRPr="003632BE">
        <w:t xml:space="preserve">-FOMC, </w:t>
      </w:r>
      <w:proofErr w:type="spellStart"/>
      <w:r w:rsidRPr="003632BE">
        <w:t>FinBERT</w:t>
      </w:r>
      <w:proofErr w:type="spellEnd"/>
      <w:r w:rsidRPr="003632BE">
        <w:t>, and VADER. In </w:t>
      </w:r>
      <w:r w:rsidRPr="003632BE">
        <w:rPr>
          <w:i/>
          <w:iCs/>
        </w:rPr>
        <w:t xml:space="preserve">5th ACM International Conference on AI in Finance (ICAIF '24), November </w:t>
      </w:r>
      <w:proofErr w:type="gramStart"/>
      <w:r w:rsidRPr="003632BE">
        <w:rPr>
          <w:i/>
          <w:iCs/>
        </w:rPr>
        <w:t>14--17</w:t>
      </w:r>
      <w:proofErr w:type="gramEnd"/>
      <w:r w:rsidRPr="003632BE">
        <w:rPr>
          <w:i/>
          <w:iCs/>
        </w:rPr>
        <w:t>, 2024, Brooklyn, NY, USA.</w:t>
      </w:r>
      <w:r w:rsidRPr="003632BE">
        <w:t> ACM, New York, NY, USA 8 Pages. </w:t>
      </w:r>
      <w:hyperlink r:id="rId26" w:tgtFrame="_blank" w:history="1">
        <w:r w:rsidRPr="003632BE">
          <w:rPr>
            <w:rStyle w:val="Hyperlink"/>
            <w:b/>
            <w:bCs/>
          </w:rPr>
          <w:t>https://doi.org/10.1145/3677052.3698675</w:t>
        </w:r>
      </w:hyperlink>
    </w:p>
    <w:p w14:paraId="5F3E955B" w14:textId="77777777" w:rsidR="003632BE" w:rsidRPr="003632BE" w:rsidRDefault="003632BE" w:rsidP="003632BE">
      <w:r w:rsidRPr="003632BE">
        <w:rPr>
          <w:u w:val="single"/>
        </w:rPr>
        <w:lastRenderedPageBreak/>
        <w:t>1</w:t>
      </w:r>
      <w:r w:rsidRPr="003632BE">
        <w:t> Introduction</w:t>
      </w:r>
    </w:p>
    <w:p w14:paraId="7EF4A77C" w14:textId="77777777" w:rsidR="003632BE" w:rsidRPr="003632BE" w:rsidRDefault="003632BE" w:rsidP="003632BE">
      <w:pPr>
        <w:rPr>
          <w:b/>
          <w:bCs/>
        </w:rPr>
      </w:pPr>
      <w:r w:rsidRPr="003632BE">
        <w:rPr>
          <w:b/>
          <w:bCs/>
          <w:u w:val="single"/>
        </w:rPr>
        <w:t>1.1</w:t>
      </w:r>
      <w:r w:rsidRPr="003632BE">
        <w:rPr>
          <w:b/>
          <w:bCs/>
        </w:rPr>
        <w:t> Introduction to the FOMC</w:t>
      </w:r>
    </w:p>
    <w:p w14:paraId="0ACA41AD" w14:textId="77777777" w:rsidR="003632BE" w:rsidRPr="003632BE" w:rsidRDefault="003632BE" w:rsidP="003632BE">
      <w:r w:rsidRPr="003632BE">
        <w:t>The Federal Open Market Committee (FOMC) is part of the United States Federal Reserve and plays a significant role in the country's central banking system. It is responsible for directing monetary policy in the United States, which has far-reaching effects on the global economy. As the core policymaking body within the Federal Reserve System, the FOMC's decisions and communication impact various economic aspects, such as financial markets, investment strategies, and the general stability of the economy.</w:t>
      </w:r>
    </w:p>
    <w:p w14:paraId="0C46469E" w14:textId="77777777" w:rsidR="003632BE" w:rsidRPr="003632BE" w:rsidRDefault="003632BE" w:rsidP="003632BE">
      <w:r w:rsidRPr="003632BE">
        <w:t>The FOMC convenes eight times a year and the official statements it releases after these meetings are of paramount importance. The statements reflect the Committee's current economic assessments and policy decisions, shaping the expectations of various economic stakeholders [</w:t>
      </w:r>
      <w:hyperlink r:id="rId27" w:anchor="BibPLXBIB0035" w:history="1">
        <w:r w:rsidRPr="003632BE">
          <w:rPr>
            <w:rStyle w:val="Hyperlink"/>
            <w:b/>
            <w:bCs/>
          </w:rPr>
          <w:t>35</w:t>
        </w:r>
      </w:hyperlink>
      <w:r w:rsidRPr="003632BE">
        <w:t>]. The statements’ impact on market sentiment is substantial, leading to immediate and noticeable shifts in financial behavior and investment climate.</w:t>
      </w:r>
    </w:p>
    <w:p w14:paraId="7F0FDAC9" w14:textId="77777777" w:rsidR="003632BE" w:rsidRPr="003632BE" w:rsidRDefault="003632BE" w:rsidP="003632BE">
      <w:r w:rsidRPr="003632BE">
        <w:t>The official statements are scrutinized by economists, financial analysts, and investors, providing them with critical insights into the Federal Reserve's views on economic conditions, inflationary pressures, and future policy directions. Analyzing these statements is not just about decoding the immediate market reactions but also understanding their longer-term implications. This understanding is vital for anyone engaged in the financial sector or interested in the health and trajectory of the U.S. and global economies.</w:t>
      </w:r>
    </w:p>
    <w:p w14:paraId="1E49447D" w14:textId="77777777" w:rsidR="003632BE" w:rsidRPr="003632BE" w:rsidRDefault="003632BE" w:rsidP="003632BE">
      <w:pPr>
        <w:rPr>
          <w:b/>
          <w:bCs/>
        </w:rPr>
      </w:pPr>
      <w:r w:rsidRPr="003632BE">
        <w:rPr>
          <w:b/>
          <w:bCs/>
          <w:u w:val="single"/>
        </w:rPr>
        <w:t>1.2</w:t>
      </w:r>
      <w:r w:rsidRPr="003632BE">
        <w:rPr>
          <w:b/>
          <w:bCs/>
        </w:rPr>
        <w:t> Policy Transparency</w:t>
      </w:r>
    </w:p>
    <w:p w14:paraId="7BD51F70" w14:textId="77777777" w:rsidR="003632BE" w:rsidRPr="003632BE" w:rsidRDefault="003632BE" w:rsidP="003632BE">
      <w:r w:rsidRPr="003632BE">
        <w:t>Central banks worldwide have recently increased their emphasis on transparency and communication as essential tools for effective monetary policy [</w:t>
      </w:r>
      <w:hyperlink r:id="rId28" w:anchor="BibPLXBIB0002" w:history="1">
        <w:r w:rsidRPr="003632BE">
          <w:rPr>
            <w:rStyle w:val="Hyperlink"/>
            <w:b/>
            <w:bCs/>
          </w:rPr>
          <w:t>2</w:t>
        </w:r>
      </w:hyperlink>
      <w:r w:rsidRPr="003632BE">
        <w:t>, </w:t>
      </w:r>
      <w:hyperlink r:id="rId29" w:anchor="BibPLXBIB0034" w:history="1">
        <w:r w:rsidRPr="003632BE">
          <w:rPr>
            <w:rStyle w:val="Hyperlink"/>
            <w:b/>
            <w:bCs/>
          </w:rPr>
          <w:t>34</w:t>
        </w:r>
      </w:hyperlink>
      <w:r w:rsidRPr="003632BE">
        <w:t>]. The FOMC's official statements are a prime example of this communication strategy, serving as a critical channel for conveying the Committee's policy stance and forward guidance. Despite evolving content, these statements maintain their relevance and impact on financial markets.</w:t>
      </w:r>
    </w:p>
    <w:p w14:paraId="3A23F616" w14:textId="77777777" w:rsidR="003632BE" w:rsidRPr="003632BE" w:rsidRDefault="003632BE" w:rsidP="003632BE">
      <w:r w:rsidRPr="003632BE">
        <w:t>Market participants, policymakers, and researchers alike inspect the language and tone of FOMC statements for signals that may guide their decision-making and forecasting processes. Investors and banks use natural language processing to analyze the Federal Reserve's FOMC Minutes. The FOMC Minutes reflect the opinions of the most relevant monetary policy decision-making body in the U.S. on inflation, the state of the economy, and labor markets [</w:t>
      </w:r>
      <w:hyperlink r:id="rId30" w:anchor="BibPLXBIB0037" w:history="1">
        <w:r w:rsidRPr="003632BE">
          <w:rPr>
            <w:rStyle w:val="Hyperlink"/>
            <w:b/>
            <w:bCs/>
          </w:rPr>
          <w:t>37</w:t>
        </w:r>
      </w:hyperlink>
      <w:r w:rsidRPr="003632BE">
        <w:t>].</w:t>
      </w:r>
    </w:p>
    <w:p w14:paraId="10A48123" w14:textId="77777777" w:rsidR="003632BE" w:rsidRPr="003632BE" w:rsidRDefault="003632BE" w:rsidP="003632BE">
      <w:pPr>
        <w:rPr>
          <w:b/>
          <w:bCs/>
        </w:rPr>
      </w:pPr>
      <w:r w:rsidRPr="003632BE">
        <w:rPr>
          <w:b/>
          <w:bCs/>
          <w:u w:val="single"/>
        </w:rPr>
        <w:t>1.3</w:t>
      </w:r>
      <w:r w:rsidRPr="003632BE">
        <w:rPr>
          <w:b/>
          <w:bCs/>
        </w:rPr>
        <w:t> Contributions</w:t>
      </w:r>
    </w:p>
    <w:p w14:paraId="11FAD8B6" w14:textId="77777777" w:rsidR="003632BE" w:rsidRPr="003632BE" w:rsidRDefault="003632BE" w:rsidP="003632BE">
      <w:r w:rsidRPr="003632BE">
        <w:lastRenderedPageBreak/>
        <w:t xml:space="preserve">This study has two primary contributions. Firstly, it presents an open FOMC minutes dataset that can be used as a foundational resource for sentiment analysis in central bank communication. The dataset captures the complexity of sentiments in financial texts, where a single sentence may contain multiple aspects. Secondly, this research article compares the performance of language models for the sentiment classification of complex financial texts. FOMC minute texts are subject to the ongoing academic debate surrounding the role of central bank communication in influencing financial markets and the economy. While numerous studies explore FOMC communication, only some cover the linguistic aspects of FOMC transcripts. Our work is a milestone in this domain, focusing on a linguistic approach to </w:t>
      </w:r>
      <w:proofErr w:type="gramStart"/>
      <w:r w:rsidRPr="003632BE">
        <w:t>understand</w:t>
      </w:r>
      <w:proofErr w:type="gramEnd"/>
      <w:r w:rsidRPr="003632BE">
        <w:t xml:space="preserve"> these documents better. We employ a multi-method approach, integrating qualitative content analysis and quantitative techniques. Our analysis encompasses the period since the inception of the FOMC's meeting minutes on January 3rd, 2006.</w:t>
      </w:r>
    </w:p>
    <w:p w14:paraId="5F586C0C" w14:textId="77777777" w:rsidR="003632BE" w:rsidRPr="003632BE" w:rsidRDefault="003632BE" w:rsidP="003632BE">
      <w:pPr>
        <w:rPr>
          <w:b/>
          <w:bCs/>
        </w:rPr>
      </w:pPr>
      <w:r w:rsidRPr="003632BE">
        <w:rPr>
          <w:b/>
          <w:bCs/>
          <w:u w:val="single"/>
        </w:rPr>
        <w:t>1.4</w:t>
      </w:r>
      <w:r w:rsidRPr="003632BE">
        <w:rPr>
          <w:b/>
          <w:bCs/>
        </w:rPr>
        <w:t> Overview of the Study's Structure</w:t>
      </w:r>
    </w:p>
    <w:p w14:paraId="5E35EF76" w14:textId="77777777" w:rsidR="003632BE" w:rsidRPr="003632BE" w:rsidRDefault="003632BE" w:rsidP="003632BE">
      <w:r w:rsidRPr="003632BE">
        <w:t>The remainder of this article is organized as follows: Section </w:t>
      </w:r>
      <w:hyperlink r:id="rId31" w:anchor="sec-7" w:history="1">
        <w:r w:rsidRPr="003632BE">
          <w:rPr>
            <w:rStyle w:val="Hyperlink"/>
            <w:b/>
            <w:bCs/>
          </w:rPr>
          <w:t>2</w:t>
        </w:r>
      </w:hyperlink>
      <w:r w:rsidRPr="003632BE">
        <w:t> reviews the literature on FOMC communication. Section </w:t>
      </w:r>
      <w:hyperlink r:id="rId32" w:anchor="sec-10" w:history="1">
        <w:r w:rsidRPr="003632BE">
          <w:rPr>
            <w:rStyle w:val="Hyperlink"/>
            <w:b/>
            <w:bCs/>
          </w:rPr>
          <w:t>3</w:t>
        </w:r>
      </w:hyperlink>
      <w:r w:rsidRPr="003632BE">
        <w:t> describes our data, including the data sources and findings from natural language processing (NLP) techniques. Section </w:t>
      </w:r>
      <w:hyperlink r:id="rId33" w:anchor="sec-13" w:history="1">
        <w:r w:rsidRPr="003632BE">
          <w:rPr>
            <w:rStyle w:val="Hyperlink"/>
            <w:b/>
            <w:bCs/>
          </w:rPr>
          <w:t>4</w:t>
        </w:r>
      </w:hyperlink>
      <w:r w:rsidRPr="003632BE">
        <w:t> presents our methods, highlighting sentiment prediction in FOMC meeting minutes. Finally, sections </w:t>
      </w:r>
      <w:hyperlink r:id="rId34" w:anchor="sec-19" w:history="1">
        <w:r w:rsidRPr="003632BE">
          <w:rPr>
            <w:rStyle w:val="Hyperlink"/>
            <w:b/>
            <w:bCs/>
          </w:rPr>
          <w:t>5</w:t>
        </w:r>
      </w:hyperlink>
      <w:r w:rsidRPr="003632BE">
        <w:t> and </w:t>
      </w:r>
      <w:hyperlink r:id="rId35" w:anchor="sec-27" w:history="1">
        <w:r w:rsidRPr="003632BE">
          <w:rPr>
            <w:rStyle w:val="Hyperlink"/>
            <w:b/>
            <w:bCs/>
          </w:rPr>
          <w:t>6</w:t>
        </w:r>
      </w:hyperlink>
      <w:r w:rsidRPr="003632BE">
        <w:t> present the predicted results and a discussion of the study's implications, limitations, and avenues for future research.</w:t>
      </w:r>
    </w:p>
    <w:p w14:paraId="5630594F" w14:textId="77777777" w:rsidR="003632BE" w:rsidRPr="003632BE" w:rsidRDefault="003632BE" w:rsidP="003632BE">
      <w:r w:rsidRPr="003632BE">
        <w:rPr>
          <w:u w:val="single"/>
        </w:rPr>
        <w:t>2</w:t>
      </w:r>
      <w:r w:rsidRPr="003632BE">
        <w:t> Related Work</w:t>
      </w:r>
    </w:p>
    <w:p w14:paraId="17DF0491" w14:textId="77777777" w:rsidR="003632BE" w:rsidRPr="003632BE" w:rsidRDefault="003632BE" w:rsidP="003632BE">
      <w:pPr>
        <w:rPr>
          <w:b/>
          <w:bCs/>
        </w:rPr>
      </w:pPr>
      <w:r w:rsidRPr="003632BE">
        <w:rPr>
          <w:b/>
          <w:bCs/>
          <w:u w:val="single"/>
        </w:rPr>
        <w:t>2.1</w:t>
      </w:r>
      <w:r w:rsidRPr="003632BE">
        <w:rPr>
          <w:b/>
          <w:bCs/>
        </w:rPr>
        <w:t> Related Work on FOMC Communication</w:t>
      </w:r>
    </w:p>
    <w:p w14:paraId="61BEF27C" w14:textId="77777777" w:rsidR="003632BE" w:rsidRPr="003632BE" w:rsidRDefault="003632BE" w:rsidP="003632BE">
      <w:r w:rsidRPr="003632BE">
        <w:t>Language and communication have been increasingly recognized as essential factors in economic policy and decision-making, particularly in the context of central bank communications. [</w:t>
      </w:r>
      <w:hyperlink r:id="rId36" w:anchor="BibPLXBIB0037" w:history="1">
        <w:r w:rsidRPr="003632BE">
          <w:rPr>
            <w:rStyle w:val="Hyperlink"/>
            <w:b/>
            <w:bCs/>
          </w:rPr>
          <w:t>37</w:t>
        </w:r>
      </w:hyperlink>
      <w:r w:rsidRPr="003632BE">
        <w:t>] finds that the FED funds futures rate and the exchange rate of the U.S. dollar are partly reflected in FOMC transcript sentiment, which emphasizes the role that FOMC sentiment may play for market participants. [</w:t>
      </w:r>
      <w:hyperlink r:id="rId37" w:anchor="BibPLXBIB0043" w:history="1">
        <w:r w:rsidRPr="003632BE">
          <w:rPr>
            <w:rStyle w:val="Hyperlink"/>
            <w:b/>
            <w:bCs/>
          </w:rPr>
          <w:t>43</w:t>
        </w:r>
      </w:hyperlink>
      <w:r w:rsidRPr="003632BE">
        <w:t>] argues that increased central bank transparency and willingness to share assumptions about future policy have improved policy predictability and effectiveness.</w:t>
      </w:r>
    </w:p>
    <w:p w14:paraId="756967A5" w14:textId="77777777" w:rsidR="003632BE" w:rsidRPr="003632BE" w:rsidRDefault="003632BE" w:rsidP="003632BE">
      <w:r w:rsidRPr="003632BE">
        <w:t>[</w:t>
      </w:r>
      <w:hyperlink r:id="rId38" w:anchor="BibPLXBIB0005" w:history="1">
        <w:r w:rsidRPr="003632BE">
          <w:rPr>
            <w:rStyle w:val="Hyperlink"/>
            <w:b/>
            <w:bCs/>
          </w:rPr>
          <w:t>5</w:t>
        </w:r>
      </w:hyperlink>
      <w:r w:rsidRPr="003632BE">
        <w:t>] showed that text analysis techniques such as Latent Semantic Analysis can provide valuable insights into market participants’ reactions to FOMC minutes. The work by [</w:t>
      </w:r>
      <w:hyperlink r:id="rId39" w:anchor="BibPLXBIB0011" w:history="1">
        <w:r w:rsidRPr="003632BE">
          <w:rPr>
            <w:rStyle w:val="Hyperlink"/>
            <w:b/>
            <w:bCs/>
          </w:rPr>
          <w:t>11</w:t>
        </w:r>
      </w:hyperlink>
      <w:r w:rsidRPr="003632BE">
        <w:t xml:space="preserve">] on transparency in central bank communication is another example of the growing use of text analysis in economics. They develop a new measure of central bank transparency based on NLP, which is used to assess the effectiveness of transparency policies in various countries. Ongoing research in this area aims to develop more accurate and efficient </w:t>
      </w:r>
      <w:r w:rsidRPr="003632BE">
        <w:lastRenderedPageBreak/>
        <w:t>methods for analyzing financial text sentiment, potentially improving financial decision-making and forecasting.</w:t>
      </w:r>
    </w:p>
    <w:p w14:paraId="67BA14A8" w14:textId="77777777" w:rsidR="003632BE" w:rsidRPr="003632BE" w:rsidRDefault="003632BE" w:rsidP="003632BE">
      <w:r w:rsidRPr="003632BE">
        <w:t>More recently, [</w:t>
      </w:r>
      <w:hyperlink r:id="rId40" w:anchor="BibPLXBIB0008" w:history="1">
        <w:r w:rsidRPr="003632BE">
          <w:rPr>
            <w:rStyle w:val="Hyperlink"/>
            <w:b/>
            <w:bCs/>
          </w:rPr>
          <w:t>8</w:t>
        </w:r>
      </w:hyperlink>
      <w:r w:rsidRPr="003632BE">
        <w:t>] used natural language processing to identify the tone of FOMC post-meeting statements, highlighting the importance of qualitative statement language in policy decision-making. While some state-of-the-art methods are used in text classification in the financial domain [</w:t>
      </w:r>
      <w:hyperlink r:id="rId41" w:anchor="BibPLXBIB0006" w:history="1">
        <w:r w:rsidRPr="003632BE">
          <w:rPr>
            <w:rStyle w:val="Hyperlink"/>
            <w:b/>
            <w:bCs/>
          </w:rPr>
          <w:t>6</w:t>
        </w:r>
      </w:hyperlink>
      <w:r w:rsidRPr="003632BE">
        <w:t>, </w:t>
      </w:r>
      <w:hyperlink r:id="rId42" w:anchor="BibPLXBIB0023" w:history="1">
        <w:r w:rsidRPr="003632BE">
          <w:rPr>
            <w:rStyle w:val="Hyperlink"/>
            <w:b/>
            <w:bCs/>
          </w:rPr>
          <w:t>23</w:t>
        </w:r>
      </w:hyperlink>
      <w:r w:rsidRPr="003632BE">
        <w:t>], the current linguistic analysis of FOMC minutes is still limited to vector language models. It has yet to incorporate more advanced models, such as transformers. Improving linguistic analysis techniques could provide even more accurate and efficient methods for analyzing central bank communication and informing economic policy.</w:t>
      </w:r>
    </w:p>
    <w:p w14:paraId="68B76AA3" w14:textId="77777777" w:rsidR="003632BE" w:rsidRPr="003632BE" w:rsidRDefault="003632BE" w:rsidP="003632BE">
      <w:pPr>
        <w:rPr>
          <w:b/>
          <w:bCs/>
        </w:rPr>
      </w:pPr>
      <w:r w:rsidRPr="003632BE">
        <w:rPr>
          <w:b/>
          <w:bCs/>
          <w:u w:val="single"/>
        </w:rPr>
        <w:t>2.2</w:t>
      </w:r>
      <w:r w:rsidRPr="003632BE">
        <w:rPr>
          <w:b/>
          <w:bCs/>
        </w:rPr>
        <w:t> Related Work on Methods for Sentiment Classification</w:t>
      </w:r>
    </w:p>
    <w:p w14:paraId="5F82E7D9" w14:textId="77777777" w:rsidR="003632BE" w:rsidRPr="003632BE" w:rsidRDefault="003632BE" w:rsidP="003632BE">
      <w:r w:rsidRPr="003632BE">
        <w:t>There are multiple approaches to solving sentiment classification tasks, and [</w:t>
      </w:r>
      <w:hyperlink r:id="rId43" w:anchor="BibPLXBIB0026" w:history="1">
        <w:r w:rsidRPr="003632BE">
          <w:rPr>
            <w:rStyle w:val="Hyperlink"/>
            <w:b/>
            <w:bCs/>
          </w:rPr>
          <w:t>26</w:t>
        </w:r>
      </w:hyperlink>
      <w:r w:rsidRPr="003632BE">
        <w:t>] provide a summary of pre-LLM methods. Dedicated classification models were the first methods. Those models include VADER [</w:t>
      </w:r>
      <w:hyperlink r:id="rId44" w:anchor="BibPLXBIB0010" w:history="1">
        <w:r w:rsidRPr="003632BE">
          <w:rPr>
            <w:rStyle w:val="Hyperlink"/>
            <w:b/>
            <w:bCs/>
          </w:rPr>
          <w:t>10</w:t>
        </w:r>
      </w:hyperlink>
      <w:r w:rsidRPr="003632BE">
        <w:t xml:space="preserve">] and </w:t>
      </w:r>
      <w:proofErr w:type="spellStart"/>
      <w:r w:rsidRPr="003632BE">
        <w:t>FinBERT</w:t>
      </w:r>
      <w:proofErr w:type="spellEnd"/>
      <w:r w:rsidRPr="003632BE">
        <w:t> [</w:t>
      </w:r>
      <w:hyperlink r:id="rId45" w:anchor="BibPLXBIB0004" w:history="1">
        <w:r w:rsidRPr="003632BE">
          <w:rPr>
            <w:rStyle w:val="Hyperlink"/>
            <w:b/>
            <w:bCs/>
          </w:rPr>
          <w:t>4</w:t>
        </w:r>
      </w:hyperlink>
      <w:r w:rsidRPr="003632BE">
        <w:t>, </w:t>
      </w:r>
      <w:hyperlink r:id="rId46" w:anchor="BibPLXBIB0015" w:history="1">
        <w:r w:rsidRPr="003632BE">
          <w:rPr>
            <w:rStyle w:val="Hyperlink"/>
            <w:b/>
            <w:bCs/>
          </w:rPr>
          <w:t>15</w:t>
        </w:r>
      </w:hyperlink>
      <w:r w:rsidRPr="003632BE">
        <w:t>], which we also use in this study. But the task can also be solved using general or fine-tuned language models. This is a paradigm shift outlined by [</w:t>
      </w:r>
      <w:hyperlink r:id="rId47" w:anchor="BibPLXBIB0036" w:history="1">
        <w:r w:rsidRPr="003632BE">
          <w:rPr>
            <w:rStyle w:val="Hyperlink"/>
            <w:b/>
            <w:bCs/>
          </w:rPr>
          <w:t>36</w:t>
        </w:r>
      </w:hyperlink>
      <w:r w:rsidRPr="003632BE">
        <w:t>, pp. 173–174]. Examples of such general-purpose models used for sentiment classification include encoder-only transformers such as BERT [</w:t>
      </w:r>
      <w:hyperlink r:id="rId48" w:anchor="BibPLXBIB0007" w:history="1">
        <w:r w:rsidRPr="003632BE">
          <w:rPr>
            <w:rStyle w:val="Hyperlink"/>
            <w:b/>
            <w:bCs/>
          </w:rPr>
          <w:t>7</w:t>
        </w:r>
      </w:hyperlink>
      <w:r w:rsidRPr="003632BE">
        <w:t>] and its variants [</w:t>
      </w:r>
      <w:hyperlink r:id="rId49" w:anchor="BibPLXBIB0012" w:history="1">
        <w:r w:rsidRPr="003632BE">
          <w:rPr>
            <w:rStyle w:val="Hyperlink"/>
            <w:b/>
            <w:bCs/>
          </w:rPr>
          <w:t>12</w:t>
        </w:r>
      </w:hyperlink>
      <w:r w:rsidRPr="003632BE">
        <w:t>, </w:t>
      </w:r>
      <w:hyperlink r:id="rId50" w:anchor="BibPLXBIB0018" w:history="1">
        <w:r w:rsidRPr="003632BE">
          <w:rPr>
            <w:rStyle w:val="Hyperlink"/>
            <w:b/>
            <w:bCs/>
          </w:rPr>
          <w:t>18</w:t>
        </w:r>
      </w:hyperlink>
      <w:r w:rsidRPr="003632BE">
        <w:t>, </w:t>
      </w:r>
      <w:hyperlink r:id="rId51" w:anchor="BibPLXBIB0020" w:history="1">
        <w:r w:rsidRPr="003632BE">
          <w:rPr>
            <w:rStyle w:val="Hyperlink"/>
            <w:b/>
            <w:bCs/>
          </w:rPr>
          <w:t>20</w:t>
        </w:r>
      </w:hyperlink>
      <w:r w:rsidRPr="003632BE">
        <w:t>], encoder-decoder models such as BART [</w:t>
      </w:r>
      <w:hyperlink r:id="rId52" w:anchor="BibPLXBIB0017" w:history="1">
        <w:r w:rsidRPr="003632BE">
          <w:rPr>
            <w:rStyle w:val="Hyperlink"/>
            <w:b/>
            <w:bCs/>
          </w:rPr>
          <w:t>17</w:t>
        </w:r>
      </w:hyperlink>
      <w:r w:rsidRPr="003632BE">
        <w:t>], and decoder-only transformers such as the GPT family [</w:t>
      </w:r>
      <w:hyperlink r:id="rId53" w:anchor="BibPLXBIB0001" w:history="1">
        <w:r w:rsidRPr="003632BE">
          <w:rPr>
            <w:rStyle w:val="Hyperlink"/>
            <w:b/>
            <w:bCs/>
          </w:rPr>
          <w:t>1</w:t>
        </w:r>
      </w:hyperlink>
      <w:r w:rsidRPr="003632BE">
        <w:t>, </w:t>
      </w:r>
      <w:hyperlink r:id="rId54" w:anchor="BibPLXBIB0009" w:history="1">
        <w:r w:rsidRPr="003632BE">
          <w:rPr>
            <w:rStyle w:val="Hyperlink"/>
            <w:b/>
            <w:bCs/>
          </w:rPr>
          <w:t>9</w:t>
        </w:r>
      </w:hyperlink>
      <w:r w:rsidRPr="003632BE">
        <w:t>, </w:t>
      </w:r>
      <w:hyperlink r:id="rId55" w:anchor="BibPLXBIB0029" w:history="1">
        <w:r w:rsidRPr="003632BE">
          <w:rPr>
            <w:rStyle w:val="Hyperlink"/>
            <w:b/>
            <w:bCs/>
          </w:rPr>
          <w:t>29</w:t>
        </w:r>
      </w:hyperlink>
      <w:r w:rsidRPr="003632BE">
        <w:t>, </w:t>
      </w:r>
      <w:hyperlink r:id="rId56" w:anchor="BibPLXBIB0030" w:history="1">
        <w:r w:rsidRPr="003632BE">
          <w:rPr>
            <w:rStyle w:val="Hyperlink"/>
            <w:b/>
            <w:bCs/>
          </w:rPr>
          <w:t>30</w:t>
        </w:r>
      </w:hyperlink>
      <w:r w:rsidRPr="003632BE">
        <w:t>]. Model engineers may also reformulate sequence-to-sequence (seq2seq) models to perform sentiment classification tasks [</w:t>
      </w:r>
      <w:hyperlink r:id="rId57" w:anchor="BibPLXBIB0036" w:history="1">
        <w:r w:rsidRPr="003632BE">
          <w:rPr>
            <w:rStyle w:val="Hyperlink"/>
            <w:b/>
            <w:bCs/>
          </w:rPr>
          <w:t>36</w:t>
        </w:r>
      </w:hyperlink>
      <w:r w:rsidRPr="003632BE">
        <w:t>, </w:t>
      </w:r>
      <w:hyperlink r:id="rId58" w:anchor="BibPLXBIB0044" w:history="1">
        <w:r w:rsidRPr="003632BE">
          <w:rPr>
            <w:rStyle w:val="Hyperlink"/>
            <w:b/>
            <w:bCs/>
          </w:rPr>
          <w:t>44</w:t>
        </w:r>
      </w:hyperlink>
      <w:r w:rsidRPr="003632BE">
        <w:t>, p. 177]. Language models can also be fine-tuned for (sentiment) classification tasks, as [</w:t>
      </w:r>
      <w:hyperlink r:id="rId59" w:anchor="BibPLXBIB0025" w:history="1">
        <w:r w:rsidRPr="003632BE">
          <w:rPr>
            <w:rStyle w:val="Hyperlink"/>
            <w:b/>
            <w:bCs/>
          </w:rPr>
          <w:t>25</w:t>
        </w:r>
      </w:hyperlink>
      <w:r w:rsidRPr="003632BE">
        <w:t>, pp. 8–9] summarized in a recent survey.</w:t>
      </w:r>
    </w:p>
    <w:p w14:paraId="3C055A9B" w14:textId="77777777" w:rsidR="003632BE" w:rsidRPr="003632BE" w:rsidRDefault="003632BE" w:rsidP="003632BE">
      <w:r w:rsidRPr="003632BE">
        <w:t>[</w:t>
      </w:r>
      <w:hyperlink r:id="rId60" w:anchor="BibPLXBIB0019" w:history="1">
        <w:r w:rsidRPr="003632BE">
          <w:rPr>
            <w:rStyle w:val="Hyperlink"/>
            <w:b/>
            <w:bCs/>
          </w:rPr>
          <w:t>19</w:t>
        </w:r>
      </w:hyperlink>
      <w:r w:rsidRPr="003632BE">
        <w:t xml:space="preserve">] reveal that GPT-4 can solve a range of financial tasks with state-of-the-art performance. Their study finds that the sentiment classification performance of GPT-4 is comparable to </w:t>
      </w:r>
      <w:proofErr w:type="spellStart"/>
      <w:r w:rsidRPr="003632BE">
        <w:t>FinBERT</w:t>
      </w:r>
      <w:proofErr w:type="spellEnd"/>
      <w:r w:rsidRPr="003632BE">
        <w:t xml:space="preserve"> (pp. 410–411). We confirm their findings in section </w:t>
      </w:r>
      <w:hyperlink r:id="rId61" w:anchor="sec-19" w:history="1">
        <w:r w:rsidRPr="003632BE">
          <w:rPr>
            <w:rStyle w:val="Hyperlink"/>
            <w:b/>
            <w:bCs/>
          </w:rPr>
          <w:t>5</w:t>
        </w:r>
      </w:hyperlink>
      <w:r w:rsidRPr="003632BE">
        <w:t>. [</w:t>
      </w:r>
      <w:hyperlink r:id="rId62" w:anchor="BibPLXBIB0019" w:history="1">
        <w:r w:rsidRPr="003632BE">
          <w:rPr>
            <w:rStyle w:val="Hyperlink"/>
            <w:b/>
            <w:bCs/>
          </w:rPr>
          <w:t>19</w:t>
        </w:r>
      </w:hyperlink>
      <w:r w:rsidRPr="003632BE">
        <w:t xml:space="preserve">] also report that GPT-4 has the highest performance on financial sentiment tasks among the language models under consideration. It performs better than other language models on the Financial </w:t>
      </w:r>
      <w:proofErr w:type="spellStart"/>
      <w:r w:rsidRPr="003632BE">
        <w:t>PhraseBank</w:t>
      </w:r>
      <w:proofErr w:type="spellEnd"/>
      <w:r w:rsidRPr="003632BE">
        <w:t xml:space="preserve"> task [</w:t>
      </w:r>
      <w:hyperlink r:id="rId63" w:anchor="BibPLXBIB0024" w:history="1">
        <w:r w:rsidRPr="003632BE">
          <w:rPr>
            <w:rStyle w:val="Hyperlink"/>
            <w:b/>
            <w:bCs/>
          </w:rPr>
          <w:t>24</w:t>
        </w:r>
      </w:hyperlink>
      <w:r w:rsidRPr="003632BE">
        <w:t xml:space="preserve">] and on the </w:t>
      </w:r>
      <w:proofErr w:type="spellStart"/>
      <w:r w:rsidRPr="003632BE">
        <w:t>FiQA</w:t>
      </w:r>
      <w:proofErr w:type="spellEnd"/>
      <w:r w:rsidRPr="003632BE">
        <w:t xml:space="preserve"> sentiment task [</w:t>
      </w:r>
      <w:hyperlink r:id="rId64" w:anchor="BibPLXBIB0022" w:history="1">
        <w:r w:rsidRPr="003632BE">
          <w:rPr>
            <w:rStyle w:val="Hyperlink"/>
            <w:b/>
            <w:bCs/>
          </w:rPr>
          <w:t>22</w:t>
        </w:r>
      </w:hyperlink>
      <w:r w:rsidRPr="003632BE">
        <w:t>].</w:t>
      </w:r>
    </w:p>
    <w:p w14:paraId="3471BFEE" w14:textId="77777777" w:rsidR="003632BE" w:rsidRPr="003632BE" w:rsidRDefault="003632BE" w:rsidP="003632BE">
      <w:r w:rsidRPr="003632BE">
        <w:t xml:space="preserve">The “small is beautiful” principle finds support through knowledge distillation, as demonstrated by </w:t>
      </w:r>
      <w:proofErr w:type="spellStart"/>
      <w:r w:rsidRPr="003632BE">
        <w:t>DistilBERT</w:t>
      </w:r>
      <w:proofErr w:type="spellEnd"/>
      <w:r w:rsidRPr="003632BE">
        <w:t xml:space="preserve"> [</w:t>
      </w:r>
      <w:hyperlink r:id="rId65" w:anchor="BibPLXBIB0033" w:history="1">
        <w:r w:rsidRPr="003632BE">
          <w:rPr>
            <w:rStyle w:val="Hyperlink"/>
            <w:b/>
            <w:bCs/>
          </w:rPr>
          <w:t>33</w:t>
        </w:r>
      </w:hyperlink>
      <w:r w:rsidRPr="003632BE">
        <w:t>]. This involves training a smaller “student” model to replicate the behavior of a larger “teacher” model. By leveraging the teacher model's outputs, the student model learns the task and absorbs the nuances of the larger model, retaining up to 97% of the performance while requiring fewer parameters and running faster. This illustrates that smaller, fine-tuned models can be just as effective as larger ones for downstream tasks. [</w:t>
      </w:r>
      <w:hyperlink r:id="rId66" w:anchor="BibPLXBIB0027" w:history="1">
        <w:r w:rsidRPr="003632BE">
          <w:rPr>
            <w:rStyle w:val="Hyperlink"/>
            <w:b/>
            <w:bCs/>
          </w:rPr>
          <w:t>27</w:t>
        </w:r>
      </w:hyperlink>
      <w:r w:rsidRPr="003632BE">
        <w:t xml:space="preserve">] use a fine-tuned </w:t>
      </w:r>
      <w:proofErr w:type="spellStart"/>
      <w:r w:rsidRPr="003632BE">
        <w:t>RoBERTa</w:t>
      </w:r>
      <w:proofErr w:type="spellEnd"/>
      <w:r w:rsidRPr="003632BE">
        <w:t xml:space="preserve"> model to achieve better </w:t>
      </w:r>
      <w:r w:rsidRPr="003632BE">
        <w:lastRenderedPageBreak/>
        <w:t xml:space="preserve">performance on the </w:t>
      </w:r>
      <w:proofErr w:type="spellStart"/>
      <w:r w:rsidRPr="003632BE">
        <w:t>TweetFinSent</w:t>
      </w:r>
      <w:proofErr w:type="spellEnd"/>
      <w:r w:rsidRPr="003632BE">
        <w:t xml:space="preserve"> dataset than GPT-4 in a few-shot setting [</w:t>
      </w:r>
      <w:hyperlink r:id="rId67" w:anchor="BibPLXBIB0019" w:history="1">
        <w:r w:rsidRPr="003632BE">
          <w:rPr>
            <w:rStyle w:val="Hyperlink"/>
            <w:b/>
            <w:bCs/>
          </w:rPr>
          <w:t>19</w:t>
        </w:r>
      </w:hyperlink>
      <w:r w:rsidRPr="003632BE">
        <w:t>, p. 411]. This shows how the performance of sentiment models is influenced by the type of text that the model was trained on. While GPT-4 is comparable to fine-tuned smaller models on formal text, it underperformed in the context of X (formerly Twitter) texts, which are usually short and sometimes written in a casual style.</w:t>
      </w:r>
    </w:p>
    <w:p w14:paraId="0ADCDC37" w14:textId="77777777" w:rsidR="003632BE" w:rsidRPr="003632BE" w:rsidRDefault="003632BE" w:rsidP="003632BE">
      <w:r w:rsidRPr="003632BE">
        <w:t>Prompt engineering aims to improve the capabilities of language models without requiring changes to the model [</w:t>
      </w:r>
      <w:hyperlink r:id="rId68" w:anchor="BibPLXBIB0031" w:history="1">
        <w:r w:rsidRPr="003632BE">
          <w:rPr>
            <w:rStyle w:val="Hyperlink"/>
            <w:b/>
            <w:bCs/>
          </w:rPr>
          <w:t>31</w:t>
        </w:r>
      </w:hyperlink>
      <w:r w:rsidRPr="003632BE">
        <w:t>, </w:t>
      </w:r>
      <w:hyperlink r:id="rId69" w:anchor="BibPLXBIB0041" w:history="1">
        <w:r w:rsidRPr="003632BE">
          <w:rPr>
            <w:rStyle w:val="Hyperlink"/>
            <w:b/>
            <w:bCs/>
          </w:rPr>
          <w:t>41</w:t>
        </w:r>
      </w:hyperlink>
      <w:r w:rsidRPr="003632BE">
        <w:t>]. [</w:t>
      </w:r>
      <w:hyperlink r:id="rId70" w:anchor="BibPLXBIB0042" w:history="1">
        <w:r w:rsidRPr="003632BE">
          <w:rPr>
            <w:rStyle w:val="Hyperlink"/>
            <w:b/>
            <w:bCs/>
          </w:rPr>
          <w:t>42</w:t>
        </w:r>
      </w:hyperlink>
      <w:r w:rsidRPr="003632BE">
        <w:t>] propose to not only prompt models with question-answer prompts (few-shot prompting), but to provide question-reasoning-answer triplets in the few-shot prompt. They find that eight question-reasoning-answer triplets significantly improve the reasoning abilities of language models.</w:t>
      </w:r>
    </w:p>
    <w:p w14:paraId="55F8D9C9" w14:textId="77777777" w:rsidR="003632BE" w:rsidRPr="003632BE" w:rsidRDefault="003632BE" w:rsidP="003632BE">
      <w:r w:rsidRPr="003632BE">
        <w:t>Flow engineering [</w:t>
      </w:r>
      <w:hyperlink r:id="rId71" w:anchor="BibPLXBIB0032" w:history="1">
        <w:r w:rsidRPr="003632BE">
          <w:rPr>
            <w:rStyle w:val="Hyperlink"/>
            <w:b/>
            <w:bCs/>
          </w:rPr>
          <w:t>32</w:t>
        </w:r>
      </w:hyperlink>
      <w:r w:rsidRPr="003632BE">
        <w:t>] is a concept that emphasizes the benefits of gradual knowledge extraction and reasoning from language models. It is a shift from one-off prompts to a conversational, multi-prompt approach. While the authors work with a programming use case, the concept was proposed only recently and will likely be generalized by other researchers to more domains.</w:t>
      </w:r>
    </w:p>
    <w:p w14:paraId="46C7C983" w14:textId="77777777" w:rsidR="003632BE" w:rsidRPr="003632BE" w:rsidRDefault="003632BE" w:rsidP="003632BE">
      <w:r w:rsidRPr="003632BE">
        <w:rPr>
          <w:u w:val="single"/>
        </w:rPr>
        <w:t>3</w:t>
      </w:r>
      <w:r w:rsidRPr="003632BE">
        <w:t> Data</w:t>
      </w:r>
    </w:p>
    <w:p w14:paraId="798A8A17" w14:textId="77777777" w:rsidR="003632BE" w:rsidRPr="003632BE" w:rsidRDefault="003632BE" w:rsidP="003632BE">
      <w:pPr>
        <w:rPr>
          <w:b/>
          <w:bCs/>
        </w:rPr>
      </w:pPr>
      <w:r w:rsidRPr="003632BE">
        <w:rPr>
          <w:b/>
          <w:bCs/>
          <w:u w:val="single"/>
        </w:rPr>
        <w:t>3.1</w:t>
      </w:r>
      <w:r w:rsidRPr="003632BE">
        <w:rPr>
          <w:b/>
          <w:bCs/>
        </w:rPr>
        <w:t> Overview</w:t>
      </w:r>
    </w:p>
    <w:p w14:paraId="52E09CF3" w14:textId="77777777" w:rsidR="003632BE" w:rsidRPr="003632BE" w:rsidRDefault="003632BE" w:rsidP="003632BE">
      <w:r w:rsidRPr="003632BE">
        <w:t>The dataset is freely available for download. </w:t>
      </w:r>
      <w:hyperlink r:id="rId72" w:anchor="fn2" w:history="1">
        <w:r w:rsidRPr="003632BE">
          <w:rPr>
            <w:rStyle w:val="Hyperlink"/>
            <w:b/>
            <w:bCs/>
            <w:vertAlign w:val="superscript"/>
          </w:rPr>
          <w:t>2</w:t>
        </w:r>
      </w:hyperlink>
      <w:r w:rsidRPr="003632BE">
        <w:t> Our study employs language modeling techniques to 1,065 randomly selected medium-length sentences from the FOMC since January 3rd, 2006, covering 131 FOMC minute transcripts (32,034 sentences) over 18 years. We chose to analyze medium-length sentences from FOMC communications, given their complexity. These communications often cover intricate economic situations and future actions, and medium-length sentences are better suited for capturing multiple aspects of a discussion. Shorter sentences may not fully convey the intended sentiment in context. To ensure accuracy, we specifically curated the FOMC dataset to include sentences of medium length.</w:t>
      </w:r>
    </w:p>
    <w:p w14:paraId="0DF1F537" w14:textId="77777777" w:rsidR="003632BE" w:rsidRPr="003632BE" w:rsidRDefault="003632BE" w:rsidP="003632BE">
      <w:r w:rsidRPr="003632BE">
        <w:t>Existing research on sentiment analysis in FOMC minutes has typically utilized word-level analysis, even when dealing with longer paragraphs [</w:t>
      </w:r>
      <w:hyperlink r:id="rId73" w:anchor="BibPLXBIB0014" w:history="1">
        <w:r w:rsidRPr="003632BE">
          <w:rPr>
            <w:rStyle w:val="Hyperlink"/>
            <w:b/>
            <w:bCs/>
          </w:rPr>
          <w:t>14</w:t>
        </w:r>
      </w:hyperlink>
      <w:r w:rsidRPr="003632BE">
        <w:t>]. Word-level approaches fail to detect contextualized nuances. Alternative, contextualized approaches such as BERT [</w:t>
      </w:r>
      <w:hyperlink r:id="rId74" w:anchor="BibPLXBIB0007" w:history="1">
        <w:r w:rsidRPr="003632BE">
          <w:rPr>
            <w:rStyle w:val="Hyperlink"/>
            <w:b/>
            <w:bCs/>
          </w:rPr>
          <w:t>7</w:t>
        </w:r>
      </w:hyperlink>
      <w:r w:rsidRPr="003632BE">
        <w:t xml:space="preserve">] and </w:t>
      </w:r>
      <w:proofErr w:type="spellStart"/>
      <w:r w:rsidRPr="003632BE">
        <w:t>ELMo</w:t>
      </w:r>
      <w:proofErr w:type="spellEnd"/>
      <w:r w:rsidRPr="003632BE">
        <w:t xml:space="preserve"> [</w:t>
      </w:r>
      <w:hyperlink r:id="rId75" w:anchor="BibPLXBIB0028" w:history="1">
        <w:r w:rsidRPr="003632BE">
          <w:rPr>
            <w:rStyle w:val="Hyperlink"/>
            <w:b/>
            <w:bCs/>
          </w:rPr>
          <w:t>28</w:t>
        </w:r>
      </w:hyperlink>
      <w:r w:rsidRPr="003632BE">
        <w:t>] can overcome the limitations of word-level models. Consequently, this study explores the benefits of sentence-level sentiment analysis to gain a contextual understanding of FOMC minutes.</w:t>
      </w:r>
    </w:p>
    <w:p w14:paraId="1658F7C7" w14:textId="77777777" w:rsidR="003632BE" w:rsidRPr="003632BE" w:rsidRDefault="003632BE" w:rsidP="003632BE">
      <w:r w:rsidRPr="003632BE">
        <w:t xml:space="preserve">The preprocessing steps included four stages, but not all were performed for all models: splitting, removing </w:t>
      </w:r>
      <w:proofErr w:type="spellStart"/>
      <w:r w:rsidRPr="003632BE">
        <w:t>stopwords</w:t>
      </w:r>
      <w:proofErr w:type="spellEnd"/>
      <w:r w:rsidRPr="003632BE">
        <w:t xml:space="preserve">, removing short sentences, and manual inspection. The first step involved splitting paragraphs into individual sentences and removing headlines. The </w:t>
      </w:r>
      <w:proofErr w:type="spellStart"/>
      <w:r w:rsidRPr="003632BE">
        <w:lastRenderedPageBreak/>
        <w:t>FinBERT</w:t>
      </w:r>
      <w:proofErr w:type="spellEnd"/>
      <w:r w:rsidRPr="003632BE">
        <w:t>-FOMC model post-processes the sentences using a text simplification pipeline described by [</w:t>
      </w:r>
      <w:hyperlink r:id="rId76" w:anchor="BibPLXBIB0006" w:history="1">
        <w:r w:rsidRPr="003632BE">
          <w:rPr>
            <w:rStyle w:val="Hyperlink"/>
            <w:b/>
            <w:bCs/>
          </w:rPr>
          <w:t>6</w:t>
        </w:r>
      </w:hyperlink>
      <w:r w:rsidRPr="003632BE">
        <w:t xml:space="preserve">]. Next, and only for the </w:t>
      </w:r>
      <w:proofErr w:type="spellStart"/>
      <w:r w:rsidRPr="003632BE">
        <w:t>FinBERT</w:t>
      </w:r>
      <w:proofErr w:type="spellEnd"/>
      <w:r w:rsidRPr="003632BE">
        <w:t xml:space="preserve"> model, we removed </w:t>
      </w:r>
      <w:proofErr w:type="spellStart"/>
      <w:r w:rsidRPr="003632BE">
        <w:t>stopwords</w:t>
      </w:r>
      <w:proofErr w:type="spellEnd"/>
      <w:r w:rsidRPr="003632BE">
        <w:t>, which are words that do not carry significant meaning. Then, for all models, we filtered out sentences too short to provide meaningful insights, which we set at fewer than eight words or fewer than 43 characters.</w:t>
      </w:r>
    </w:p>
    <w:p w14:paraId="6E265AFE" w14:textId="77777777" w:rsidR="003632BE" w:rsidRPr="003632BE" w:rsidRDefault="003632BE" w:rsidP="003632BE">
      <w:pPr>
        <w:rPr>
          <w:b/>
          <w:bCs/>
        </w:rPr>
      </w:pPr>
      <w:r w:rsidRPr="003632BE">
        <w:rPr>
          <w:b/>
          <w:bCs/>
          <w:u w:val="single"/>
        </w:rPr>
        <w:t>3.2</w:t>
      </w:r>
      <w:r w:rsidRPr="003632BE">
        <w:rPr>
          <w:b/>
          <w:bCs/>
        </w:rPr>
        <w:t> Labeling</w:t>
      </w:r>
    </w:p>
    <w:p w14:paraId="507DA9F9" w14:textId="77777777" w:rsidR="003632BE" w:rsidRPr="003632BE" w:rsidRDefault="003632BE" w:rsidP="003632BE">
      <w:r w:rsidRPr="003632BE">
        <w:t xml:space="preserve">To assess the precision of the language model, qualified annotators labeled a total of 1,065 sentences. The research design accounted for the possibility that one person might exaggerate aspects and sentiments in complex text. A voting system was implemented to mitigate this issue. If one annotator failed to choose the correct sentiment, but the others selected the correct sentiment, the label would be revised to reflect the majority. Thus, the final label required at least two matching labels as the ground truth. A significant distinction of our financial dataset is the rule for perfect information in labeling. Annotators were permitted to search for unknown words and concepts; otherwise, the dataset for </w:t>
      </w:r>
      <w:proofErr w:type="spellStart"/>
      <w:r w:rsidRPr="003632BE">
        <w:t>FinBERT</w:t>
      </w:r>
      <w:proofErr w:type="spellEnd"/>
      <w:r w:rsidRPr="003632BE">
        <w:t xml:space="preserve"> was to disregard external knowledge in detecting market sentiment. This approach ensures the dataset's labels are highly accurate, as our objective is to have a solid ground truth. By leveraging online information, annotators achieved near-perfect information circumstances for precise labeling.</w:t>
      </w:r>
    </w:p>
    <w:p w14:paraId="7FEE9E47" w14:textId="77777777" w:rsidR="003632BE" w:rsidRPr="003632BE" w:rsidRDefault="003632BE" w:rsidP="003632BE">
      <w:r w:rsidRPr="003632BE">
        <w:t>Of the 32,034 FOMC sentences we had extracted from the FOMC transcripts, we chose 1,065 sentences of medium length. This decision is based on the rationale that short sentences often do not contain multiple statements about the same sentiment aspect and often only contain statements about a single aspect. This makes short sentences too easy to classify. Long sentences, however, often explain general guiding principles of the FOMC and do not express any sentiment. Medium sentences were thus the most difficult to classify, allowing for the best estimation of a model's capabilities.</w:t>
      </w:r>
    </w:p>
    <w:p w14:paraId="003B0E6C" w14:textId="77777777" w:rsidR="003632BE" w:rsidRPr="003632BE" w:rsidRDefault="003632BE" w:rsidP="003632BE">
      <w:r w:rsidRPr="003632BE">
        <w:t xml:space="preserve">All annotators had at least </w:t>
      </w:r>
      <w:proofErr w:type="gramStart"/>
      <w:r w:rsidRPr="003632BE">
        <w:t>an</w:t>
      </w:r>
      <w:proofErr w:type="gramEnd"/>
      <w:r w:rsidRPr="003632BE">
        <w:t xml:space="preserve"> master level education in business, finance, or economics degree. The authors provided about half of the labels. None of the sentences were only annotated by the authors. None of the annotators were incentivized to label sentences quickly.</w:t>
      </w:r>
    </w:p>
    <w:p w14:paraId="74A4E5D3" w14:textId="77777777" w:rsidR="003632BE" w:rsidRPr="003632BE" w:rsidRDefault="003632BE" w:rsidP="003632BE">
      <w:r w:rsidRPr="003632BE">
        <w:t xml:space="preserve">When discussing discrepancies between annotators, we established the following non-trivial definitions of FOMC sentiment across the three aspects. Foreign </w:t>
      </w:r>
      <w:proofErr w:type="gramStart"/>
      <w:r w:rsidRPr="003632BE">
        <w:t>positive growth</w:t>
      </w:r>
      <w:proofErr w:type="gramEnd"/>
      <w:r w:rsidRPr="003632BE">
        <w:t xml:space="preserve"> is positive for the growth sentiment, even if no direct link to growth in the U.S. can be established. Decreases in government spending are negative for growth. A minor change in an indirectly growth-related indicator, such as domestic debt, is neutral.</w:t>
      </w:r>
    </w:p>
    <w:p w14:paraId="7511D061" w14:textId="77777777" w:rsidR="003632BE" w:rsidRPr="003632BE" w:rsidRDefault="003632BE" w:rsidP="003632BE">
      <w:r w:rsidRPr="003632BE">
        <w:lastRenderedPageBreak/>
        <w:t xml:space="preserve">Below is an example of a hard sentence (ID 12087 of the dataset) that led to disagreements between the models: “Recent data suggested that growth rates of household spending and business fixed investment had moderated from their strong fourth-quarter readings.” VADER: positive, </w:t>
      </w:r>
      <w:proofErr w:type="spellStart"/>
      <w:r w:rsidRPr="003632BE">
        <w:t>FinBERT</w:t>
      </w:r>
      <w:proofErr w:type="spellEnd"/>
      <w:r w:rsidRPr="003632BE">
        <w:t xml:space="preserve">: negative, </w:t>
      </w:r>
      <w:proofErr w:type="spellStart"/>
      <w:r w:rsidRPr="003632BE">
        <w:t>FinBERT</w:t>
      </w:r>
      <w:proofErr w:type="spellEnd"/>
      <w:r w:rsidRPr="003632BE">
        <w:t>-FOMC: negative, GPT-4: neutral, Llama 3: negative. The human annotation of this sentence is “neutral” because a moderation implies a decrease (negative), but from a high level, indicating that growth is still higher than zero, albeit not high. This sentence is one of the most debatable sentences, showing the complexity of the underlying language and the need for high-quality annotations. We believe that our dataset is an important contribution to the scientific community, as it is a useful and hard benchmark component for future research.</w:t>
      </w:r>
    </w:p>
    <w:p w14:paraId="477403B6" w14:textId="77777777" w:rsidR="003632BE" w:rsidRPr="003632BE" w:rsidRDefault="003632BE" w:rsidP="003632BE">
      <w:r w:rsidRPr="003632BE">
        <w:rPr>
          <w:u w:val="single"/>
        </w:rPr>
        <w:t>4</w:t>
      </w:r>
      <w:r w:rsidRPr="003632BE">
        <w:t> Methods</w:t>
      </w:r>
    </w:p>
    <w:p w14:paraId="48BF3B4D" w14:textId="77777777" w:rsidR="003632BE" w:rsidRPr="003632BE" w:rsidRDefault="003632BE" w:rsidP="003632BE">
      <w:pPr>
        <w:rPr>
          <w:b/>
          <w:bCs/>
        </w:rPr>
      </w:pPr>
      <w:r w:rsidRPr="003632BE">
        <w:rPr>
          <w:b/>
          <w:bCs/>
          <w:u w:val="single"/>
        </w:rPr>
        <w:t>4.1</w:t>
      </w:r>
      <w:r w:rsidRPr="003632BE">
        <w:rPr>
          <w:b/>
          <w:bCs/>
        </w:rPr>
        <w:t> VADER</w:t>
      </w:r>
    </w:p>
    <w:p w14:paraId="6B52DF2C" w14:textId="77777777" w:rsidR="003632BE" w:rsidRPr="003632BE" w:rsidRDefault="003632BE" w:rsidP="003632BE">
      <w:r w:rsidRPr="003632BE">
        <w:rPr>
          <w:i/>
          <w:iCs/>
        </w:rPr>
        <w:t xml:space="preserve">Valence Aware Dictionary and </w:t>
      </w:r>
      <w:proofErr w:type="spellStart"/>
      <w:r w:rsidRPr="003632BE">
        <w:rPr>
          <w:i/>
          <w:iCs/>
        </w:rPr>
        <w:t>sEntiment</w:t>
      </w:r>
      <w:proofErr w:type="spellEnd"/>
      <w:r w:rsidRPr="003632BE">
        <w:rPr>
          <w:i/>
          <w:iCs/>
        </w:rPr>
        <w:t xml:space="preserve"> Reasoner</w:t>
      </w:r>
      <w:r w:rsidRPr="003632BE">
        <w:t> (VADER) is a sentiment analysis tool that operates on a rule-based framework to evaluate the sentiment expressed in each text [</w:t>
      </w:r>
      <w:hyperlink r:id="rId77" w:anchor="BibPLXBIB0010" w:history="1">
        <w:r w:rsidRPr="003632BE">
          <w:rPr>
            <w:rStyle w:val="Hyperlink"/>
            <w:b/>
            <w:bCs/>
          </w:rPr>
          <w:t>10</w:t>
        </w:r>
      </w:hyperlink>
      <w:r w:rsidRPr="003632BE">
        <w:t>]. It analyzes sentiments conveyed through short social media posts (microblogs), reviews, and forum discussions. VADER employs a lexicon of sentiment-related words and a set of rules to determine the polarity (positive, negative, or neutral) and intensity of sentiment in the text. The VADER score is normalized to a range of -1 to 1, where a score close to 0 indicates neutral sentiment. We chose -0.05 and 0.05 as the cutoffs for negative and positive sentiment, respectively.</w:t>
      </w:r>
    </w:p>
    <w:p w14:paraId="654891E5" w14:textId="513916FC" w:rsidR="003632BE" w:rsidRPr="003632BE" w:rsidRDefault="003632BE" w:rsidP="003632BE">
      <w:r w:rsidRPr="003632BE">
        <w:drawing>
          <wp:inline distT="0" distB="0" distL="0" distR="0" wp14:anchorId="49C65A97" wp14:editId="72A8CFCE">
            <wp:extent cx="5943600" cy="1235075"/>
            <wp:effectExtent l="0" t="0" r="0" b="3175"/>
            <wp:docPr id="973600214" name="Picture 6"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1235075"/>
                    </a:xfrm>
                    <a:prstGeom prst="rect">
                      <a:avLst/>
                    </a:prstGeom>
                    <a:noFill/>
                    <a:ln>
                      <a:noFill/>
                    </a:ln>
                  </pic:spPr>
                </pic:pic>
              </a:graphicData>
            </a:graphic>
          </wp:inline>
        </w:drawing>
      </w:r>
      <w:r w:rsidRPr="003632BE">
        <w:t>Figure 1: Frequencies of sentiment labels of the ground truth and all models.</w:t>
      </w:r>
    </w:p>
    <w:p w14:paraId="2C11E239" w14:textId="77777777" w:rsidR="003632BE" w:rsidRPr="003632BE" w:rsidRDefault="003632BE" w:rsidP="003632BE">
      <w:pPr>
        <w:rPr>
          <w:b/>
          <w:bCs/>
        </w:rPr>
      </w:pPr>
      <w:r w:rsidRPr="003632BE">
        <w:rPr>
          <w:b/>
          <w:bCs/>
          <w:u w:val="single"/>
        </w:rPr>
        <w:t>4.2</w:t>
      </w:r>
      <w:r w:rsidRPr="003632BE">
        <w:rPr>
          <w:b/>
          <w:bCs/>
        </w:rPr>
        <w:t> </w:t>
      </w:r>
      <w:proofErr w:type="spellStart"/>
      <w:r w:rsidRPr="003632BE">
        <w:rPr>
          <w:b/>
          <w:bCs/>
        </w:rPr>
        <w:t>FinBERT</w:t>
      </w:r>
      <w:proofErr w:type="spellEnd"/>
    </w:p>
    <w:p w14:paraId="45206AFD" w14:textId="77777777" w:rsidR="003632BE" w:rsidRPr="003632BE" w:rsidRDefault="003632BE" w:rsidP="003632BE">
      <w:proofErr w:type="spellStart"/>
      <w:r w:rsidRPr="003632BE">
        <w:t>FinBERT</w:t>
      </w:r>
      <w:proofErr w:type="spellEnd"/>
      <w:r w:rsidRPr="003632BE">
        <w:t xml:space="preserve"> was proposed by [</w:t>
      </w:r>
      <w:hyperlink r:id="rId79" w:anchor="BibPLXBIB0004" w:history="1">
        <w:r w:rsidRPr="003632BE">
          <w:rPr>
            <w:rStyle w:val="Hyperlink"/>
            <w:b/>
            <w:bCs/>
          </w:rPr>
          <w:t>4</w:t>
        </w:r>
      </w:hyperlink>
      <w:r w:rsidRPr="003632BE">
        <w:t>] and is a pre-trained transformer language model [</w:t>
      </w:r>
      <w:hyperlink r:id="rId80" w:anchor="BibPLXBIB0039" w:history="1">
        <w:r w:rsidRPr="003632BE">
          <w:rPr>
            <w:rStyle w:val="Hyperlink"/>
            <w:b/>
            <w:bCs/>
          </w:rPr>
          <w:t>39</w:t>
        </w:r>
      </w:hyperlink>
      <w:r w:rsidRPr="003632BE">
        <w:t>] based on the BERT architecture [</w:t>
      </w:r>
      <w:hyperlink r:id="rId81" w:anchor="BibPLXBIB0007" w:history="1">
        <w:r w:rsidRPr="003632BE">
          <w:rPr>
            <w:rStyle w:val="Hyperlink"/>
            <w:b/>
            <w:bCs/>
          </w:rPr>
          <w:t>7</w:t>
        </w:r>
      </w:hyperlink>
      <w:r w:rsidRPr="003632BE">
        <w:t>]. The model is designed to capture the nuances and complexities of financial language and terminology, making it suitable for various financial text analysis tasks [</w:t>
      </w:r>
      <w:hyperlink r:id="rId82" w:anchor="BibPLXBIB0021" w:history="1">
        <w:r w:rsidRPr="003632BE">
          <w:rPr>
            <w:rStyle w:val="Hyperlink"/>
            <w:b/>
            <w:bCs/>
          </w:rPr>
          <w:t>21</w:t>
        </w:r>
      </w:hyperlink>
      <w:r w:rsidRPr="003632BE">
        <w:t xml:space="preserve">]. The model has been fine-tuned on a large corpus of financial text data, including news articles, corporate reports, and regulatory filings. In this study, a fine-tuned version of the </w:t>
      </w:r>
      <w:proofErr w:type="spellStart"/>
      <w:r w:rsidRPr="003632BE">
        <w:t>FinBERT</w:t>
      </w:r>
      <w:proofErr w:type="spellEnd"/>
      <w:r w:rsidRPr="003632BE">
        <w:t xml:space="preserve"> language model was utilized, based on [</w:t>
      </w:r>
      <w:hyperlink r:id="rId83" w:anchor="BibPLXBIB0040" w:history="1">
        <w:r w:rsidRPr="003632BE">
          <w:rPr>
            <w:rStyle w:val="Hyperlink"/>
            <w:b/>
            <w:bCs/>
          </w:rPr>
          <w:t>40</w:t>
        </w:r>
      </w:hyperlink>
      <w:r w:rsidRPr="003632BE">
        <w:t xml:space="preserve">]. The sentiment score of the </w:t>
      </w:r>
      <w:proofErr w:type="spellStart"/>
      <w:r w:rsidRPr="003632BE">
        <w:t>FinBERT</w:t>
      </w:r>
      <w:proofErr w:type="spellEnd"/>
      <w:r w:rsidRPr="003632BE">
        <w:t xml:space="preserve"> model is normalized to a range of -1 to 1.</w:t>
      </w:r>
    </w:p>
    <w:p w14:paraId="07B5544A" w14:textId="77777777" w:rsidR="003632BE" w:rsidRPr="003632BE" w:rsidRDefault="003632BE" w:rsidP="003632BE">
      <w:r w:rsidRPr="003632BE">
        <w:lastRenderedPageBreak/>
        <w:t xml:space="preserve">The dataset used to train </w:t>
      </w:r>
      <w:proofErr w:type="spellStart"/>
      <w:r w:rsidRPr="003632BE">
        <w:t>FinBERT</w:t>
      </w:r>
      <w:proofErr w:type="spellEnd"/>
      <w:r w:rsidRPr="003632BE">
        <w:t xml:space="preserve"> includes Financial </w:t>
      </w:r>
      <w:proofErr w:type="spellStart"/>
      <w:r w:rsidRPr="003632BE">
        <w:t>PhraseBank</w:t>
      </w:r>
      <w:proofErr w:type="spellEnd"/>
      <w:r w:rsidRPr="003632BE">
        <w:t> [</w:t>
      </w:r>
      <w:hyperlink r:id="rId84" w:anchor="BibPLXBIB0024" w:history="1">
        <w:r w:rsidRPr="003632BE">
          <w:rPr>
            <w:rStyle w:val="Hyperlink"/>
            <w:b/>
            <w:bCs/>
          </w:rPr>
          <w:t>24</w:t>
        </w:r>
      </w:hyperlink>
      <w:r w:rsidRPr="003632BE">
        <w:t xml:space="preserve">] and </w:t>
      </w:r>
      <w:proofErr w:type="spellStart"/>
      <w:r w:rsidRPr="003632BE">
        <w:t>FiQA</w:t>
      </w:r>
      <w:proofErr w:type="spellEnd"/>
      <w:r w:rsidRPr="003632BE">
        <w:t xml:space="preserve"> Task 1 sentiment scoring [</w:t>
      </w:r>
      <w:hyperlink r:id="rId85" w:anchor="BibPLXBIB0022" w:history="1">
        <w:r w:rsidRPr="003632BE">
          <w:rPr>
            <w:rStyle w:val="Hyperlink"/>
            <w:b/>
            <w:bCs/>
          </w:rPr>
          <w:t>22</w:t>
        </w:r>
      </w:hyperlink>
      <w:r w:rsidRPr="003632BE">
        <w:t>]. While the model was trained on existing financial datasets, including a high agreement level dataset that was further fine-tuned by [</w:t>
      </w:r>
      <w:hyperlink r:id="rId86" w:anchor="BibPLXBIB0040" w:history="1">
        <w:r w:rsidRPr="003632BE">
          <w:rPr>
            <w:rStyle w:val="Hyperlink"/>
            <w:b/>
            <w:bCs/>
          </w:rPr>
          <w:t>40</w:t>
        </w:r>
      </w:hyperlink>
      <w:r w:rsidRPr="003632BE">
        <w:t xml:space="preserve">] to reduce noise in the labeled data, the dataset may not be well-suited for analyzing sentiment in FOMC minutes. This is because the FOMC often mentions multiple </w:t>
      </w:r>
      <w:proofErr w:type="gramStart"/>
      <w:r w:rsidRPr="003632BE">
        <w:t>sentiment</w:t>
      </w:r>
      <w:proofErr w:type="gramEnd"/>
      <w:r w:rsidRPr="003632BE">
        <w:t xml:space="preserve"> aspects in a single sentence, which may have different </w:t>
      </w:r>
      <w:proofErr w:type="gramStart"/>
      <w:r w:rsidRPr="003632BE">
        <w:t>valences</w:t>
      </w:r>
      <w:proofErr w:type="gramEnd"/>
      <w:r w:rsidRPr="003632BE">
        <w:t>. Furthermore, FOMC sentences may contain opposing statements about a single sentiment.</w:t>
      </w:r>
    </w:p>
    <w:p w14:paraId="526F4F55" w14:textId="77777777" w:rsidR="003632BE" w:rsidRPr="003632BE" w:rsidRDefault="003632BE" w:rsidP="003632BE">
      <w:pPr>
        <w:rPr>
          <w:b/>
          <w:bCs/>
        </w:rPr>
      </w:pPr>
      <w:r w:rsidRPr="003632BE">
        <w:rPr>
          <w:b/>
          <w:bCs/>
          <w:u w:val="single"/>
        </w:rPr>
        <w:t>4.3</w:t>
      </w:r>
      <w:r w:rsidRPr="003632BE">
        <w:rPr>
          <w:b/>
          <w:bCs/>
        </w:rPr>
        <w:t> </w:t>
      </w:r>
      <w:proofErr w:type="spellStart"/>
      <w:r w:rsidRPr="003632BE">
        <w:rPr>
          <w:b/>
          <w:bCs/>
        </w:rPr>
        <w:t>FinBERT</w:t>
      </w:r>
      <w:proofErr w:type="spellEnd"/>
      <w:r w:rsidRPr="003632BE">
        <w:rPr>
          <w:b/>
          <w:bCs/>
        </w:rPr>
        <w:t>-FOMC</w:t>
      </w:r>
    </w:p>
    <w:p w14:paraId="13434F6A" w14:textId="77777777" w:rsidR="003632BE" w:rsidRPr="003632BE" w:rsidRDefault="003632BE" w:rsidP="003632BE">
      <w:r w:rsidRPr="003632BE">
        <w:t>[</w:t>
      </w:r>
      <w:hyperlink r:id="rId87" w:anchor="BibPLXBIB0006" w:history="1">
        <w:r w:rsidRPr="003632BE">
          <w:rPr>
            <w:rStyle w:val="Hyperlink"/>
            <w:b/>
            <w:bCs/>
          </w:rPr>
          <w:t>6</w:t>
        </w:r>
      </w:hyperlink>
      <w:r w:rsidRPr="003632BE">
        <w:t xml:space="preserve">] describes a version of </w:t>
      </w:r>
      <w:proofErr w:type="spellStart"/>
      <w:r w:rsidRPr="003632BE">
        <w:t>FinBERT</w:t>
      </w:r>
      <w:proofErr w:type="spellEnd"/>
      <w:r w:rsidRPr="003632BE">
        <w:t xml:space="preserve"> that is fine-tuned on 1,375</w:t>
      </w:r>
      <w:hyperlink r:id="rId88" w:anchor="fn3" w:history="1">
        <w:r w:rsidRPr="003632BE">
          <w:rPr>
            <w:rStyle w:val="Hyperlink"/>
            <w:b/>
            <w:bCs/>
            <w:vertAlign w:val="superscript"/>
          </w:rPr>
          <w:t>3</w:t>
        </w:r>
      </w:hyperlink>
      <w:r w:rsidRPr="003632BE">
        <w:t xml:space="preserve"> FOMC sentences. In addition to being fine-tuned, </w:t>
      </w:r>
      <w:proofErr w:type="spellStart"/>
      <w:r w:rsidRPr="003632BE">
        <w:t>FinBERT</w:t>
      </w:r>
      <w:proofErr w:type="spellEnd"/>
      <w:r w:rsidRPr="003632BE">
        <w:t xml:space="preserve">-FOMC preprocesses the sentences with the Sentiment Focus method (p. 361), which uses conjunctions to detect phrases that are irrelevant to the sentences’ sentiment. The results demonstrated an overall improvement of 5% in accuracy over the baseline </w:t>
      </w:r>
      <w:proofErr w:type="spellStart"/>
      <w:r w:rsidRPr="003632BE">
        <w:t>FinBERT</w:t>
      </w:r>
      <w:proofErr w:type="spellEnd"/>
      <w:r w:rsidRPr="003632BE">
        <w:t xml:space="preserve"> model. In cases of complex sentences containing conjunctions like “</w:t>
      </w:r>
      <w:proofErr w:type="gramStart"/>
      <w:r w:rsidRPr="003632BE">
        <w:t>but,</w:t>
      </w:r>
      <w:proofErr w:type="gramEnd"/>
      <w:r w:rsidRPr="003632BE">
        <w:t>” “</w:t>
      </w:r>
      <w:proofErr w:type="gramStart"/>
      <w:r w:rsidRPr="003632BE">
        <w:t>while,</w:t>
      </w:r>
      <w:proofErr w:type="gramEnd"/>
      <w:r w:rsidRPr="003632BE">
        <w:t xml:space="preserve">” and “though” with contradicting sentiments, the fine-tuned model outperformed the original </w:t>
      </w:r>
      <w:proofErr w:type="spellStart"/>
      <w:r w:rsidRPr="003632BE">
        <w:t>FinBERT</w:t>
      </w:r>
      <w:proofErr w:type="spellEnd"/>
      <w:r w:rsidRPr="003632BE">
        <w:t xml:space="preserve"> by a margin of 17.4%.</w:t>
      </w:r>
    </w:p>
    <w:p w14:paraId="184A5FB1" w14:textId="77777777" w:rsidR="003632BE" w:rsidRPr="003632BE" w:rsidRDefault="003632BE" w:rsidP="003632BE">
      <w:pPr>
        <w:rPr>
          <w:b/>
          <w:bCs/>
        </w:rPr>
      </w:pPr>
      <w:r w:rsidRPr="003632BE">
        <w:rPr>
          <w:b/>
          <w:bCs/>
          <w:u w:val="single"/>
        </w:rPr>
        <w:t>4.4</w:t>
      </w:r>
      <w:r w:rsidRPr="003632BE">
        <w:rPr>
          <w:b/>
          <w:bCs/>
        </w:rPr>
        <w:t> GPT-4 and Task-Specific Prompt Engineering</w:t>
      </w:r>
    </w:p>
    <w:p w14:paraId="7845B608" w14:textId="77777777" w:rsidR="003632BE" w:rsidRPr="003632BE" w:rsidRDefault="003632BE" w:rsidP="003632BE">
      <w:r w:rsidRPr="003632BE">
        <w:t>GPT-4 is a transformer-based language model and is considered one of the most capable models to date [</w:t>
      </w:r>
      <w:hyperlink r:id="rId89" w:anchor="BibPLXBIB0001" w:history="1">
        <w:r w:rsidRPr="003632BE">
          <w:rPr>
            <w:rStyle w:val="Hyperlink"/>
            <w:b/>
            <w:bCs/>
          </w:rPr>
          <w:t>1</w:t>
        </w:r>
      </w:hyperlink>
      <w:r w:rsidRPr="003632BE">
        <w:t>, pp. 7–8]. [</w:t>
      </w:r>
      <w:hyperlink r:id="rId90" w:anchor="BibPLXBIB0019" w:history="1">
        <w:r w:rsidRPr="003632BE">
          <w:rPr>
            <w:rStyle w:val="Hyperlink"/>
            <w:b/>
            <w:bCs/>
          </w:rPr>
          <w:t>19</w:t>
        </w:r>
      </w:hyperlink>
      <w:r w:rsidRPr="003632BE">
        <w:t>] show that GPT-4 delivers the best language model performance for some financial sentiment analysis benchmarks, as we summarize in section </w:t>
      </w:r>
      <w:hyperlink r:id="rId91" w:anchor="sec-9" w:history="1">
        <w:r w:rsidRPr="003632BE">
          <w:rPr>
            <w:rStyle w:val="Hyperlink"/>
            <w:b/>
            <w:bCs/>
          </w:rPr>
          <w:t>2.2</w:t>
        </w:r>
      </w:hyperlink>
      <w:r w:rsidRPr="003632BE">
        <w:t xml:space="preserve">. Due to being closed-source, details about the model's architecture are not known. We use GPT-4 in this study due to its </w:t>
      </w:r>
      <w:proofErr w:type="gramStart"/>
      <w:r w:rsidRPr="003632BE">
        <w:t>current status</w:t>
      </w:r>
      <w:proofErr w:type="gramEnd"/>
      <w:r w:rsidRPr="003632BE">
        <w:t xml:space="preserve"> as a state-of-the-art language model despite it being closed-source.</w:t>
      </w:r>
    </w:p>
    <w:p w14:paraId="25653B9B" w14:textId="77777777" w:rsidR="003632BE" w:rsidRPr="003632BE" w:rsidRDefault="003632BE" w:rsidP="003632BE">
      <w:r w:rsidRPr="003632BE">
        <w:t>When experimenting with GPT-4 for aspect-based FOMC sentiment analysis, we studied how to ensure that the model output, which can be unstructured text of varying length, can reliably be parsed by our evaluation system. As GPT-4 is a text-to-text model, receiving an unstructured text and returning a structured text requires a prompt that enforces structure on the output. We experimented with several prompts, including the following:</w:t>
      </w:r>
    </w:p>
    <w:p w14:paraId="37AC75F6" w14:textId="77777777" w:rsidR="003632BE" w:rsidRPr="003632BE" w:rsidRDefault="003632BE" w:rsidP="003632BE">
      <w:pPr>
        <w:numPr>
          <w:ilvl w:val="0"/>
          <w:numId w:val="4"/>
        </w:numPr>
      </w:pPr>
      <w:r w:rsidRPr="003632BE">
        <w:t>An instruction to provide the aspect-based sentiment in JSON format with the three keys growth, employment, and inflation. No further explanation or background about FOMC sentiment was provided.</w:t>
      </w:r>
    </w:p>
    <w:p w14:paraId="6E36313C" w14:textId="77777777" w:rsidR="003632BE" w:rsidRPr="003632BE" w:rsidRDefault="003632BE" w:rsidP="003632BE">
      <w:pPr>
        <w:numPr>
          <w:ilvl w:val="0"/>
          <w:numId w:val="4"/>
        </w:numPr>
      </w:pPr>
      <w:r w:rsidRPr="003632BE">
        <w:t>A description with the information provided in the prompt above, in addition to 14 examples in human-readable form, such as “Lower petroleum prices are good for inflation.” This prompt was similar to the instructions the human annotators received (see subsection </w:t>
      </w:r>
      <w:hyperlink r:id="rId92" w:anchor="sec-12" w:history="1">
        <w:r w:rsidRPr="003632BE">
          <w:rPr>
            <w:rStyle w:val="Hyperlink"/>
            <w:b/>
            <w:bCs/>
          </w:rPr>
          <w:t>3.2</w:t>
        </w:r>
      </w:hyperlink>
      <w:r w:rsidRPr="003632BE">
        <w:t>).</w:t>
      </w:r>
    </w:p>
    <w:p w14:paraId="300BC6F4" w14:textId="77777777" w:rsidR="003632BE" w:rsidRPr="003632BE" w:rsidRDefault="003632BE" w:rsidP="003632BE">
      <w:pPr>
        <w:numPr>
          <w:ilvl w:val="0"/>
          <w:numId w:val="4"/>
        </w:numPr>
      </w:pPr>
      <w:r w:rsidRPr="003632BE">
        <w:lastRenderedPageBreak/>
        <w:t>No verbal explanation, just eight example sentences followed by the desired JSON output (see </w:t>
      </w:r>
      <w:hyperlink r:id="rId93" w:anchor="sec-30" w:history="1">
        <w:r w:rsidRPr="003632BE">
          <w:rPr>
            <w:rStyle w:val="Hyperlink"/>
            <w:b/>
            <w:bCs/>
          </w:rPr>
          <w:t>B</w:t>
        </w:r>
      </w:hyperlink>
      <w:r w:rsidRPr="003632BE">
        <w:t> for the full prompt).</w:t>
      </w:r>
    </w:p>
    <w:p w14:paraId="4EDC57BB" w14:textId="77777777" w:rsidR="003632BE" w:rsidRPr="003632BE" w:rsidRDefault="003632BE" w:rsidP="003632BE">
      <w:r w:rsidRPr="003632BE">
        <w:t xml:space="preserve">When testing the first prompt, we received </w:t>
      </w:r>
      <w:proofErr w:type="spellStart"/>
      <w:r w:rsidRPr="003632BE">
        <w:t>unparsable</w:t>
      </w:r>
      <w:proofErr w:type="spellEnd"/>
      <w:r w:rsidRPr="003632BE">
        <w:t xml:space="preserve"> responses for the growth sentiment in 11.25% of cases; with the second prompt, the rate dropped to 4.13%; with the third prompt, the rate dropped to 0.0%. We, therefore, used the third prompt for all GPT-4 and Llama 3 experiments in this study.</w:t>
      </w:r>
    </w:p>
    <w:p w14:paraId="761E79A5" w14:textId="77777777" w:rsidR="003632BE" w:rsidRPr="003632BE" w:rsidRDefault="003632BE" w:rsidP="003632BE">
      <w:r w:rsidRPr="003632BE">
        <w:t>We also tested the prompt suffix “Let's think step by step” proposed by [</w:t>
      </w:r>
      <w:hyperlink r:id="rId94" w:anchor="BibPLXBIB0016" w:history="1">
        <w:r w:rsidRPr="003632BE">
          <w:rPr>
            <w:rStyle w:val="Hyperlink"/>
            <w:b/>
            <w:bCs/>
          </w:rPr>
          <w:t>16</w:t>
        </w:r>
      </w:hyperlink>
      <w:r w:rsidRPr="003632BE">
        <w:t xml:space="preserve">] by allowing the model to output its reasoning in a JSON field called “explanation” to the beginning of the model output. This suffix reduced the GPT-4’s ability to reliably provide </w:t>
      </w:r>
      <w:proofErr w:type="spellStart"/>
      <w:r w:rsidRPr="003632BE">
        <w:t>parsable</w:t>
      </w:r>
      <w:proofErr w:type="spellEnd"/>
      <w:r w:rsidRPr="003632BE">
        <w:t xml:space="preserve"> JSONs with the correct keys. As a result, we did not use this suffix in our experiments despite its merits in other domains (pp. 5–9).</w:t>
      </w:r>
    </w:p>
    <w:p w14:paraId="0A2DB18C" w14:textId="77777777" w:rsidR="003632BE" w:rsidRPr="003632BE" w:rsidRDefault="003632BE" w:rsidP="003632BE">
      <w:r w:rsidRPr="003632BE">
        <w:t>On a side note, GPT-4 and Llama 3 allowed us to calculate the sentiments for the aspects of employment and inflation without much additional effort. Employment and inflation were not predicted by the other models.</w:t>
      </w:r>
    </w:p>
    <w:p w14:paraId="1600EC0D" w14:textId="77777777" w:rsidR="003632BE" w:rsidRPr="003632BE" w:rsidRDefault="003632BE" w:rsidP="003632BE">
      <w:pPr>
        <w:rPr>
          <w:b/>
          <w:bCs/>
        </w:rPr>
      </w:pPr>
      <w:r w:rsidRPr="003632BE">
        <w:rPr>
          <w:b/>
          <w:bCs/>
          <w:u w:val="single"/>
        </w:rPr>
        <w:t>4.5</w:t>
      </w:r>
      <w:r w:rsidRPr="003632BE">
        <w:rPr>
          <w:b/>
          <w:bCs/>
        </w:rPr>
        <w:t> Llama 3 and Task-Specific Prompt Engineering</w:t>
      </w:r>
    </w:p>
    <w:p w14:paraId="3C6C7E4C" w14:textId="77777777" w:rsidR="003632BE" w:rsidRPr="003632BE" w:rsidRDefault="003632BE" w:rsidP="003632BE">
      <w:proofErr w:type="gramStart"/>
      <w:r w:rsidRPr="003632BE">
        <w:t>Llama</w:t>
      </w:r>
      <w:proofErr w:type="gramEnd"/>
      <w:r w:rsidRPr="003632BE">
        <w:t> 3 is a decoder-only transformer language model. Unlike GPT-4, Llama 3 is open-source, making its architecture transparent and making the model available for deployment by anybody with appropriate hardware. Compared to previous versions of Llama [</w:t>
      </w:r>
      <w:hyperlink r:id="rId95" w:anchor="BibPLXBIB0038" w:history="1">
        <w:r w:rsidRPr="003632BE">
          <w:rPr>
            <w:rStyle w:val="Hyperlink"/>
            <w:b/>
            <w:bCs/>
          </w:rPr>
          <w:t>38</w:t>
        </w:r>
      </w:hyperlink>
      <w:r w:rsidRPr="003632BE">
        <w:t>], Llama 3 has an extended vocabulary with 128’000 tokens and it uses recent architectural advancements such as Grouped Query Attention [</w:t>
      </w:r>
      <w:hyperlink r:id="rId96" w:anchor="BibPLXBIB0003" w:history="1">
        <w:r w:rsidRPr="003632BE">
          <w:rPr>
            <w:rStyle w:val="Hyperlink"/>
            <w:b/>
            <w:bCs/>
          </w:rPr>
          <w:t>3</w:t>
        </w:r>
      </w:hyperlink>
      <w:r w:rsidRPr="003632BE">
        <w:t>].</w:t>
      </w:r>
    </w:p>
    <w:p w14:paraId="2935FFB4" w14:textId="77777777" w:rsidR="003632BE" w:rsidRPr="003632BE" w:rsidRDefault="003632BE" w:rsidP="003632BE">
      <w:r w:rsidRPr="003632BE">
        <w:t>Llama 3 training sequences were 8,192 tokens long, which is much longer than necessary for the task at hand.</w:t>
      </w:r>
    </w:p>
    <w:p w14:paraId="179F6AEB" w14:textId="77777777" w:rsidR="003632BE" w:rsidRPr="003632BE" w:rsidRDefault="003632BE" w:rsidP="003632BE">
      <w:r w:rsidRPr="003632BE">
        <w:t>We deployed the Llama-3-70B version of the model on a professional-grade NVIDIA DGX-2 GPU cluster. Llama-3-70B suffers from significant degradation from quantization [</w:t>
      </w:r>
      <w:hyperlink r:id="rId97" w:anchor="BibPLXBIB0013" w:history="1">
        <w:r w:rsidRPr="003632BE">
          <w:rPr>
            <w:rStyle w:val="Hyperlink"/>
            <w:b/>
            <w:bCs/>
          </w:rPr>
          <w:t>13</w:t>
        </w:r>
      </w:hyperlink>
      <w:r w:rsidRPr="003632BE">
        <w:t>], hence we chose the original 16-bit model.</w:t>
      </w:r>
    </w:p>
    <w:p w14:paraId="59D57AA2" w14:textId="77777777" w:rsidR="003632BE" w:rsidRPr="003632BE" w:rsidRDefault="003632BE" w:rsidP="003632BE">
      <w:r w:rsidRPr="003632BE">
        <w:t>We used the same prompt for Llama 3 as for GPT-4.</w:t>
      </w:r>
    </w:p>
    <w:p w14:paraId="6DCE7AB5" w14:textId="77777777" w:rsidR="003632BE" w:rsidRPr="003632BE" w:rsidRDefault="003632BE" w:rsidP="003632BE">
      <w:r w:rsidRPr="003632BE">
        <w:rPr>
          <w:u w:val="single"/>
        </w:rPr>
        <w:t>5</w:t>
      </w:r>
      <w:r w:rsidRPr="003632BE">
        <w:t> Results</w:t>
      </w:r>
    </w:p>
    <w:p w14:paraId="25465423" w14:textId="77777777" w:rsidR="003632BE" w:rsidRPr="003632BE" w:rsidRDefault="003632BE" w:rsidP="003632BE">
      <w:pPr>
        <w:rPr>
          <w:b/>
          <w:bCs/>
        </w:rPr>
      </w:pPr>
      <w:r w:rsidRPr="003632BE">
        <w:rPr>
          <w:b/>
          <w:bCs/>
          <w:u w:val="single"/>
        </w:rPr>
        <w:t>5.1</w:t>
      </w:r>
      <w:r w:rsidRPr="003632BE">
        <w:rPr>
          <w:b/>
          <w:bCs/>
        </w:rPr>
        <w:t> Confusion Matrix</w:t>
      </w:r>
    </w:p>
    <w:p w14:paraId="1616893A" w14:textId="77777777" w:rsidR="003632BE" w:rsidRPr="003632BE" w:rsidRDefault="003632BE" w:rsidP="003632BE">
      <w:r w:rsidRPr="003632BE">
        <w:rPr>
          <w:b/>
          <w:bCs/>
        </w:rPr>
        <w:t>Table 1:</w:t>
      </w:r>
      <w:r w:rsidRPr="003632BE">
        <w:t> Performance Comparison of Language Models.</w:t>
      </w:r>
    </w:p>
    <w:tbl>
      <w:tblPr>
        <w:tblW w:w="0" w:type="auto"/>
        <w:tblCellMar>
          <w:top w:w="15" w:type="dxa"/>
          <w:left w:w="15" w:type="dxa"/>
          <w:bottom w:w="15" w:type="dxa"/>
          <w:right w:w="15" w:type="dxa"/>
        </w:tblCellMar>
        <w:tblLook w:val="04A0" w:firstRow="1" w:lastRow="0" w:firstColumn="1" w:lastColumn="0" w:noHBand="0" w:noVBand="1"/>
      </w:tblPr>
      <w:tblGrid>
        <w:gridCol w:w="1201"/>
        <w:gridCol w:w="987"/>
        <w:gridCol w:w="1127"/>
        <w:gridCol w:w="1869"/>
        <w:gridCol w:w="876"/>
        <w:gridCol w:w="1092"/>
      </w:tblGrid>
      <w:tr w:rsidR="003632BE" w:rsidRPr="003632BE" w14:paraId="09EF6844" w14:textId="77777777">
        <w:trPr>
          <w:tblHeader/>
        </w:trPr>
        <w:tc>
          <w:tcPr>
            <w:tcW w:w="0" w:type="auto"/>
            <w:tcBorders>
              <w:top w:val="nil"/>
              <w:bottom w:val="single" w:sz="12" w:space="0" w:color="DDDDDD"/>
            </w:tcBorders>
            <w:shd w:val="clear" w:color="auto" w:fill="F5F5F5"/>
            <w:tcMar>
              <w:top w:w="120" w:type="dxa"/>
              <w:left w:w="120" w:type="dxa"/>
              <w:bottom w:w="120" w:type="dxa"/>
              <w:right w:w="120" w:type="dxa"/>
            </w:tcMar>
            <w:vAlign w:val="bottom"/>
            <w:hideMark/>
          </w:tcPr>
          <w:p w14:paraId="799B269F" w14:textId="77777777" w:rsidR="003632BE" w:rsidRPr="003632BE" w:rsidRDefault="003632BE" w:rsidP="003632BE">
            <w:pPr>
              <w:rPr>
                <w:b/>
                <w:bCs/>
              </w:rPr>
            </w:pPr>
            <w:r w:rsidRPr="003632BE">
              <w:rPr>
                <w:b/>
                <w:bCs/>
              </w:rPr>
              <w:lastRenderedPageBreak/>
              <w:t>Metric</w:t>
            </w:r>
          </w:p>
        </w:tc>
        <w:tc>
          <w:tcPr>
            <w:tcW w:w="0" w:type="auto"/>
            <w:tcBorders>
              <w:top w:val="nil"/>
              <w:bottom w:val="single" w:sz="12" w:space="0" w:color="DDDDDD"/>
            </w:tcBorders>
            <w:shd w:val="clear" w:color="auto" w:fill="F5F5F5"/>
            <w:tcMar>
              <w:top w:w="120" w:type="dxa"/>
              <w:left w:w="120" w:type="dxa"/>
              <w:bottom w:w="120" w:type="dxa"/>
              <w:right w:w="120" w:type="dxa"/>
            </w:tcMar>
            <w:vAlign w:val="bottom"/>
            <w:hideMark/>
          </w:tcPr>
          <w:p w14:paraId="50259693" w14:textId="77777777" w:rsidR="003632BE" w:rsidRPr="003632BE" w:rsidRDefault="003632BE" w:rsidP="003632BE">
            <w:pPr>
              <w:rPr>
                <w:b/>
                <w:bCs/>
              </w:rPr>
            </w:pPr>
            <w:r w:rsidRPr="003632BE">
              <w:rPr>
                <w:b/>
                <w:bCs/>
              </w:rPr>
              <w:t>VADER</w:t>
            </w:r>
          </w:p>
        </w:tc>
        <w:tc>
          <w:tcPr>
            <w:tcW w:w="0" w:type="auto"/>
            <w:tcBorders>
              <w:top w:val="nil"/>
              <w:bottom w:val="single" w:sz="12" w:space="0" w:color="DDDDDD"/>
            </w:tcBorders>
            <w:shd w:val="clear" w:color="auto" w:fill="F5F5F5"/>
            <w:tcMar>
              <w:top w:w="120" w:type="dxa"/>
              <w:left w:w="120" w:type="dxa"/>
              <w:bottom w:w="120" w:type="dxa"/>
              <w:right w:w="120" w:type="dxa"/>
            </w:tcMar>
            <w:vAlign w:val="bottom"/>
            <w:hideMark/>
          </w:tcPr>
          <w:p w14:paraId="4D0E6622" w14:textId="77777777" w:rsidR="003632BE" w:rsidRPr="003632BE" w:rsidRDefault="003632BE" w:rsidP="003632BE">
            <w:pPr>
              <w:rPr>
                <w:b/>
                <w:bCs/>
              </w:rPr>
            </w:pPr>
            <w:proofErr w:type="spellStart"/>
            <w:r w:rsidRPr="003632BE">
              <w:rPr>
                <w:b/>
                <w:bCs/>
              </w:rPr>
              <w:t>FinBERT</w:t>
            </w:r>
            <w:proofErr w:type="spellEnd"/>
          </w:p>
        </w:tc>
        <w:tc>
          <w:tcPr>
            <w:tcW w:w="0" w:type="auto"/>
            <w:tcBorders>
              <w:top w:val="nil"/>
              <w:bottom w:val="single" w:sz="12" w:space="0" w:color="DDDDDD"/>
            </w:tcBorders>
            <w:shd w:val="clear" w:color="auto" w:fill="F5F5F5"/>
            <w:tcMar>
              <w:top w:w="120" w:type="dxa"/>
              <w:left w:w="120" w:type="dxa"/>
              <w:bottom w:w="120" w:type="dxa"/>
              <w:right w:w="120" w:type="dxa"/>
            </w:tcMar>
            <w:vAlign w:val="bottom"/>
            <w:hideMark/>
          </w:tcPr>
          <w:p w14:paraId="3C71134C" w14:textId="77777777" w:rsidR="003632BE" w:rsidRPr="003632BE" w:rsidRDefault="003632BE" w:rsidP="003632BE">
            <w:pPr>
              <w:rPr>
                <w:b/>
                <w:bCs/>
              </w:rPr>
            </w:pPr>
            <w:proofErr w:type="spellStart"/>
            <w:r w:rsidRPr="003632BE">
              <w:rPr>
                <w:b/>
                <w:bCs/>
              </w:rPr>
              <w:t>FinBERT</w:t>
            </w:r>
            <w:proofErr w:type="spellEnd"/>
            <w:r w:rsidRPr="003632BE">
              <w:rPr>
                <w:b/>
                <w:bCs/>
              </w:rPr>
              <w:t>-FOMC</w:t>
            </w:r>
          </w:p>
        </w:tc>
        <w:tc>
          <w:tcPr>
            <w:tcW w:w="0" w:type="auto"/>
            <w:tcBorders>
              <w:top w:val="nil"/>
              <w:bottom w:val="single" w:sz="12" w:space="0" w:color="DDDDDD"/>
            </w:tcBorders>
            <w:shd w:val="clear" w:color="auto" w:fill="F5F5F5"/>
            <w:tcMar>
              <w:top w:w="120" w:type="dxa"/>
              <w:left w:w="120" w:type="dxa"/>
              <w:bottom w:w="120" w:type="dxa"/>
              <w:right w:w="120" w:type="dxa"/>
            </w:tcMar>
            <w:vAlign w:val="bottom"/>
            <w:hideMark/>
          </w:tcPr>
          <w:p w14:paraId="58FE287E" w14:textId="77777777" w:rsidR="003632BE" w:rsidRPr="003632BE" w:rsidRDefault="003632BE" w:rsidP="003632BE">
            <w:pPr>
              <w:rPr>
                <w:b/>
                <w:bCs/>
              </w:rPr>
            </w:pPr>
            <w:r w:rsidRPr="003632BE">
              <w:rPr>
                <w:b/>
                <w:bCs/>
              </w:rPr>
              <w:t>GPT-4</w:t>
            </w:r>
          </w:p>
        </w:tc>
        <w:tc>
          <w:tcPr>
            <w:tcW w:w="0" w:type="auto"/>
            <w:tcBorders>
              <w:top w:val="nil"/>
              <w:bottom w:val="single" w:sz="12" w:space="0" w:color="DDDDDD"/>
            </w:tcBorders>
            <w:shd w:val="clear" w:color="auto" w:fill="F5F5F5"/>
            <w:tcMar>
              <w:top w:w="120" w:type="dxa"/>
              <w:left w:w="120" w:type="dxa"/>
              <w:bottom w:w="120" w:type="dxa"/>
              <w:right w:w="120" w:type="dxa"/>
            </w:tcMar>
            <w:vAlign w:val="bottom"/>
            <w:hideMark/>
          </w:tcPr>
          <w:p w14:paraId="29645A78" w14:textId="77777777" w:rsidR="003632BE" w:rsidRPr="003632BE" w:rsidRDefault="003632BE" w:rsidP="003632BE">
            <w:pPr>
              <w:rPr>
                <w:b/>
                <w:bCs/>
              </w:rPr>
            </w:pPr>
            <w:r w:rsidRPr="003632BE">
              <w:rPr>
                <w:b/>
                <w:bCs/>
              </w:rPr>
              <w:t>Llama 3</w:t>
            </w:r>
          </w:p>
        </w:tc>
      </w:tr>
      <w:tr w:rsidR="003632BE" w:rsidRPr="003632BE" w14:paraId="1A688A81" w14:textId="77777777">
        <w:tc>
          <w:tcPr>
            <w:tcW w:w="0" w:type="auto"/>
            <w:tcBorders>
              <w:top w:val="single" w:sz="6" w:space="0" w:color="DDDDDD"/>
            </w:tcBorders>
            <w:tcMar>
              <w:top w:w="120" w:type="dxa"/>
              <w:left w:w="120" w:type="dxa"/>
              <w:bottom w:w="120" w:type="dxa"/>
              <w:right w:w="120" w:type="dxa"/>
            </w:tcMar>
            <w:vAlign w:val="center"/>
            <w:hideMark/>
          </w:tcPr>
          <w:p w14:paraId="407FB4CC" w14:textId="77777777" w:rsidR="003632BE" w:rsidRPr="003632BE" w:rsidRDefault="003632BE" w:rsidP="003632BE">
            <w:r w:rsidRPr="003632BE">
              <w:t>F1 (Neg)</w:t>
            </w:r>
          </w:p>
        </w:tc>
        <w:tc>
          <w:tcPr>
            <w:tcW w:w="0" w:type="auto"/>
            <w:tcBorders>
              <w:top w:val="single" w:sz="6" w:space="0" w:color="DDDDDD"/>
            </w:tcBorders>
            <w:tcMar>
              <w:top w:w="120" w:type="dxa"/>
              <w:left w:w="120" w:type="dxa"/>
              <w:bottom w:w="120" w:type="dxa"/>
              <w:right w:w="120" w:type="dxa"/>
            </w:tcMar>
            <w:vAlign w:val="center"/>
            <w:hideMark/>
          </w:tcPr>
          <w:p w14:paraId="7E47C382" w14:textId="77777777" w:rsidR="003632BE" w:rsidRPr="003632BE" w:rsidRDefault="003632BE" w:rsidP="003632BE">
            <w:r w:rsidRPr="003632BE">
              <w:t>0.437</w:t>
            </w:r>
          </w:p>
        </w:tc>
        <w:tc>
          <w:tcPr>
            <w:tcW w:w="0" w:type="auto"/>
            <w:tcBorders>
              <w:top w:val="single" w:sz="6" w:space="0" w:color="DDDDDD"/>
            </w:tcBorders>
            <w:tcMar>
              <w:top w:w="120" w:type="dxa"/>
              <w:left w:w="120" w:type="dxa"/>
              <w:bottom w:w="120" w:type="dxa"/>
              <w:right w:w="120" w:type="dxa"/>
            </w:tcMar>
            <w:vAlign w:val="center"/>
            <w:hideMark/>
          </w:tcPr>
          <w:p w14:paraId="2224446B" w14:textId="77777777" w:rsidR="003632BE" w:rsidRPr="003632BE" w:rsidRDefault="003632BE" w:rsidP="003632BE">
            <w:r w:rsidRPr="003632BE">
              <w:t>0.602</w:t>
            </w:r>
          </w:p>
        </w:tc>
        <w:tc>
          <w:tcPr>
            <w:tcW w:w="0" w:type="auto"/>
            <w:tcBorders>
              <w:top w:val="single" w:sz="6" w:space="0" w:color="DDDDDD"/>
            </w:tcBorders>
            <w:tcMar>
              <w:top w:w="120" w:type="dxa"/>
              <w:left w:w="120" w:type="dxa"/>
              <w:bottom w:w="120" w:type="dxa"/>
              <w:right w:w="120" w:type="dxa"/>
            </w:tcMar>
            <w:vAlign w:val="center"/>
            <w:hideMark/>
          </w:tcPr>
          <w:p w14:paraId="64618FD1" w14:textId="77777777" w:rsidR="003632BE" w:rsidRPr="003632BE" w:rsidRDefault="003632BE" w:rsidP="003632BE">
            <w:r w:rsidRPr="003632BE">
              <w:t>0.620</w:t>
            </w:r>
          </w:p>
        </w:tc>
        <w:tc>
          <w:tcPr>
            <w:tcW w:w="0" w:type="auto"/>
            <w:tcBorders>
              <w:top w:val="single" w:sz="6" w:space="0" w:color="DDDDDD"/>
            </w:tcBorders>
            <w:tcMar>
              <w:top w:w="120" w:type="dxa"/>
              <w:left w:w="120" w:type="dxa"/>
              <w:bottom w:w="120" w:type="dxa"/>
              <w:right w:w="120" w:type="dxa"/>
            </w:tcMar>
            <w:vAlign w:val="center"/>
            <w:hideMark/>
          </w:tcPr>
          <w:p w14:paraId="0DD721B1" w14:textId="77777777" w:rsidR="003632BE" w:rsidRPr="003632BE" w:rsidRDefault="003632BE" w:rsidP="003632BE">
            <w:r w:rsidRPr="003632BE">
              <w:t>0.504</w:t>
            </w:r>
          </w:p>
        </w:tc>
        <w:tc>
          <w:tcPr>
            <w:tcW w:w="0" w:type="auto"/>
            <w:tcBorders>
              <w:top w:val="single" w:sz="6" w:space="0" w:color="DDDDDD"/>
            </w:tcBorders>
            <w:tcMar>
              <w:top w:w="120" w:type="dxa"/>
              <w:left w:w="120" w:type="dxa"/>
              <w:bottom w:w="120" w:type="dxa"/>
              <w:right w:w="120" w:type="dxa"/>
            </w:tcMar>
            <w:vAlign w:val="center"/>
            <w:hideMark/>
          </w:tcPr>
          <w:p w14:paraId="113431D6" w14:textId="77777777" w:rsidR="003632BE" w:rsidRPr="003632BE" w:rsidRDefault="003632BE" w:rsidP="003632BE">
            <w:r w:rsidRPr="003632BE">
              <w:rPr>
                <w:b/>
                <w:bCs/>
              </w:rPr>
              <w:t>0.744</w:t>
            </w:r>
          </w:p>
        </w:tc>
      </w:tr>
      <w:tr w:rsidR="003632BE" w:rsidRPr="003632BE" w14:paraId="2A54E0EC" w14:textId="77777777">
        <w:tc>
          <w:tcPr>
            <w:tcW w:w="0" w:type="auto"/>
            <w:tcBorders>
              <w:top w:val="single" w:sz="6" w:space="0" w:color="DDDDDD"/>
            </w:tcBorders>
            <w:tcMar>
              <w:top w:w="120" w:type="dxa"/>
              <w:left w:w="120" w:type="dxa"/>
              <w:bottom w:w="120" w:type="dxa"/>
              <w:right w:w="120" w:type="dxa"/>
            </w:tcMar>
            <w:vAlign w:val="center"/>
            <w:hideMark/>
          </w:tcPr>
          <w:p w14:paraId="37962D56" w14:textId="77777777" w:rsidR="003632BE" w:rsidRPr="003632BE" w:rsidRDefault="003632BE" w:rsidP="003632BE">
            <w:r w:rsidRPr="003632BE">
              <w:t>F1 (Neu)</w:t>
            </w:r>
          </w:p>
        </w:tc>
        <w:tc>
          <w:tcPr>
            <w:tcW w:w="0" w:type="auto"/>
            <w:tcBorders>
              <w:top w:val="single" w:sz="6" w:space="0" w:color="DDDDDD"/>
            </w:tcBorders>
            <w:tcMar>
              <w:top w:w="120" w:type="dxa"/>
              <w:left w:w="120" w:type="dxa"/>
              <w:bottom w:w="120" w:type="dxa"/>
              <w:right w:w="120" w:type="dxa"/>
            </w:tcMar>
            <w:vAlign w:val="center"/>
            <w:hideMark/>
          </w:tcPr>
          <w:p w14:paraId="1756181B" w14:textId="77777777" w:rsidR="003632BE" w:rsidRPr="003632BE" w:rsidRDefault="003632BE" w:rsidP="003632BE">
            <w:r w:rsidRPr="003632BE">
              <w:t>0.376</w:t>
            </w:r>
          </w:p>
        </w:tc>
        <w:tc>
          <w:tcPr>
            <w:tcW w:w="0" w:type="auto"/>
            <w:tcBorders>
              <w:top w:val="single" w:sz="6" w:space="0" w:color="DDDDDD"/>
            </w:tcBorders>
            <w:tcMar>
              <w:top w:w="120" w:type="dxa"/>
              <w:left w:w="120" w:type="dxa"/>
              <w:bottom w:w="120" w:type="dxa"/>
              <w:right w:w="120" w:type="dxa"/>
            </w:tcMar>
            <w:vAlign w:val="center"/>
            <w:hideMark/>
          </w:tcPr>
          <w:p w14:paraId="5CE791CF" w14:textId="77777777" w:rsidR="003632BE" w:rsidRPr="003632BE" w:rsidRDefault="003632BE" w:rsidP="003632BE">
            <w:r w:rsidRPr="003632BE">
              <w:t>0.574</w:t>
            </w:r>
          </w:p>
        </w:tc>
        <w:tc>
          <w:tcPr>
            <w:tcW w:w="0" w:type="auto"/>
            <w:tcBorders>
              <w:top w:val="single" w:sz="6" w:space="0" w:color="DDDDDD"/>
            </w:tcBorders>
            <w:tcMar>
              <w:top w:w="120" w:type="dxa"/>
              <w:left w:w="120" w:type="dxa"/>
              <w:bottom w:w="120" w:type="dxa"/>
              <w:right w:w="120" w:type="dxa"/>
            </w:tcMar>
            <w:vAlign w:val="center"/>
            <w:hideMark/>
          </w:tcPr>
          <w:p w14:paraId="3AD18F69" w14:textId="77777777" w:rsidR="003632BE" w:rsidRPr="003632BE" w:rsidRDefault="003632BE" w:rsidP="003632BE">
            <w:r w:rsidRPr="003632BE">
              <w:t>0.634</w:t>
            </w:r>
          </w:p>
        </w:tc>
        <w:tc>
          <w:tcPr>
            <w:tcW w:w="0" w:type="auto"/>
            <w:tcBorders>
              <w:top w:val="single" w:sz="6" w:space="0" w:color="DDDDDD"/>
            </w:tcBorders>
            <w:tcMar>
              <w:top w:w="120" w:type="dxa"/>
              <w:left w:w="120" w:type="dxa"/>
              <w:bottom w:w="120" w:type="dxa"/>
              <w:right w:w="120" w:type="dxa"/>
            </w:tcMar>
            <w:vAlign w:val="center"/>
            <w:hideMark/>
          </w:tcPr>
          <w:p w14:paraId="1477877D" w14:textId="77777777" w:rsidR="003632BE" w:rsidRPr="003632BE" w:rsidRDefault="003632BE" w:rsidP="003632BE">
            <w:r w:rsidRPr="003632BE">
              <w:t>0.748</w:t>
            </w:r>
          </w:p>
        </w:tc>
        <w:tc>
          <w:tcPr>
            <w:tcW w:w="0" w:type="auto"/>
            <w:tcBorders>
              <w:top w:val="single" w:sz="6" w:space="0" w:color="DDDDDD"/>
            </w:tcBorders>
            <w:tcMar>
              <w:top w:w="120" w:type="dxa"/>
              <w:left w:w="120" w:type="dxa"/>
              <w:bottom w:w="120" w:type="dxa"/>
              <w:right w:w="120" w:type="dxa"/>
            </w:tcMar>
            <w:vAlign w:val="center"/>
            <w:hideMark/>
          </w:tcPr>
          <w:p w14:paraId="48957FCE" w14:textId="77777777" w:rsidR="003632BE" w:rsidRPr="003632BE" w:rsidRDefault="003632BE" w:rsidP="003632BE">
            <w:r w:rsidRPr="003632BE">
              <w:rPr>
                <w:b/>
                <w:bCs/>
              </w:rPr>
              <w:t>0.815</w:t>
            </w:r>
          </w:p>
        </w:tc>
      </w:tr>
      <w:tr w:rsidR="003632BE" w:rsidRPr="003632BE" w14:paraId="1479DE38" w14:textId="77777777">
        <w:tc>
          <w:tcPr>
            <w:tcW w:w="0" w:type="auto"/>
            <w:tcBorders>
              <w:top w:val="single" w:sz="6" w:space="0" w:color="DDDDDD"/>
            </w:tcBorders>
            <w:tcMar>
              <w:top w:w="120" w:type="dxa"/>
              <w:left w:w="120" w:type="dxa"/>
              <w:bottom w:w="120" w:type="dxa"/>
              <w:right w:w="120" w:type="dxa"/>
            </w:tcMar>
            <w:vAlign w:val="center"/>
            <w:hideMark/>
          </w:tcPr>
          <w:p w14:paraId="15458478" w14:textId="77777777" w:rsidR="003632BE" w:rsidRPr="003632BE" w:rsidRDefault="003632BE" w:rsidP="003632BE">
            <w:r w:rsidRPr="003632BE">
              <w:t>F1 (Pos)</w:t>
            </w:r>
          </w:p>
        </w:tc>
        <w:tc>
          <w:tcPr>
            <w:tcW w:w="0" w:type="auto"/>
            <w:tcBorders>
              <w:top w:val="single" w:sz="6" w:space="0" w:color="DDDDDD"/>
            </w:tcBorders>
            <w:tcMar>
              <w:top w:w="120" w:type="dxa"/>
              <w:left w:w="120" w:type="dxa"/>
              <w:bottom w:w="120" w:type="dxa"/>
              <w:right w:w="120" w:type="dxa"/>
            </w:tcMar>
            <w:vAlign w:val="center"/>
            <w:hideMark/>
          </w:tcPr>
          <w:p w14:paraId="26F7B50E" w14:textId="77777777" w:rsidR="003632BE" w:rsidRPr="003632BE" w:rsidRDefault="003632BE" w:rsidP="003632BE">
            <w:r w:rsidRPr="003632BE">
              <w:t>0.508</w:t>
            </w:r>
          </w:p>
        </w:tc>
        <w:tc>
          <w:tcPr>
            <w:tcW w:w="0" w:type="auto"/>
            <w:tcBorders>
              <w:top w:val="single" w:sz="6" w:space="0" w:color="DDDDDD"/>
            </w:tcBorders>
            <w:tcMar>
              <w:top w:w="120" w:type="dxa"/>
              <w:left w:w="120" w:type="dxa"/>
              <w:bottom w:w="120" w:type="dxa"/>
              <w:right w:w="120" w:type="dxa"/>
            </w:tcMar>
            <w:vAlign w:val="center"/>
            <w:hideMark/>
          </w:tcPr>
          <w:p w14:paraId="07E99C2D" w14:textId="77777777" w:rsidR="003632BE" w:rsidRPr="003632BE" w:rsidRDefault="003632BE" w:rsidP="003632BE">
            <w:r w:rsidRPr="003632BE">
              <w:t>0.624</w:t>
            </w:r>
          </w:p>
        </w:tc>
        <w:tc>
          <w:tcPr>
            <w:tcW w:w="0" w:type="auto"/>
            <w:tcBorders>
              <w:top w:val="single" w:sz="6" w:space="0" w:color="DDDDDD"/>
            </w:tcBorders>
            <w:tcMar>
              <w:top w:w="120" w:type="dxa"/>
              <w:left w:w="120" w:type="dxa"/>
              <w:bottom w:w="120" w:type="dxa"/>
              <w:right w:w="120" w:type="dxa"/>
            </w:tcMar>
            <w:vAlign w:val="center"/>
            <w:hideMark/>
          </w:tcPr>
          <w:p w14:paraId="281925C5" w14:textId="77777777" w:rsidR="003632BE" w:rsidRPr="003632BE" w:rsidRDefault="003632BE" w:rsidP="003632BE">
            <w:r w:rsidRPr="003632BE">
              <w:t>0.663</w:t>
            </w:r>
          </w:p>
        </w:tc>
        <w:tc>
          <w:tcPr>
            <w:tcW w:w="0" w:type="auto"/>
            <w:tcBorders>
              <w:top w:val="single" w:sz="6" w:space="0" w:color="DDDDDD"/>
            </w:tcBorders>
            <w:tcMar>
              <w:top w:w="120" w:type="dxa"/>
              <w:left w:w="120" w:type="dxa"/>
              <w:bottom w:w="120" w:type="dxa"/>
              <w:right w:w="120" w:type="dxa"/>
            </w:tcMar>
            <w:vAlign w:val="center"/>
            <w:hideMark/>
          </w:tcPr>
          <w:p w14:paraId="67CAAB9D" w14:textId="77777777" w:rsidR="003632BE" w:rsidRPr="003632BE" w:rsidRDefault="003632BE" w:rsidP="003632BE">
            <w:r w:rsidRPr="003632BE">
              <w:t>0.628</w:t>
            </w:r>
          </w:p>
        </w:tc>
        <w:tc>
          <w:tcPr>
            <w:tcW w:w="0" w:type="auto"/>
            <w:tcBorders>
              <w:top w:val="single" w:sz="6" w:space="0" w:color="DDDDDD"/>
            </w:tcBorders>
            <w:tcMar>
              <w:top w:w="120" w:type="dxa"/>
              <w:left w:w="120" w:type="dxa"/>
              <w:bottom w:w="120" w:type="dxa"/>
              <w:right w:w="120" w:type="dxa"/>
            </w:tcMar>
            <w:vAlign w:val="center"/>
            <w:hideMark/>
          </w:tcPr>
          <w:p w14:paraId="652696F3" w14:textId="77777777" w:rsidR="003632BE" w:rsidRPr="003632BE" w:rsidRDefault="003632BE" w:rsidP="003632BE">
            <w:r w:rsidRPr="003632BE">
              <w:rPr>
                <w:b/>
                <w:bCs/>
              </w:rPr>
              <w:t>0.794</w:t>
            </w:r>
          </w:p>
        </w:tc>
      </w:tr>
      <w:tr w:rsidR="003632BE" w:rsidRPr="003632BE" w14:paraId="6BCAAA07" w14:textId="77777777">
        <w:tc>
          <w:tcPr>
            <w:tcW w:w="0" w:type="auto"/>
            <w:tcBorders>
              <w:top w:val="single" w:sz="6" w:space="0" w:color="DDDDDD"/>
            </w:tcBorders>
            <w:tcMar>
              <w:top w:w="120" w:type="dxa"/>
              <w:left w:w="120" w:type="dxa"/>
              <w:bottom w:w="120" w:type="dxa"/>
              <w:right w:w="120" w:type="dxa"/>
            </w:tcMar>
            <w:vAlign w:val="center"/>
            <w:hideMark/>
          </w:tcPr>
          <w:p w14:paraId="224EBA13" w14:textId="77777777" w:rsidR="003632BE" w:rsidRPr="003632BE" w:rsidRDefault="003632BE" w:rsidP="003632BE">
            <w:r w:rsidRPr="003632BE">
              <w:t>F1 (Avg)</w:t>
            </w:r>
          </w:p>
        </w:tc>
        <w:tc>
          <w:tcPr>
            <w:tcW w:w="0" w:type="auto"/>
            <w:tcBorders>
              <w:top w:val="single" w:sz="6" w:space="0" w:color="DDDDDD"/>
            </w:tcBorders>
            <w:tcMar>
              <w:top w:w="120" w:type="dxa"/>
              <w:left w:w="120" w:type="dxa"/>
              <w:bottom w:w="120" w:type="dxa"/>
              <w:right w:w="120" w:type="dxa"/>
            </w:tcMar>
            <w:vAlign w:val="center"/>
            <w:hideMark/>
          </w:tcPr>
          <w:p w14:paraId="4145396D" w14:textId="77777777" w:rsidR="003632BE" w:rsidRPr="003632BE" w:rsidRDefault="003632BE" w:rsidP="003632BE">
            <w:r w:rsidRPr="003632BE">
              <w:t>0.440</w:t>
            </w:r>
          </w:p>
        </w:tc>
        <w:tc>
          <w:tcPr>
            <w:tcW w:w="0" w:type="auto"/>
            <w:tcBorders>
              <w:top w:val="single" w:sz="6" w:space="0" w:color="DDDDDD"/>
            </w:tcBorders>
            <w:tcMar>
              <w:top w:w="120" w:type="dxa"/>
              <w:left w:w="120" w:type="dxa"/>
              <w:bottom w:w="120" w:type="dxa"/>
              <w:right w:w="120" w:type="dxa"/>
            </w:tcMar>
            <w:vAlign w:val="center"/>
            <w:hideMark/>
          </w:tcPr>
          <w:p w14:paraId="17B8F23A" w14:textId="77777777" w:rsidR="003632BE" w:rsidRPr="003632BE" w:rsidRDefault="003632BE" w:rsidP="003632BE">
            <w:r w:rsidRPr="003632BE">
              <w:t>0.600</w:t>
            </w:r>
          </w:p>
        </w:tc>
        <w:tc>
          <w:tcPr>
            <w:tcW w:w="0" w:type="auto"/>
            <w:tcBorders>
              <w:top w:val="single" w:sz="6" w:space="0" w:color="DDDDDD"/>
            </w:tcBorders>
            <w:tcMar>
              <w:top w:w="120" w:type="dxa"/>
              <w:left w:w="120" w:type="dxa"/>
              <w:bottom w:w="120" w:type="dxa"/>
              <w:right w:w="120" w:type="dxa"/>
            </w:tcMar>
            <w:vAlign w:val="center"/>
            <w:hideMark/>
          </w:tcPr>
          <w:p w14:paraId="2D315691" w14:textId="77777777" w:rsidR="003632BE" w:rsidRPr="003632BE" w:rsidRDefault="003632BE" w:rsidP="003632BE">
            <w:r w:rsidRPr="003632BE">
              <w:t>0.639</w:t>
            </w:r>
          </w:p>
        </w:tc>
        <w:tc>
          <w:tcPr>
            <w:tcW w:w="0" w:type="auto"/>
            <w:tcBorders>
              <w:top w:val="single" w:sz="6" w:space="0" w:color="DDDDDD"/>
            </w:tcBorders>
            <w:tcMar>
              <w:top w:w="120" w:type="dxa"/>
              <w:left w:w="120" w:type="dxa"/>
              <w:bottom w:w="120" w:type="dxa"/>
              <w:right w:w="120" w:type="dxa"/>
            </w:tcMar>
            <w:vAlign w:val="center"/>
            <w:hideMark/>
          </w:tcPr>
          <w:p w14:paraId="58D2B4B1" w14:textId="77777777" w:rsidR="003632BE" w:rsidRPr="003632BE" w:rsidRDefault="003632BE" w:rsidP="003632BE">
            <w:r w:rsidRPr="003632BE">
              <w:t>0.627</w:t>
            </w:r>
          </w:p>
        </w:tc>
        <w:tc>
          <w:tcPr>
            <w:tcW w:w="0" w:type="auto"/>
            <w:tcBorders>
              <w:top w:val="single" w:sz="6" w:space="0" w:color="DDDDDD"/>
            </w:tcBorders>
            <w:tcMar>
              <w:top w:w="120" w:type="dxa"/>
              <w:left w:w="120" w:type="dxa"/>
              <w:bottom w:w="120" w:type="dxa"/>
              <w:right w:w="120" w:type="dxa"/>
            </w:tcMar>
            <w:vAlign w:val="center"/>
            <w:hideMark/>
          </w:tcPr>
          <w:p w14:paraId="266AD719" w14:textId="77777777" w:rsidR="003632BE" w:rsidRPr="003632BE" w:rsidRDefault="003632BE" w:rsidP="003632BE">
            <w:r w:rsidRPr="003632BE">
              <w:rPr>
                <w:b/>
                <w:bCs/>
              </w:rPr>
              <w:t>0.784</w:t>
            </w:r>
          </w:p>
        </w:tc>
      </w:tr>
      <w:tr w:rsidR="003632BE" w:rsidRPr="003632BE" w14:paraId="4C14899E" w14:textId="77777777">
        <w:tc>
          <w:tcPr>
            <w:tcW w:w="0" w:type="auto"/>
            <w:tcBorders>
              <w:top w:val="single" w:sz="6" w:space="0" w:color="DDDDDD"/>
            </w:tcBorders>
            <w:tcMar>
              <w:top w:w="120" w:type="dxa"/>
              <w:left w:w="120" w:type="dxa"/>
              <w:bottom w:w="120" w:type="dxa"/>
              <w:right w:w="120" w:type="dxa"/>
            </w:tcMar>
            <w:vAlign w:val="center"/>
            <w:hideMark/>
          </w:tcPr>
          <w:p w14:paraId="58E9C77A" w14:textId="77777777" w:rsidR="003632BE" w:rsidRPr="003632BE" w:rsidRDefault="003632BE" w:rsidP="003632BE">
            <w:r w:rsidRPr="003632BE">
              <w:t>Accuracy</w:t>
            </w:r>
          </w:p>
        </w:tc>
        <w:tc>
          <w:tcPr>
            <w:tcW w:w="0" w:type="auto"/>
            <w:tcBorders>
              <w:top w:val="single" w:sz="6" w:space="0" w:color="DDDDDD"/>
            </w:tcBorders>
            <w:tcMar>
              <w:top w:w="120" w:type="dxa"/>
              <w:left w:w="120" w:type="dxa"/>
              <w:bottom w:w="120" w:type="dxa"/>
              <w:right w:w="120" w:type="dxa"/>
            </w:tcMar>
            <w:vAlign w:val="center"/>
            <w:hideMark/>
          </w:tcPr>
          <w:p w14:paraId="1B9673C1" w14:textId="77777777" w:rsidR="003632BE" w:rsidRPr="003632BE" w:rsidRDefault="003632BE" w:rsidP="003632BE">
            <w:r w:rsidRPr="003632BE">
              <w:t>0.443</w:t>
            </w:r>
          </w:p>
        </w:tc>
        <w:tc>
          <w:tcPr>
            <w:tcW w:w="0" w:type="auto"/>
            <w:tcBorders>
              <w:top w:val="single" w:sz="6" w:space="0" w:color="DDDDDD"/>
            </w:tcBorders>
            <w:tcMar>
              <w:top w:w="120" w:type="dxa"/>
              <w:left w:w="120" w:type="dxa"/>
              <w:bottom w:w="120" w:type="dxa"/>
              <w:right w:w="120" w:type="dxa"/>
            </w:tcMar>
            <w:vAlign w:val="center"/>
            <w:hideMark/>
          </w:tcPr>
          <w:p w14:paraId="75E3842F" w14:textId="77777777" w:rsidR="003632BE" w:rsidRPr="003632BE" w:rsidRDefault="003632BE" w:rsidP="003632BE">
            <w:r w:rsidRPr="003632BE">
              <w:t>0.597</w:t>
            </w:r>
          </w:p>
        </w:tc>
        <w:tc>
          <w:tcPr>
            <w:tcW w:w="0" w:type="auto"/>
            <w:tcBorders>
              <w:top w:val="single" w:sz="6" w:space="0" w:color="DDDDDD"/>
            </w:tcBorders>
            <w:tcMar>
              <w:top w:w="120" w:type="dxa"/>
              <w:left w:w="120" w:type="dxa"/>
              <w:bottom w:w="120" w:type="dxa"/>
              <w:right w:w="120" w:type="dxa"/>
            </w:tcMar>
            <w:vAlign w:val="center"/>
            <w:hideMark/>
          </w:tcPr>
          <w:p w14:paraId="3452ED72" w14:textId="77777777" w:rsidR="003632BE" w:rsidRPr="003632BE" w:rsidRDefault="003632BE" w:rsidP="003632BE">
            <w:r w:rsidRPr="003632BE">
              <w:t>0.638</w:t>
            </w:r>
          </w:p>
        </w:tc>
        <w:tc>
          <w:tcPr>
            <w:tcW w:w="0" w:type="auto"/>
            <w:tcBorders>
              <w:top w:val="single" w:sz="6" w:space="0" w:color="DDDDDD"/>
            </w:tcBorders>
            <w:tcMar>
              <w:top w:w="120" w:type="dxa"/>
              <w:left w:w="120" w:type="dxa"/>
              <w:bottom w:w="120" w:type="dxa"/>
              <w:right w:w="120" w:type="dxa"/>
            </w:tcMar>
            <w:vAlign w:val="center"/>
            <w:hideMark/>
          </w:tcPr>
          <w:p w14:paraId="6C6BF751" w14:textId="77777777" w:rsidR="003632BE" w:rsidRPr="003632BE" w:rsidRDefault="003632BE" w:rsidP="003632BE">
            <w:r w:rsidRPr="003632BE">
              <w:t>0.682</w:t>
            </w:r>
          </w:p>
        </w:tc>
        <w:tc>
          <w:tcPr>
            <w:tcW w:w="0" w:type="auto"/>
            <w:tcBorders>
              <w:top w:val="single" w:sz="6" w:space="0" w:color="DDDDDD"/>
            </w:tcBorders>
            <w:tcMar>
              <w:top w:w="120" w:type="dxa"/>
              <w:left w:w="120" w:type="dxa"/>
              <w:bottom w:w="120" w:type="dxa"/>
              <w:right w:w="120" w:type="dxa"/>
            </w:tcMar>
            <w:vAlign w:val="center"/>
            <w:hideMark/>
          </w:tcPr>
          <w:p w14:paraId="04FBD484" w14:textId="77777777" w:rsidR="003632BE" w:rsidRPr="003632BE" w:rsidRDefault="003632BE" w:rsidP="003632BE">
            <w:r w:rsidRPr="003632BE">
              <w:rPr>
                <w:b/>
                <w:bCs/>
              </w:rPr>
              <w:t>0.793</w:t>
            </w:r>
          </w:p>
        </w:tc>
      </w:tr>
    </w:tbl>
    <w:p w14:paraId="4AF05F0B" w14:textId="77777777" w:rsidR="003632BE" w:rsidRPr="003632BE" w:rsidRDefault="003632BE" w:rsidP="003632BE">
      <w:r w:rsidRPr="003632BE">
        <w:rPr>
          <w:i/>
          <w:iCs/>
        </w:rPr>
        <w:t>5.1.1 VADER.</w:t>
      </w:r>
      <w:r w:rsidRPr="003632BE">
        <w:t> VADER is designed to analyze online communication, which often exhibits strong emotions. In contrast to this, the FOMC statements have an unemotional tone, and, unsurprisingly, FOMC statements were predominantly classified as neutral by VADER, with more than 30% of sentences being classified as such.</w:t>
      </w:r>
    </w:p>
    <w:p w14:paraId="027B1160" w14:textId="77777777" w:rsidR="003632BE" w:rsidRPr="003632BE" w:rsidRDefault="003632BE" w:rsidP="003632BE">
      <w:r w:rsidRPr="003632BE">
        <w:t>VADER tends to produce a centered distribution of sentiment predictions, which prompted us to allocate a neutral sentiment interval between -0.05 and 0.05. This adjustment was made to enhance the classification power of VADER and to better align with the </w:t>
      </w:r>
      <w:r w:rsidRPr="003632BE">
        <w:rPr>
          <w:i/>
          <w:iCs/>
        </w:rPr>
        <w:t>actual</w:t>
      </w:r>
      <w:r w:rsidRPr="003632BE">
        <w:t> sentiment distribution. After adjusting the interval for the neutral rating, VADER demonstrated a skewed sentiment distribution in favor of more positive predictions.</w:t>
      </w:r>
    </w:p>
    <w:p w14:paraId="46564453" w14:textId="77777777" w:rsidR="003632BE" w:rsidRPr="003632BE" w:rsidRDefault="003632BE" w:rsidP="003632BE">
      <w:r w:rsidRPr="003632BE">
        <w:t>As can be derived from the confusion matrix in table </w:t>
      </w:r>
      <w:hyperlink r:id="rId98" w:anchor="sec-26" w:history="1">
        <w:r w:rsidRPr="003632BE">
          <w:rPr>
            <w:rStyle w:val="Hyperlink"/>
            <w:b/>
            <w:bCs/>
          </w:rPr>
          <w:t>5.1.6</w:t>
        </w:r>
      </w:hyperlink>
      <w:r w:rsidRPr="003632BE">
        <w:t>, VADER achieved a high recall of 0.767 on positive sentences. Overall, however, VADER has a weak performance with an accuracy of only 44.3% and an F1 score of 0.44.</w:t>
      </w:r>
    </w:p>
    <w:p w14:paraId="768803AF" w14:textId="77777777" w:rsidR="003632BE" w:rsidRPr="003632BE" w:rsidRDefault="003632BE" w:rsidP="003632BE">
      <w:r w:rsidRPr="003632BE">
        <w:t>VADER is the weakest model. This is likely due to the emotional text from X (formerly Twitter) that VADER was designed for [</w:t>
      </w:r>
      <w:hyperlink r:id="rId99" w:anchor="BibPLXBIB0010" w:history="1">
        <w:r w:rsidRPr="003632BE">
          <w:rPr>
            <w:rStyle w:val="Hyperlink"/>
            <w:b/>
            <w:bCs/>
          </w:rPr>
          <w:t>10</w:t>
        </w:r>
      </w:hyperlink>
      <w:r w:rsidRPr="003632BE">
        <w:t>, p. 222]. Simple models have the potential to be competitive in financial classification tasks, as the strong performance of other small models [</w:t>
      </w:r>
      <w:hyperlink r:id="rId100" w:anchor="BibPLXBIB0027" w:history="1">
        <w:r w:rsidRPr="003632BE">
          <w:rPr>
            <w:rStyle w:val="Hyperlink"/>
            <w:b/>
            <w:bCs/>
          </w:rPr>
          <w:t>27</w:t>
        </w:r>
      </w:hyperlink>
      <w:r w:rsidRPr="003632BE">
        <w:t>] shows when compared to GPT-4 [</w:t>
      </w:r>
      <w:hyperlink r:id="rId101" w:anchor="BibPLXBIB0019" w:history="1">
        <w:r w:rsidRPr="003632BE">
          <w:rPr>
            <w:rStyle w:val="Hyperlink"/>
            <w:b/>
            <w:bCs/>
          </w:rPr>
          <w:t>19</w:t>
        </w:r>
      </w:hyperlink>
      <w:r w:rsidRPr="003632BE">
        <w:t>, p. 411]. But as VADER is a rule-based model, it is not surprising that VADER performs poorly on the formally written FOMC dataset.</w:t>
      </w:r>
    </w:p>
    <w:p w14:paraId="5B02581E" w14:textId="77777777" w:rsidR="003632BE" w:rsidRPr="003632BE" w:rsidRDefault="003632BE" w:rsidP="003632BE">
      <w:r w:rsidRPr="003632BE">
        <w:rPr>
          <w:i/>
          <w:iCs/>
        </w:rPr>
        <w:t>5.1.2 </w:t>
      </w:r>
      <w:proofErr w:type="spellStart"/>
      <w:r w:rsidRPr="003632BE">
        <w:rPr>
          <w:i/>
          <w:iCs/>
        </w:rPr>
        <w:t>FinBERT</w:t>
      </w:r>
      <w:proofErr w:type="spellEnd"/>
      <w:r w:rsidRPr="003632BE">
        <w:rPr>
          <w:i/>
          <w:iCs/>
        </w:rPr>
        <w:t>.</w:t>
      </w:r>
      <w:r w:rsidRPr="003632BE">
        <w:t xml:space="preserve"> The confusion matrix for </w:t>
      </w:r>
      <w:proofErr w:type="spellStart"/>
      <w:r w:rsidRPr="003632BE">
        <w:t>FinBERT</w:t>
      </w:r>
      <w:proofErr w:type="spellEnd"/>
      <w:r w:rsidRPr="003632BE">
        <w:t xml:space="preserve"> indicates that the model better detected positive and negative sentiments than neutral sentiments. The model had the highest accuracy in detecting negative sentiments, with 205 (81.7%) true negatives, and the accuracy for positive sentiments was also high, with 233 (82.3%) true positives. However, </w:t>
      </w:r>
      <w:r w:rsidRPr="003632BE">
        <w:lastRenderedPageBreak/>
        <w:t>the model had a low recall in detecting neutral sentiments, only detecting 157 (29.6%) out of 531 neutral sentences.</w:t>
      </w:r>
    </w:p>
    <w:p w14:paraId="03FB675F" w14:textId="77777777" w:rsidR="003632BE" w:rsidRPr="003632BE" w:rsidRDefault="003632BE" w:rsidP="003632BE">
      <w:r w:rsidRPr="003632BE">
        <w:t xml:space="preserve">In the sentence below, which states that historically low unemployment insurance benefits can be a positive signal for the economy, </w:t>
      </w:r>
      <w:proofErr w:type="spellStart"/>
      <w:r w:rsidRPr="003632BE">
        <w:t>FinBERT</w:t>
      </w:r>
      <w:proofErr w:type="spellEnd"/>
      <w:r w:rsidRPr="003632BE">
        <w:t xml:space="preserve"> classified the sentiment as negative: “The four-week moving average of initial claims for unemployment insurance benefits through mid-October remained near historically low levels.” Moreover, the assigned sentiment score of -0.964 by </w:t>
      </w:r>
      <w:proofErr w:type="spellStart"/>
      <w:r w:rsidRPr="003632BE">
        <w:t>FinBERT</w:t>
      </w:r>
      <w:proofErr w:type="spellEnd"/>
      <w:r w:rsidRPr="003632BE">
        <w:t xml:space="preserve"> in this sentence is not only extreme but also in the opposite direction of the actual sentiment, which is concerning. This finding highlights a potential limitation of </w:t>
      </w:r>
      <w:proofErr w:type="spellStart"/>
      <w:r w:rsidRPr="003632BE">
        <w:t>FinBERT</w:t>
      </w:r>
      <w:proofErr w:type="spellEnd"/>
      <w:r w:rsidRPr="003632BE">
        <w:t xml:space="preserve"> in accurately capturing the sentiment of financial text data, especially in the context of FOMC minutes. Furthermore, compared to VADER, the </w:t>
      </w:r>
      <w:proofErr w:type="spellStart"/>
      <w:r w:rsidRPr="003632BE">
        <w:t>FinBERT</w:t>
      </w:r>
      <w:proofErr w:type="spellEnd"/>
      <w:r w:rsidRPr="003632BE">
        <w:t xml:space="preserve"> model determines sentiment more confidently and sometimes in the wrong direction.</w:t>
      </w:r>
    </w:p>
    <w:p w14:paraId="5EB94D46" w14:textId="77777777" w:rsidR="003632BE" w:rsidRPr="003632BE" w:rsidRDefault="003632BE" w:rsidP="003632BE">
      <w:r w:rsidRPr="003632BE">
        <w:t xml:space="preserve">Overall, the </w:t>
      </w:r>
      <w:proofErr w:type="spellStart"/>
      <w:r w:rsidRPr="003632BE">
        <w:t>FinBERT</w:t>
      </w:r>
      <w:proofErr w:type="spellEnd"/>
      <w:r w:rsidRPr="003632BE">
        <w:t xml:space="preserve"> model performed better than VADER in detecting positive and negative sentiments, but its recall could be improved for neutral sentiments.</w:t>
      </w:r>
    </w:p>
    <w:p w14:paraId="05D66541" w14:textId="77777777" w:rsidR="003632BE" w:rsidRPr="003632BE" w:rsidRDefault="003632BE" w:rsidP="003632BE">
      <w:r w:rsidRPr="003632BE">
        <w:rPr>
          <w:i/>
          <w:iCs/>
        </w:rPr>
        <w:t>5.1.3 </w:t>
      </w:r>
      <w:proofErr w:type="spellStart"/>
      <w:r w:rsidRPr="003632BE">
        <w:rPr>
          <w:i/>
          <w:iCs/>
        </w:rPr>
        <w:t>FinBERT</w:t>
      </w:r>
      <w:proofErr w:type="spellEnd"/>
      <w:r w:rsidRPr="003632BE">
        <w:rPr>
          <w:i/>
          <w:iCs/>
        </w:rPr>
        <w:t>-FOMC.</w:t>
      </w:r>
      <w:r w:rsidRPr="003632BE">
        <w:t xml:space="preserve"> The fine-tuned </w:t>
      </w:r>
      <w:proofErr w:type="spellStart"/>
      <w:r w:rsidRPr="003632BE">
        <w:t>FinBERT</w:t>
      </w:r>
      <w:proofErr w:type="spellEnd"/>
      <w:r w:rsidRPr="003632BE">
        <w:t>-FOMC model improves in this area, as figure </w:t>
      </w:r>
      <w:hyperlink r:id="rId102" w:anchor="sec-26" w:history="1">
        <w:r w:rsidRPr="003632BE">
          <w:rPr>
            <w:rStyle w:val="Hyperlink"/>
            <w:b/>
            <w:bCs/>
          </w:rPr>
          <w:t>5.1.6</w:t>
        </w:r>
      </w:hyperlink>
      <w:r w:rsidRPr="003632BE">
        <w:t xml:space="preserve">. It </w:t>
      </w:r>
      <w:proofErr w:type="gramStart"/>
      <w:r w:rsidRPr="003632BE">
        <w:t>is able to</w:t>
      </w:r>
      <w:proofErr w:type="gramEnd"/>
      <w:r w:rsidRPr="003632BE">
        <w:t xml:space="preserve"> detect neutral sentiment more accurately than the original </w:t>
      </w:r>
      <w:proofErr w:type="spellStart"/>
      <w:r w:rsidRPr="003632BE">
        <w:t>FinBERT</w:t>
      </w:r>
      <w:proofErr w:type="spellEnd"/>
      <w:r w:rsidRPr="003632BE">
        <w:t xml:space="preserve"> model. Its negative sentence accuracy is also better, increasing from 44.1% (</w:t>
      </w:r>
      <w:proofErr w:type="spellStart"/>
      <w:r w:rsidRPr="003632BE">
        <w:t>FinBERT's</w:t>
      </w:r>
      <w:proofErr w:type="spellEnd"/>
      <w:r w:rsidRPr="003632BE">
        <w:t xml:space="preserve"> negative-sentiment accuracy) to 49.4% (</w:t>
      </w:r>
      <w:proofErr w:type="spellStart"/>
      <w:r w:rsidRPr="003632BE">
        <w:t>FinBERT</w:t>
      </w:r>
      <w:proofErr w:type="spellEnd"/>
      <w:r w:rsidRPr="003632BE">
        <w:t xml:space="preserve">-FOMC's negative-sentiment accuracy). Likewise, the recall on negative-sentiment sentences increased from 81.7% to 83.3%. </w:t>
      </w:r>
      <w:proofErr w:type="spellStart"/>
      <w:r w:rsidRPr="003632BE">
        <w:t>FinBERT</w:t>
      </w:r>
      <w:proofErr w:type="spellEnd"/>
      <w:r w:rsidRPr="003632BE">
        <w:t xml:space="preserve">-FOMC loses positive sentence recall against </w:t>
      </w:r>
      <w:proofErr w:type="spellStart"/>
      <w:r w:rsidRPr="003632BE">
        <w:t>FinBERT</w:t>
      </w:r>
      <w:proofErr w:type="spellEnd"/>
      <w:r w:rsidRPr="003632BE">
        <w:t xml:space="preserve">. The recall drops from 82.3% to 68.9%. Nevertheless, the positive-sentiment prediction accuracy of </w:t>
      </w:r>
      <w:proofErr w:type="spellStart"/>
      <w:r w:rsidRPr="003632BE">
        <w:t>FinBERT</w:t>
      </w:r>
      <w:proofErr w:type="spellEnd"/>
      <w:r w:rsidRPr="003632BE">
        <w:t xml:space="preserve">-FOMC (63.9%) is higher than that of </w:t>
      </w:r>
      <w:proofErr w:type="spellStart"/>
      <w:r w:rsidRPr="003632BE">
        <w:t>FinBERT</w:t>
      </w:r>
      <w:proofErr w:type="spellEnd"/>
      <w:r w:rsidRPr="003632BE">
        <w:t xml:space="preserve"> (54.7%).</w:t>
      </w:r>
    </w:p>
    <w:p w14:paraId="0CF71488" w14:textId="77777777" w:rsidR="003632BE" w:rsidRPr="003632BE" w:rsidRDefault="003632BE" w:rsidP="003632BE">
      <w:r w:rsidRPr="003632BE">
        <w:t xml:space="preserve">Overall, </w:t>
      </w:r>
      <w:proofErr w:type="spellStart"/>
      <w:r w:rsidRPr="003632BE">
        <w:t>FinBERT</w:t>
      </w:r>
      <w:proofErr w:type="spellEnd"/>
      <w:r w:rsidRPr="003632BE">
        <w:t xml:space="preserve">-FOMC is superior to </w:t>
      </w:r>
      <w:proofErr w:type="spellStart"/>
      <w:r w:rsidRPr="003632BE">
        <w:t>FinBERT</w:t>
      </w:r>
      <w:proofErr w:type="spellEnd"/>
      <w:r w:rsidRPr="003632BE">
        <w:t>, with higher F1 scores on negative (from 0.57 to 0.62) and neutral (from 0.45 to 0.63) sentiments and an unchanged F1 score for positive (0.66) sentiment.</w:t>
      </w:r>
    </w:p>
    <w:p w14:paraId="7DDB556F" w14:textId="77777777" w:rsidR="003632BE" w:rsidRPr="003632BE" w:rsidRDefault="003632BE" w:rsidP="003632BE">
      <w:r w:rsidRPr="003632BE">
        <w:rPr>
          <w:i/>
          <w:iCs/>
        </w:rPr>
        <w:t>5.1.4 GPT-4.</w:t>
      </w:r>
      <w:r w:rsidRPr="003632BE">
        <w:t xml:space="preserve"> While GPT-4’s accuracy is the </w:t>
      </w:r>
      <w:proofErr w:type="gramStart"/>
      <w:r w:rsidRPr="003632BE">
        <w:t>second-highest</w:t>
      </w:r>
      <w:proofErr w:type="gramEnd"/>
      <w:r w:rsidRPr="003632BE">
        <w:t xml:space="preserve"> with 68.2%, it reports neutral sentiment too frequently. GPT-4 only classifies sentences as negative or positive if they have a clear sentiment, leading to good precision scores for negative and positive sentiments. However, GPT-4 is too cautious in its predictions, as it has a low recall for negative and positive sentiments.</w:t>
      </w:r>
    </w:p>
    <w:p w14:paraId="62696DB8" w14:textId="77777777" w:rsidR="003632BE" w:rsidRPr="003632BE" w:rsidRDefault="003632BE" w:rsidP="003632BE">
      <w:r w:rsidRPr="003632BE">
        <w:t xml:space="preserve">As a result, GPT-4 has a lower F1 score for negative sentiments than </w:t>
      </w:r>
      <w:proofErr w:type="spellStart"/>
      <w:r w:rsidRPr="003632BE">
        <w:t>FinBERT</w:t>
      </w:r>
      <w:proofErr w:type="spellEnd"/>
      <w:r w:rsidRPr="003632BE">
        <w:t xml:space="preserve">-FOMC (0.50 vs. 0.62). GPT-4, unlike </w:t>
      </w:r>
      <w:proofErr w:type="spellStart"/>
      <w:r w:rsidRPr="003632BE">
        <w:t>FinBERT</w:t>
      </w:r>
      <w:proofErr w:type="spellEnd"/>
      <w:r w:rsidRPr="003632BE">
        <w:t>-FOMC, reports too many neutral sentiments, leading to a high recall of neutral sentiment but also to too many false neutral predictions (and simultaneously low recall for positive and negative sentiment). Table </w:t>
      </w:r>
      <w:hyperlink r:id="rId103" w:anchor="sec-26" w:history="1">
        <w:r w:rsidRPr="003632BE">
          <w:rPr>
            <w:rStyle w:val="Hyperlink"/>
            <w:b/>
            <w:bCs/>
          </w:rPr>
          <w:t>5.1.6</w:t>
        </w:r>
      </w:hyperlink>
      <w:r w:rsidRPr="003632BE">
        <w:t> shows that the model reports negative and positive sentiments insufficiently often.</w:t>
      </w:r>
    </w:p>
    <w:p w14:paraId="01A3295A" w14:textId="77777777" w:rsidR="003632BE" w:rsidRPr="003632BE" w:rsidRDefault="003632BE" w:rsidP="003632BE">
      <w:r w:rsidRPr="003632BE">
        <w:lastRenderedPageBreak/>
        <w:t xml:space="preserve">The average F1 score of </w:t>
      </w:r>
      <w:proofErr w:type="spellStart"/>
      <w:r w:rsidRPr="003632BE">
        <w:t>FinBERT</w:t>
      </w:r>
      <w:proofErr w:type="spellEnd"/>
      <w:r w:rsidRPr="003632BE">
        <w:t xml:space="preserve"> (0.64) is slightly higher than GPT-4’s F1 score (0.63), indicating that they have a comparable performance on the FOMC dataset.</w:t>
      </w:r>
    </w:p>
    <w:p w14:paraId="6B761EAF" w14:textId="77777777" w:rsidR="003632BE" w:rsidRPr="003632BE" w:rsidRDefault="003632BE" w:rsidP="003632BE">
      <w:r w:rsidRPr="003632BE">
        <w:t>Our results are in line with prior comparative research by [</w:t>
      </w:r>
      <w:hyperlink r:id="rId104" w:anchor="BibPLXBIB0019" w:history="1">
        <w:r w:rsidRPr="003632BE">
          <w:rPr>
            <w:rStyle w:val="Hyperlink"/>
            <w:b/>
            <w:bCs/>
          </w:rPr>
          <w:t>19</w:t>
        </w:r>
      </w:hyperlink>
      <w:r w:rsidRPr="003632BE">
        <w:t xml:space="preserve">, pp. 410–411], who showed that GPT-4 overall has comparable sentiment analysis capabilities to </w:t>
      </w:r>
      <w:proofErr w:type="spellStart"/>
      <w:r w:rsidRPr="003632BE">
        <w:t>FinBERT</w:t>
      </w:r>
      <w:proofErr w:type="spellEnd"/>
      <w:r w:rsidRPr="003632BE">
        <w:t xml:space="preserve"> [</w:t>
      </w:r>
      <w:hyperlink r:id="rId105" w:anchor="BibPLXBIB0004" w:history="1">
        <w:r w:rsidRPr="003632BE">
          <w:rPr>
            <w:rStyle w:val="Hyperlink"/>
            <w:b/>
            <w:bCs/>
          </w:rPr>
          <w:t>4</w:t>
        </w:r>
      </w:hyperlink>
      <w:r w:rsidRPr="003632BE">
        <w:t xml:space="preserve">] on tasks such as the Financial </w:t>
      </w:r>
      <w:proofErr w:type="spellStart"/>
      <w:r w:rsidRPr="003632BE">
        <w:t>PhraseBank</w:t>
      </w:r>
      <w:proofErr w:type="spellEnd"/>
      <w:r w:rsidRPr="003632BE">
        <w:t xml:space="preserve"> [</w:t>
      </w:r>
      <w:hyperlink r:id="rId106" w:anchor="BibPLXBIB0024" w:history="1">
        <w:r w:rsidRPr="003632BE">
          <w:rPr>
            <w:rStyle w:val="Hyperlink"/>
            <w:b/>
            <w:bCs/>
          </w:rPr>
          <w:t>24</w:t>
        </w:r>
      </w:hyperlink>
      <w:r w:rsidRPr="003632BE">
        <w:t xml:space="preserve">] and the </w:t>
      </w:r>
      <w:proofErr w:type="spellStart"/>
      <w:r w:rsidRPr="003632BE">
        <w:t>FiQA</w:t>
      </w:r>
      <w:proofErr w:type="spellEnd"/>
      <w:r w:rsidRPr="003632BE">
        <w:t xml:space="preserve"> sentiment task [</w:t>
      </w:r>
      <w:hyperlink r:id="rId107" w:anchor="BibPLXBIB0022" w:history="1">
        <w:r w:rsidRPr="003632BE">
          <w:rPr>
            <w:rStyle w:val="Hyperlink"/>
            <w:b/>
            <w:bCs/>
          </w:rPr>
          <w:t>22</w:t>
        </w:r>
      </w:hyperlink>
      <w:r w:rsidRPr="003632BE">
        <w:t>].</w:t>
      </w:r>
    </w:p>
    <w:p w14:paraId="2D841A3C" w14:textId="77777777" w:rsidR="003632BE" w:rsidRPr="003632BE" w:rsidRDefault="003632BE" w:rsidP="003632BE">
      <w:r w:rsidRPr="003632BE">
        <w:rPr>
          <w:i/>
          <w:iCs/>
        </w:rPr>
        <w:t>5.1.5 Llama 3.</w:t>
      </w:r>
      <w:r w:rsidRPr="003632BE">
        <w:t xml:space="preserve"> Llama 3’s accuracy is the highest with 79.3%. </w:t>
      </w:r>
      <w:proofErr w:type="gramStart"/>
      <w:r w:rsidRPr="003632BE">
        <w:t>Llama</w:t>
      </w:r>
      <w:proofErr w:type="gramEnd"/>
      <w:r w:rsidRPr="003632BE">
        <w:t> 3 tends to under-detect negative sentiment. It's prediction distribution closely resembles that of the ground truth, as figure </w:t>
      </w:r>
      <w:hyperlink r:id="rId108" w:anchor="fig1" w:history="1">
        <w:r w:rsidRPr="003632BE">
          <w:rPr>
            <w:rStyle w:val="Hyperlink"/>
            <w:b/>
            <w:bCs/>
          </w:rPr>
          <w:t>1</w:t>
        </w:r>
      </w:hyperlink>
      <w:r w:rsidRPr="003632BE">
        <w:t> shows.</w:t>
      </w:r>
    </w:p>
    <w:p w14:paraId="3FEF3C26" w14:textId="77777777" w:rsidR="003632BE" w:rsidRPr="003632BE" w:rsidRDefault="003632BE" w:rsidP="003632BE">
      <w:r w:rsidRPr="003632BE">
        <w:t>The average F1 score of Llama 3 is the highest of all models, with 0.78. With an F1 score of 0.65 for negative sentiment, the negative sentiment is Llama 3’s weakest sentiment. It has an F1 score of 0.82 for neutral and 0.79 for positive sentiments.</w:t>
      </w:r>
    </w:p>
    <w:p w14:paraId="57E35B2A" w14:textId="77777777" w:rsidR="003632BE" w:rsidRPr="003632BE" w:rsidRDefault="003632BE" w:rsidP="003632BE">
      <w:r w:rsidRPr="003632BE">
        <w:t xml:space="preserve">Upon closer inspection of the responses of GPT-4 and Llama 3, we found that Llama 3 </w:t>
      </w:r>
      <w:proofErr w:type="gramStart"/>
      <w:r w:rsidRPr="003632BE">
        <w:t>is able to</w:t>
      </w:r>
      <w:proofErr w:type="gramEnd"/>
      <w:r w:rsidRPr="003632BE">
        <w:t xml:space="preserve"> provide reasoning for its predictions, while maintaining the ability to follow the output format that we had requested. This is a significant advantage over GPT-4, which often failed to provide reasoning for its predictions when prompted to explain its predictions. For most FOMC sentences, Llama 3 produced an explanation before and after the JSON-like output, which likely gave Llama 3 the edge needed to perform better than GPT-4 [</w:t>
      </w:r>
      <w:hyperlink r:id="rId109" w:anchor="BibPLXBIB0016" w:history="1">
        <w:r w:rsidRPr="003632BE">
          <w:rPr>
            <w:rStyle w:val="Hyperlink"/>
            <w:b/>
            <w:bCs/>
          </w:rPr>
          <w:t>16</w:t>
        </w:r>
      </w:hyperlink>
      <w:r w:rsidRPr="003632BE">
        <w:t>].</w:t>
      </w:r>
    </w:p>
    <w:p w14:paraId="482D4089" w14:textId="77777777" w:rsidR="003632BE" w:rsidRPr="003632BE" w:rsidRDefault="003632BE" w:rsidP="003632BE">
      <w:r w:rsidRPr="003632BE">
        <w:rPr>
          <w:i/>
          <w:iCs/>
        </w:rPr>
        <w:t>5.1.6 Comparison Between Models.</w:t>
      </w:r>
      <w:r w:rsidRPr="003632BE">
        <w:t xml:space="preserve"> In Summary, VADER achieves an accuracy of 44.3%, </w:t>
      </w:r>
      <w:proofErr w:type="spellStart"/>
      <w:r w:rsidRPr="003632BE">
        <w:t>FinBERT</w:t>
      </w:r>
      <w:proofErr w:type="spellEnd"/>
      <w:r w:rsidRPr="003632BE">
        <w:t xml:space="preserve"> 59.7%, </w:t>
      </w:r>
      <w:proofErr w:type="spellStart"/>
      <w:r w:rsidRPr="003632BE">
        <w:t>FinBERT</w:t>
      </w:r>
      <w:proofErr w:type="spellEnd"/>
      <w:r w:rsidRPr="003632BE">
        <w:t xml:space="preserve">-FOMC 63.8%, GPT-4 68.2%, and Llama 3 79.3%. </w:t>
      </w:r>
      <w:proofErr w:type="spellStart"/>
      <w:r w:rsidRPr="003632BE">
        <w:t>FinBERT</w:t>
      </w:r>
      <w:proofErr w:type="spellEnd"/>
      <w:r w:rsidRPr="003632BE">
        <w:t>-FOMC's areas under the curve (AUCs) outperform GPT-4’s AUCs. Llama 3 clearly stands out as the best-performing model The results show that fine-tuning of a moderately small language model can be valuable even compared to a large foundation language model such as GPT-4, but that there are significant differences among large language models.</w:t>
      </w:r>
    </w:p>
    <w:p w14:paraId="0B119F4A" w14:textId="77777777" w:rsidR="003632BE" w:rsidRPr="003632BE" w:rsidRDefault="003632BE" w:rsidP="003632BE">
      <w:r w:rsidRPr="003632BE">
        <w:t xml:space="preserve">The result of VADER, based on a lexicon and rules, had an accuracy of 44.3%, serving as a baseline. Naive guessing would have an expected accuracy of only 33.3%. </w:t>
      </w:r>
      <w:proofErr w:type="spellStart"/>
      <w:r w:rsidRPr="003632BE">
        <w:t>FinBERT</w:t>
      </w:r>
      <w:proofErr w:type="spellEnd"/>
      <w:r w:rsidRPr="003632BE">
        <w:t xml:space="preserve">, a model pre-trained on financial data, achieved higher accuracy at 59.7%, indicating the benefits of domain-specific pre-training. Further fine-tuning of </w:t>
      </w:r>
      <w:proofErr w:type="spellStart"/>
      <w:r w:rsidRPr="003632BE">
        <w:t>FinBERT</w:t>
      </w:r>
      <w:proofErr w:type="spellEnd"/>
      <w:r w:rsidRPr="003632BE">
        <w:t xml:space="preserve"> on FOMC texts resulted in </w:t>
      </w:r>
      <w:proofErr w:type="spellStart"/>
      <w:r w:rsidRPr="003632BE">
        <w:t>FinBERT</w:t>
      </w:r>
      <w:proofErr w:type="spellEnd"/>
      <w:r w:rsidRPr="003632BE">
        <w:t xml:space="preserve">-FOMC, which showed a significant increase in accuracy to 63.8%. The much larger GPT-4 and Llama 3 models had accuracies of 68.2% and 79.34%, respectively. However, GPT-4’s AUC scores were not superior to those of </w:t>
      </w:r>
      <w:proofErr w:type="spellStart"/>
      <w:r w:rsidRPr="003632BE">
        <w:t>FinBERT</w:t>
      </w:r>
      <w:proofErr w:type="spellEnd"/>
      <w:r w:rsidRPr="003632BE">
        <w:t xml:space="preserve">-FOMC, suggesting that larger models do not necessarily perform better in sentiment analysis. Our findings add to the ongoing debate about the trade-offs between large foundation models and smaller, </w:t>
      </w:r>
      <w:proofErr w:type="gramStart"/>
      <w:r w:rsidRPr="003632BE">
        <w:t>finely-tuned</w:t>
      </w:r>
      <w:proofErr w:type="gramEnd"/>
      <w:r w:rsidRPr="003632BE">
        <w:t xml:space="preserve"> counterparts. Moderate-sized models like </w:t>
      </w:r>
      <w:proofErr w:type="spellStart"/>
      <w:r w:rsidRPr="003632BE">
        <w:t>FinBERT</w:t>
      </w:r>
      <w:proofErr w:type="spellEnd"/>
      <w:r w:rsidRPr="003632BE">
        <w:t>-FOMC, when optimally adjusted for specific text types, can get close to some large language models.</w:t>
      </w:r>
    </w:p>
    <w:p w14:paraId="3E18935A" w14:textId="77777777" w:rsidR="003632BE" w:rsidRPr="003632BE" w:rsidRDefault="003632BE" w:rsidP="003632BE">
      <w:r w:rsidRPr="003632BE">
        <w:lastRenderedPageBreak/>
        <w:t>Human annotators demonstrated superior accuracy compared to machine analysis, ranging from 87.5%–89.6% for the growth sentiment, surpassing the best AI model (Llama 3 with an accuracy of 79.3% and an average F1 score of 0.78). The discrepancy between human and model performance highlights the difficulty presented by the FOMC dataset, which can be attributed to the subtleties of economic language.</w:t>
      </w:r>
    </w:p>
    <w:p w14:paraId="4FD9C9BF" w14:textId="77777777" w:rsidR="003632BE" w:rsidRPr="003632BE" w:rsidRDefault="003632BE" w:rsidP="003632BE">
      <w:r w:rsidRPr="003632BE">
        <w:rPr>
          <w:b/>
          <w:bCs/>
        </w:rPr>
        <w:t>Table 2:</w:t>
      </w:r>
      <w:r w:rsidRPr="003632BE">
        <w:t> Confusion matrices for all models. The numbers in parentheses show the recall and the precision.</w:t>
      </w:r>
    </w:p>
    <w:tbl>
      <w:tblPr>
        <w:tblW w:w="0" w:type="auto"/>
        <w:tblCellMar>
          <w:top w:w="15" w:type="dxa"/>
          <w:left w:w="15" w:type="dxa"/>
          <w:bottom w:w="15" w:type="dxa"/>
          <w:right w:w="15" w:type="dxa"/>
        </w:tblCellMar>
        <w:tblLook w:val="04A0" w:firstRow="1" w:lastRow="0" w:firstColumn="1" w:lastColumn="0" w:noHBand="0" w:noVBand="1"/>
      </w:tblPr>
      <w:tblGrid>
        <w:gridCol w:w="768"/>
        <w:gridCol w:w="1947"/>
        <w:gridCol w:w="1163"/>
        <w:gridCol w:w="1040"/>
        <w:gridCol w:w="1105"/>
        <w:gridCol w:w="769"/>
      </w:tblGrid>
      <w:tr w:rsidR="003632BE" w:rsidRPr="003632BE" w14:paraId="665BA296" w14:textId="77777777">
        <w:trPr>
          <w:tblHeader/>
        </w:trPr>
        <w:tc>
          <w:tcPr>
            <w:tcW w:w="0" w:type="auto"/>
            <w:tcBorders>
              <w:top w:val="nil"/>
              <w:bottom w:val="single" w:sz="12" w:space="0" w:color="DDDDDD"/>
            </w:tcBorders>
            <w:shd w:val="clear" w:color="auto" w:fill="F5F5F5"/>
            <w:tcMar>
              <w:top w:w="120" w:type="dxa"/>
              <w:left w:w="120" w:type="dxa"/>
              <w:bottom w:w="120" w:type="dxa"/>
              <w:right w:w="120" w:type="dxa"/>
            </w:tcMar>
            <w:vAlign w:val="bottom"/>
            <w:hideMark/>
          </w:tcPr>
          <w:p w14:paraId="711D8D5C" w14:textId="77777777" w:rsidR="003632BE" w:rsidRPr="003632BE" w:rsidRDefault="003632BE" w:rsidP="003632BE"/>
        </w:tc>
        <w:tc>
          <w:tcPr>
            <w:tcW w:w="0" w:type="auto"/>
            <w:tcBorders>
              <w:top w:val="nil"/>
              <w:bottom w:val="single" w:sz="12" w:space="0" w:color="DDDDDD"/>
              <w:right w:val="single" w:sz="18" w:space="0" w:color="000000"/>
            </w:tcBorders>
            <w:shd w:val="clear" w:color="auto" w:fill="F5F5F5"/>
            <w:tcMar>
              <w:top w:w="120" w:type="dxa"/>
              <w:left w:w="120" w:type="dxa"/>
              <w:bottom w:w="120" w:type="dxa"/>
              <w:right w:w="120" w:type="dxa"/>
            </w:tcMar>
            <w:vAlign w:val="bottom"/>
            <w:hideMark/>
          </w:tcPr>
          <w:p w14:paraId="15C4EE9F" w14:textId="77777777" w:rsidR="003632BE" w:rsidRPr="003632BE" w:rsidRDefault="003632BE" w:rsidP="003632BE"/>
        </w:tc>
        <w:tc>
          <w:tcPr>
            <w:tcW w:w="0" w:type="auto"/>
            <w:gridSpan w:val="3"/>
            <w:tcBorders>
              <w:top w:val="nil"/>
              <w:bottom w:val="single" w:sz="12" w:space="0" w:color="DDDDDD"/>
              <w:right w:val="single" w:sz="18" w:space="0" w:color="000000"/>
            </w:tcBorders>
            <w:shd w:val="clear" w:color="auto" w:fill="F5F5F5"/>
            <w:tcMar>
              <w:top w:w="120" w:type="dxa"/>
              <w:left w:w="120" w:type="dxa"/>
              <w:bottom w:w="120" w:type="dxa"/>
              <w:right w:w="120" w:type="dxa"/>
            </w:tcMar>
            <w:vAlign w:val="bottom"/>
            <w:hideMark/>
          </w:tcPr>
          <w:p w14:paraId="3F030854" w14:textId="77777777" w:rsidR="003632BE" w:rsidRPr="003632BE" w:rsidRDefault="003632BE" w:rsidP="003632BE">
            <w:pPr>
              <w:rPr>
                <w:b/>
                <w:bCs/>
              </w:rPr>
            </w:pPr>
            <w:r w:rsidRPr="003632BE">
              <w:rPr>
                <w:b/>
                <w:bCs/>
              </w:rPr>
              <w:t>VADER</w:t>
            </w:r>
          </w:p>
        </w:tc>
        <w:tc>
          <w:tcPr>
            <w:tcW w:w="0" w:type="auto"/>
            <w:tcBorders>
              <w:top w:val="nil"/>
              <w:bottom w:val="single" w:sz="12" w:space="0" w:color="DDDDDD"/>
            </w:tcBorders>
            <w:shd w:val="clear" w:color="auto" w:fill="F5F5F5"/>
            <w:tcMar>
              <w:top w:w="120" w:type="dxa"/>
              <w:left w:w="120" w:type="dxa"/>
              <w:bottom w:w="120" w:type="dxa"/>
              <w:right w:w="120" w:type="dxa"/>
            </w:tcMar>
            <w:vAlign w:val="bottom"/>
            <w:hideMark/>
          </w:tcPr>
          <w:p w14:paraId="72634BB0" w14:textId="77777777" w:rsidR="003632BE" w:rsidRPr="003632BE" w:rsidRDefault="003632BE" w:rsidP="003632BE">
            <w:pPr>
              <w:rPr>
                <w:b/>
                <w:bCs/>
              </w:rPr>
            </w:pPr>
          </w:p>
        </w:tc>
      </w:tr>
      <w:tr w:rsidR="003632BE" w:rsidRPr="003632BE" w14:paraId="5276EB33" w14:textId="77777777">
        <w:trPr>
          <w:tblHeader/>
        </w:trPr>
        <w:tc>
          <w:tcPr>
            <w:tcW w:w="0" w:type="auto"/>
            <w:tcBorders>
              <w:top w:val="single" w:sz="6" w:space="0" w:color="DDDDDD"/>
              <w:bottom w:val="single" w:sz="12" w:space="0" w:color="DDDDDD"/>
            </w:tcBorders>
            <w:tcMar>
              <w:top w:w="120" w:type="dxa"/>
              <w:left w:w="120" w:type="dxa"/>
              <w:bottom w:w="120" w:type="dxa"/>
              <w:right w:w="120" w:type="dxa"/>
            </w:tcMar>
            <w:vAlign w:val="bottom"/>
            <w:hideMark/>
          </w:tcPr>
          <w:p w14:paraId="647933E0" w14:textId="77777777" w:rsidR="003632BE" w:rsidRPr="003632BE" w:rsidRDefault="003632BE" w:rsidP="003632BE"/>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p w14:paraId="18C7FAFC" w14:textId="77777777" w:rsidR="003632BE" w:rsidRPr="003632BE" w:rsidRDefault="003632BE" w:rsidP="003632BE"/>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923"/>
            </w:tblGrid>
            <w:tr w:rsidR="003632BE" w:rsidRPr="003632BE" w14:paraId="18DBBA45" w14:textId="77777777">
              <w:trPr>
                <w:jc w:val="center"/>
              </w:trPr>
              <w:tc>
                <w:tcPr>
                  <w:tcW w:w="0" w:type="auto"/>
                  <w:tcMar>
                    <w:top w:w="0" w:type="dxa"/>
                    <w:left w:w="0" w:type="dxa"/>
                    <w:bottom w:w="0" w:type="dxa"/>
                    <w:right w:w="0" w:type="dxa"/>
                  </w:tcMar>
                  <w:vAlign w:val="center"/>
                  <w:hideMark/>
                </w:tcPr>
                <w:p w14:paraId="4AF44A85" w14:textId="77777777" w:rsidR="003632BE" w:rsidRPr="003632BE" w:rsidRDefault="003632BE" w:rsidP="003632BE">
                  <w:pPr>
                    <w:rPr>
                      <w:b/>
                      <w:bCs/>
                    </w:rPr>
                  </w:pPr>
                  <w:r w:rsidRPr="003632BE">
                    <w:rPr>
                      <w:b/>
                      <w:bCs/>
                    </w:rPr>
                    <w:t>negative</w:t>
                  </w:r>
                </w:p>
              </w:tc>
            </w:tr>
            <w:tr w:rsidR="003632BE" w:rsidRPr="003632BE" w14:paraId="5FE79CC5" w14:textId="77777777">
              <w:trPr>
                <w:jc w:val="center"/>
              </w:trPr>
              <w:tc>
                <w:tcPr>
                  <w:tcW w:w="0" w:type="auto"/>
                  <w:tcMar>
                    <w:top w:w="0" w:type="dxa"/>
                    <w:left w:w="0" w:type="dxa"/>
                    <w:bottom w:w="0" w:type="dxa"/>
                    <w:right w:w="0" w:type="dxa"/>
                  </w:tcMar>
                  <w:vAlign w:val="center"/>
                  <w:hideMark/>
                </w:tcPr>
                <w:p w14:paraId="40859666" w14:textId="77777777" w:rsidR="003632BE" w:rsidRPr="003632BE" w:rsidRDefault="003632BE" w:rsidP="003632BE">
                  <w:pPr>
                    <w:rPr>
                      <w:b/>
                      <w:bCs/>
                    </w:rPr>
                  </w:pPr>
                  <w:r w:rsidRPr="003632BE">
                    <w:rPr>
                      <w:b/>
                      <w:bCs/>
                    </w:rPr>
                    <w:t>(44.4%)</w:t>
                  </w:r>
                </w:p>
              </w:tc>
            </w:tr>
          </w:tbl>
          <w:p w14:paraId="537629FA" w14:textId="77777777" w:rsidR="003632BE" w:rsidRPr="003632BE" w:rsidRDefault="003632BE" w:rsidP="003632BE">
            <w:pPr>
              <w:rPr>
                <w:b/>
                <w:bCs/>
              </w:rPr>
            </w:pPr>
          </w:p>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800"/>
            </w:tblGrid>
            <w:tr w:rsidR="003632BE" w:rsidRPr="003632BE" w14:paraId="4EC00CEC" w14:textId="77777777">
              <w:trPr>
                <w:jc w:val="center"/>
              </w:trPr>
              <w:tc>
                <w:tcPr>
                  <w:tcW w:w="0" w:type="auto"/>
                  <w:tcMar>
                    <w:top w:w="0" w:type="dxa"/>
                    <w:left w:w="0" w:type="dxa"/>
                    <w:bottom w:w="0" w:type="dxa"/>
                    <w:right w:w="0" w:type="dxa"/>
                  </w:tcMar>
                  <w:vAlign w:val="center"/>
                  <w:hideMark/>
                </w:tcPr>
                <w:p w14:paraId="773531AF" w14:textId="77777777" w:rsidR="003632BE" w:rsidRPr="003632BE" w:rsidRDefault="003632BE" w:rsidP="003632BE">
                  <w:pPr>
                    <w:rPr>
                      <w:b/>
                      <w:bCs/>
                    </w:rPr>
                  </w:pPr>
                  <w:r w:rsidRPr="003632BE">
                    <w:rPr>
                      <w:b/>
                      <w:bCs/>
                    </w:rPr>
                    <w:t>neutral</w:t>
                  </w:r>
                </w:p>
              </w:tc>
            </w:tr>
            <w:tr w:rsidR="003632BE" w:rsidRPr="003632BE" w14:paraId="33A49507" w14:textId="77777777">
              <w:trPr>
                <w:jc w:val="center"/>
              </w:trPr>
              <w:tc>
                <w:tcPr>
                  <w:tcW w:w="0" w:type="auto"/>
                  <w:tcMar>
                    <w:top w:w="0" w:type="dxa"/>
                    <w:left w:w="0" w:type="dxa"/>
                    <w:bottom w:w="0" w:type="dxa"/>
                    <w:right w:w="0" w:type="dxa"/>
                  </w:tcMar>
                  <w:vAlign w:val="center"/>
                  <w:hideMark/>
                </w:tcPr>
                <w:p w14:paraId="38BC8770" w14:textId="77777777" w:rsidR="003632BE" w:rsidRPr="003632BE" w:rsidRDefault="003632BE" w:rsidP="003632BE">
                  <w:pPr>
                    <w:rPr>
                      <w:b/>
                      <w:bCs/>
                    </w:rPr>
                  </w:pPr>
                  <w:r w:rsidRPr="003632BE">
                    <w:rPr>
                      <w:b/>
                      <w:bCs/>
                    </w:rPr>
                    <w:t>(58.8%)</w:t>
                  </w:r>
                </w:p>
              </w:tc>
            </w:tr>
          </w:tbl>
          <w:p w14:paraId="4BF5F001" w14:textId="77777777" w:rsidR="003632BE" w:rsidRPr="003632BE" w:rsidRDefault="003632BE" w:rsidP="003632BE">
            <w:pPr>
              <w:rPr>
                <w:b/>
                <w:bCs/>
              </w:rPr>
            </w:pPr>
          </w:p>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865"/>
            </w:tblGrid>
            <w:tr w:rsidR="003632BE" w:rsidRPr="003632BE" w14:paraId="23C0A4EF" w14:textId="77777777">
              <w:trPr>
                <w:jc w:val="center"/>
              </w:trPr>
              <w:tc>
                <w:tcPr>
                  <w:tcW w:w="0" w:type="auto"/>
                  <w:tcMar>
                    <w:top w:w="0" w:type="dxa"/>
                    <w:left w:w="0" w:type="dxa"/>
                    <w:bottom w:w="0" w:type="dxa"/>
                    <w:right w:w="0" w:type="dxa"/>
                  </w:tcMar>
                  <w:vAlign w:val="center"/>
                  <w:hideMark/>
                </w:tcPr>
                <w:p w14:paraId="350534A0" w14:textId="77777777" w:rsidR="003632BE" w:rsidRPr="003632BE" w:rsidRDefault="003632BE" w:rsidP="003632BE">
                  <w:pPr>
                    <w:rPr>
                      <w:b/>
                      <w:bCs/>
                    </w:rPr>
                  </w:pPr>
                  <w:r w:rsidRPr="003632BE">
                    <w:rPr>
                      <w:b/>
                      <w:bCs/>
                    </w:rPr>
                    <w:t>positive</w:t>
                  </w:r>
                </w:p>
              </w:tc>
            </w:tr>
            <w:tr w:rsidR="003632BE" w:rsidRPr="003632BE" w14:paraId="5A624894" w14:textId="77777777">
              <w:trPr>
                <w:jc w:val="center"/>
              </w:trPr>
              <w:tc>
                <w:tcPr>
                  <w:tcW w:w="0" w:type="auto"/>
                  <w:tcMar>
                    <w:top w:w="0" w:type="dxa"/>
                    <w:left w:w="0" w:type="dxa"/>
                    <w:bottom w:w="0" w:type="dxa"/>
                    <w:right w:w="0" w:type="dxa"/>
                  </w:tcMar>
                  <w:vAlign w:val="center"/>
                  <w:hideMark/>
                </w:tcPr>
                <w:p w14:paraId="30843141" w14:textId="77777777" w:rsidR="003632BE" w:rsidRPr="003632BE" w:rsidRDefault="003632BE" w:rsidP="003632BE">
                  <w:pPr>
                    <w:rPr>
                      <w:b/>
                      <w:bCs/>
                    </w:rPr>
                  </w:pPr>
                  <w:r w:rsidRPr="003632BE">
                    <w:rPr>
                      <w:b/>
                      <w:bCs/>
                    </w:rPr>
                    <w:t>(37.9%)</w:t>
                  </w:r>
                </w:p>
              </w:tc>
            </w:tr>
          </w:tbl>
          <w:p w14:paraId="078737ED" w14:textId="77777777" w:rsidR="003632BE" w:rsidRPr="003632BE" w:rsidRDefault="003632BE" w:rsidP="003632BE">
            <w:pPr>
              <w:rPr>
                <w:b/>
                <w:bCs/>
              </w:rPr>
            </w:pPr>
          </w:p>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529"/>
            </w:tblGrid>
            <w:tr w:rsidR="003632BE" w:rsidRPr="003632BE" w14:paraId="694B466F" w14:textId="77777777">
              <w:trPr>
                <w:jc w:val="center"/>
              </w:trPr>
              <w:tc>
                <w:tcPr>
                  <w:tcW w:w="0" w:type="auto"/>
                  <w:tcMar>
                    <w:top w:w="0" w:type="dxa"/>
                    <w:left w:w="0" w:type="dxa"/>
                    <w:bottom w:w="0" w:type="dxa"/>
                    <w:right w:w="0" w:type="dxa"/>
                  </w:tcMar>
                  <w:vAlign w:val="center"/>
                  <w:hideMark/>
                </w:tcPr>
                <w:p w14:paraId="697930A0" w14:textId="77777777" w:rsidR="003632BE" w:rsidRPr="003632BE" w:rsidRDefault="003632BE" w:rsidP="003632BE">
                  <w:pPr>
                    <w:rPr>
                      <w:b/>
                      <w:bCs/>
                    </w:rPr>
                  </w:pPr>
                  <w:r w:rsidRPr="003632BE">
                    <w:rPr>
                      <w:b/>
                      <w:bCs/>
                    </w:rPr>
                    <w:t>Total</w:t>
                  </w:r>
                </w:p>
              </w:tc>
            </w:tr>
          </w:tbl>
          <w:p w14:paraId="07DA0823" w14:textId="77777777" w:rsidR="003632BE" w:rsidRPr="003632BE" w:rsidRDefault="003632BE" w:rsidP="003632BE">
            <w:pPr>
              <w:rPr>
                <w:b/>
                <w:bCs/>
              </w:rPr>
            </w:pPr>
          </w:p>
        </w:tc>
      </w:tr>
      <w:tr w:rsidR="003632BE" w:rsidRPr="003632BE" w14:paraId="4B6B87F8" w14:textId="77777777">
        <w:tc>
          <w:tcPr>
            <w:tcW w:w="0" w:type="auto"/>
            <w:tcBorders>
              <w:top w:val="single" w:sz="6" w:space="0" w:color="DDDDDD"/>
            </w:tcBorders>
            <w:tcMar>
              <w:top w:w="120" w:type="dxa"/>
              <w:left w:w="120" w:type="dxa"/>
              <w:bottom w:w="120" w:type="dxa"/>
              <w:right w:w="120" w:type="dxa"/>
            </w:tcMar>
            <w:vAlign w:val="center"/>
            <w:hideMark/>
          </w:tcPr>
          <w:p w14:paraId="3729DE1E" w14:textId="77777777" w:rsidR="003632BE" w:rsidRPr="003632BE" w:rsidRDefault="003632BE" w:rsidP="003632BE">
            <w:r w:rsidRPr="003632BE">
              <w:t>Truth</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5C3AEF87" w14:textId="77777777" w:rsidR="003632BE" w:rsidRPr="003632BE" w:rsidRDefault="003632BE" w:rsidP="003632BE">
            <w:r w:rsidRPr="003632BE">
              <w:t>negative (43.0%)</w:t>
            </w:r>
          </w:p>
        </w:tc>
        <w:tc>
          <w:tcPr>
            <w:tcW w:w="0" w:type="auto"/>
            <w:tcBorders>
              <w:top w:val="single" w:sz="6" w:space="0" w:color="DDDDDD"/>
            </w:tcBorders>
            <w:tcMar>
              <w:top w:w="120" w:type="dxa"/>
              <w:left w:w="120" w:type="dxa"/>
              <w:bottom w:w="120" w:type="dxa"/>
              <w:right w:w="120" w:type="dxa"/>
            </w:tcMar>
            <w:vAlign w:val="center"/>
            <w:hideMark/>
          </w:tcPr>
          <w:p w14:paraId="5C03E495" w14:textId="77777777" w:rsidR="003632BE" w:rsidRPr="003632BE" w:rsidRDefault="003632BE" w:rsidP="003632BE">
            <w:r w:rsidRPr="003632BE">
              <w:rPr>
                <w:b/>
                <w:bCs/>
              </w:rPr>
              <w:t>108</w:t>
            </w:r>
          </w:p>
        </w:tc>
        <w:tc>
          <w:tcPr>
            <w:tcW w:w="0" w:type="auto"/>
            <w:tcBorders>
              <w:top w:val="single" w:sz="6" w:space="0" w:color="DDDDDD"/>
            </w:tcBorders>
            <w:tcMar>
              <w:top w:w="120" w:type="dxa"/>
              <w:left w:w="120" w:type="dxa"/>
              <w:bottom w:w="120" w:type="dxa"/>
              <w:right w:w="120" w:type="dxa"/>
            </w:tcMar>
            <w:vAlign w:val="center"/>
            <w:hideMark/>
          </w:tcPr>
          <w:p w14:paraId="1C652077" w14:textId="77777777" w:rsidR="003632BE" w:rsidRPr="003632BE" w:rsidRDefault="003632BE" w:rsidP="003632BE">
            <w:r w:rsidRPr="003632BE">
              <w:t>56</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6E9B4421" w14:textId="77777777" w:rsidR="003632BE" w:rsidRPr="003632BE" w:rsidRDefault="003632BE" w:rsidP="003632BE">
            <w:r w:rsidRPr="003632BE">
              <w:t>87</w:t>
            </w:r>
          </w:p>
        </w:tc>
        <w:tc>
          <w:tcPr>
            <w:tcW w:w="0" w:type="auto"/>
            <w:tcBorders>
              <w:top w:val="single" w:sz="6" w:space="0" w:color="DDDDDD"/>
            </w:tcBorders>
            <w:tcMar>
              <w:top w:w="120" w:type="dxa"/>
              <w:left w:w="120" w:type="dxa"/>
              <w:bottom w:w="120" w:type="dxa"/>
              <w:right w:w="120" w:type="dxa"/>
            </w:tcMar>
            <w:vAlign w:val="center"/>
            <w:hideMark/>
          </w:tcPr>
          <w:p w14:paraId="55918A17" w14:textId="77777777" w:rsidR="003632BE" w:rsidRPr="003632BE" w:rsidRDefault="003632BE" w:rsidP="003632BE">
            <w:r w:rsidRPr="003632BE">
              <w:t>251</w:t>
            </w:r>
          </w:p>
        </w:tc>
      </w:tr>
      <w:tr w:rsidR="003632BE" w:rsidRPr="003632BE" w14:paraId="2F72DA6D" w14:textId="77777777">
        <w:tc>
          <w:tcPr>
            <w:tcW w:w="0" w:type="auto"/>
            <w:tcBorders>
              <w:top w:val="single" w:sz="6" w:space="0" w:color="DDDDDD"/>
            </w:tcBorders>
            <w:tcMar>
              <w:top w:w="120" w:type="dxa"/>
              <w:left w:w="120" w:type="dxa"/>
              <w:bottom w:w="120" w:type="dxa"/>
              <w:right w:w="120" w:type="dxa"/>
            </w:tcMar>
            <w:vAlign w:val="center"/>
            <w:hideMark/>
          </w:tcPr>
          <w:p w14:paraId="774C1958" w14:textId="77777777" w:rsidR="003632BE" w:rsidRPr="003632BE" w:rsidRDefault="003632BE" w:rsidP="003632BE"/>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3D754685" w14:textId="77777777" w:rsidR="003632BE" w:rsidRPr="003632BE" w:rsidRDefault="003632BE" w:rsidP="003632BE">
            <w:r w:rsidRPr="003632BE">
              <w:t>neutral (27.7%)</w:t>
            </w:r>
          </w:p>
        </w:tc>
        <w:tc>
          <w:tcPr>
            <w:tcW w:w="0" w:type="auto"/>
            <w:tcBorders>
              <w:top w:val="single" w:sz="6" w:space="0" w:color="DDDDDD"/>
            </w:tcBorders>
            <w:tcMar>
              <w:top w:w="120" w:type="dxa"/>
              <w:left w:w="120" w:type="dxa"/>
              <w:bottom w:w="120" w:type="dxa"/>
              <w:right w:w="120" w:type="dxa"/>
            </w:tcMar>
            <w:vAlign w:val="center"/>
            <w:hideMark/>
          </w:tcPr>
          <w:p w14:paraId="571F3867" w14:textId="77777777" w:rsidR="003632BE" w:rsidRPr="003632BE" w:rsidRDefault="003632BE" w:rsidP="003632BE">
            <w:r w:rsidRPr="003632BE">
              <w:t>116</w:t>
            </w:r>
          </w:p>
        </w:tc>
        <w:tc>
          <w:tcPr>
            <w:tcW w:w="0" w:type="auto"/>
            <w:tcBorders>
              <w:top w:val="single" w:sz="6" w:space="0" w:color="DDDDDD"/>
            </w:tcBorders>
            <w:tcMar>
              <w:top w:w="120" w:type="dxa"/>
              <w:left w:w="120" w:type="dxa"/>
              <w:bottom w:w="120" w:type="dxa"/>
              <w:right w:w="120" w:type="dxa"/>
            </w:tcMar>
            <w:vAlign w:val="center"/>
            <w:hideMark/>
          </w:tcPr>
          <w:p w14:paraId="63C3AA52" w14:textId="77777777" w:rsidR="003632BE" w:rsidRPr="003632BE" w:rsidRDefault="003632BE" w:rsidP="003632BE">
            <w:r w:rsidRPr="003632BE">
              <w:rPr>
                <w:b/>
                <w:bCs/>
              </w:rPr>
              <w:t>147</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646A0300" w14:textId="77777777" w:rsidR="003632BE" w:rsidRPr="003632BE" w:rsidRDefault="003632BE" w:rsidP="003632BE">
            <w:r w:rsidRPr="003632BE">
              <w:t>268</w:t>
            </w:r>
          </w:p>
        </w:tc>
        <w:tc>
          <w:tcPr>
            <w:tcW w:w="0" w:type="auto"/>
            <w:tcBorders>
              <w:top w:val="single" w:sz="6" w:space="0" w:color="DDDDDD"/>
            </w:tcBorders>
            <w:tcMar>
              <w:top w:w="120" w:type="dxa"/>
              <w:left w:w="120" w:type="dxa"/>
              <w:bottom w:w="120" w:type="dxa"/>
              <w:right w:w="120" w:type="dxa"/>
            </w:tcMar>
            <w:vAlign w:val="center"/>
            <w:hideMark/>
          </w:tcPr>
          <w:p w14:paraId="5201F077" w14:textId="77777777" w:rsidR="003632BE" w:rsidRPr="003632BE" w:rsidRDefault="003632BE" w:rsidP="003632BE">
            <w:r w:rsidRPr="003632BE">
              <w:t>531</w:t>
            </w:r>
          </w:p>
        </w:tc>
      </w:tr>
      <w:tr w:rsidR="003632BE" w:rsidRPr="003632BE" w14:paraId="74FFC70D" w14:textId="77777777">
        <w:tc>
          <w:tcPr>
            <w:tcW w:w="0" w:type="auto"/>
            <w:tcBorders>
              <w:top w:val="single" w:sz="6" w:space="0" w:color="DDDDDD"/>
            </w:tcBorders>
            <w:tcMar>
              <w:top w:w="120" w:type="dxa"/>
              <w:left w:w="120" w:type="dxa"/>
              <w:bottom w:w="120" w:type="dxa"/>
              <w:right w:w="120" w:type="dxa"/>
            </w:tcMar>
            <w:vAlign w:val="center"/>
            <w:hideMark/>
          </w:tcPr>
          <w:p w14:paraId="64324F3A" w14:textId="77777777" w:rsidR="003632BE" w:rsidRPr="003632BE" w:rsidRDefault="003632BE" w:rsidP="003632BE"/>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791656C8" w14:textId="77777777" w:rsidR="003632BE" w:rsidRPr="003632BE" w:rsidRDefault="003632BE" w:rsidP="003632BE">
            <w:r w:rsidRPr="003632BE">
              <w:t>positive (76.7%)</w:t>
            </w:r>
          </w:p>
        </w:tc>
        <w:tc>
          <w:tcPr>
            <w:tcW w:w="0" w:type="auto"/>
            <w:tcBorders>
              <w:top w:val="single" w:sz="6" w:space="0" w:color="DDDDDD"/>
            </w:tcBorders>
            <w:tcMar>
              <w:top w:w="120" w:type="dxa"/>
              <w:left w:w="120" w:type="dxa"/>
              <w:bottom w:w="120" w:type="dxa"/>
              <w:right w:w="120" w:type="dxa"/>
            </w:tcMar>
            <w:vAlign w:val="center"/>
            <w:hideMark/>
          </w:tcPr>
          <w:p w14:paraId="690C3A61" w14:textId="77777777" w:rsidR="003632BE" w:rsidRPr="003632BE" w:rsidRDefault="003632BE" w:rsidP="003632BE">
            <w:r w:rsidRPr="003632BE">
              <w:t>19</w:t>
            </w:r>
          </w:p>
        </w:tc>
        <w:tc>
          <w:tcPr>
            <w:tcW w:w="0" w:type="auto"/>
            <w:tcBorders>
              <w:top w:val="single" w:sz="6" w:space="0" w:color="DDDDDD"/>
            </w:tcBorders>
            <w:tcMar>
              <w:top w:w="120" w:type="dxa"/>
              <w:left w:w="120" w:type="dxa"/>
              <w:bottom w:w="120" w:type="dxa"/>
              <w:right w:w="120" w:type="dxa"/>
            </w:tcMar>
            <w:vAlign w:val="center"/>
            <w:hideMark/>
          </w:tcPr>
          <w:p w14:paraId="152881AB" w14:textId="77777777" w:rsidR="003632BE" w:rsidRPr="003632BE" w:rsidRDefault="003632BE" w:rsidP="003632BE">
            <w:r w:rsidRPr="003632BE">
              <w:t>47</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4E033C36" w14:textId="77777777" w:rsidR="003632BE" w:rsidRPr="003632BE" w:rsidRDefault="003632BE" w:rsidP="003632BE">
            <w:r w:rsidRPr="003632BE">
              <w:rPr>
                <w:b/>
                <w:bCs/>
              </w:rPr>
              <w:t>217</w:t>
            </w:r>
          </w:p>
        </w:tc>
        <w:tc>
          <w:tcPr>
            <w:tcW w:w="0" w:type="auto"/>
            <w:tcBorders>
              <w:top w:val="single" w:sz="6" w:space="0" w:color="DDDDDD"/>
            </w:tcBorders>
            <w:tcMar>
              <w:top w:w="120" w:type="dxa"/>
              <w:left w:w="120" w:type="dxa"/>
              <w:bottom w:w="120" w:type="dxa"/>
              <w:right w:w="120" w:type="dxa"/>
            </w:tcMar>
            <w:vAlign w:val="center"/>
            <w:hideMark/>
          </w:tcPr>
          <w:p w14:paraId="6D29BB35" w14:textId="77777777" w:rsidR="003632BE" w:rsidRPr="003632BE" w:rsidRDefault="003632BE" w:rsidP="003632BE">
            <w:r w:rsidRPr="003632BE">
              <w:t>283</w:t>
            </w:r>
          </w:p>
        </w:tc>
      </w:tr>
      <w:tr w:rsidR="003632BE" w:rsidRPr="003632BE" w14:paraId="43560398" w14:textId="77777777">
        <w:tc>
          <w:tcPr>
            <w:tcW w:w="0" w:type="auto"/>
            <w:tcBorders>
              <w:top w:val="single" w:sz="6" w:space="0" w:color="DDDDDD"/>
            </w:tcBorders>
            <w:shd w:val="clear" w:color="auto" w:fill="F5F5F5"/>
            <w:tcMar>
              <w:top w:w="120" w:type="dxa"/>
              <w:left w:w="120" w:type="dxa"/>
              <w:bottom w:w="120" w:type="dxa"/>
              <w:right w:w="120" w:type="dxa"/>
            </w:tcMar>
            <w:vAlign w:val="center"/>
            <w:hideMark/>
          </w:tcPr>
          <w:p w14:paraId="13844605" w14:textId="77777777" w:rsidR="003632BE" w:rsidRPr="003632BE" w:rsidRDefault="003632BE" w:rsidP="003632BE"/>
        </w:tc>
        <w:tc>
          <w:tcPr>
            <w:tcW w:w="0" w:type="auto"/>
            <w:tcBorders>
              <w:top w:val="single" w:sz="6" w:space="0" w:color="DDDDDD"/>
              <w:right w:val="single" w:sz="18" w:space="0" w:color="000000"/>
            </w:tcBorders>
            <w:shd w:val="clear" w:color="auto" w:fill="F5F5F5"/>
            <w:tcMar>
              <w:top w:w="120" w:type="dxa"/>
              <w:left w:w="120" w:type="dxa"/>
              <w:bottom w:w="120" w:type="dxa"/>
              <w:right w:w="120" w:type="dxa"/>
            </w:tcMar>
            <w:vAlign w:val="center"/>
            <w:hideMark/>
          </w:tcPr>
          <w:p w14:paraId="547EF0E0" w14:textId="77777777" w:rsidR="003632BE" w:rsidRPr="003632BE" w:rsidRDefault="003632BE" w:rsidP="003632BE">
            <w:r w:rsidRPr="003632BE">
              <w:t>Total</w:t>
            </w:r>
          </w:p>
        </w:tc>
        <w:tc>
          <w:tcPr>
            <w:tcW w:w="0" w:type="auto"/>
            <w:tcBorders>
              <w:top w:val="single" w:sz="6" w:space="0" w:color="DDDDDD"/>
            </w:tcBorders>
            <w:shd w:val="clear" w:color="auto" w:fill="F5F5F5"/>
            <w:tcMar>
              <w:top w:w="120" w:type="dxa"/>
              <w:left w:w="120" w:type="dxa"/>
              <w:bottom w:w="120" w:type="dxa"/>
              <w:right w:w="120" w:type="dxa"/>
            </w:tcMar>
            <w:vAlign w:val="center"/>
            <w:hideMark/>
          </w:tcPr>
          <w:p w14:paraId="24EBB105" w14:textId="77777777" w:rsidR="003632BE" w:rsidRPr="003632BE" w:rsidRDefault="003632BE" w:rsidP="003632BE">
            <w:r w:rsidRPr="003632BE">
              <w:t>243</w:t>
            </w:r>
          </w:p>
        </w:tc>
        <w:tc>
          <w:tcPr>
            <w:tcW w:w="0" w:type="auto"/>
            <w:tcBorders>
              <w:top w:val="single" w:sz="6" w:space="0" w:color="DDDDDD"/>
            </w:tcBorders>
            <w:shd w:val="clear" w:color="auto" w:fill="F5F5F5"/>
            <w:tcMar>
              <w:top w:w="120" w:type="dxa"/>
              <w:left w:w="120" w:type="dxa"/>
              <w:bottom w:w="120" w:type="dxa"/>
              <w:right w:w="120" w:type="dxa"/>
            </w:tcMar>
            <w:vAlign w:val="center"/>
            <w:hideMark/>
          </w:tcPr>
          <w:p w14:paraId="00F2D906" w14:textId="77777777" w:rsidR="003632BE" w:rsidRPr="003632BE" w:rsidRDefault="003632BE" w:rsidP="003632BE">
            <w:r w:rsidRPr="003632BE">
              <w:t>250</w:t>
            </w:r>
          </w:p>
        </w:tc>
        <w:tc>
          <w:tcPr>
            <w:tcW w:w="0" w:type="auto"/>
            <w:tcBorders>
              <w:top w:val="single" w:sz="6" w:space="0" w:color="DDDDDD"/>
              <w:right w:val="single" w:sz="18" w:space="0" w:color="000000"/>
            </w:tcBorders>
            <w:shd w:val="clear" w:color="auto" w:fill="F5F5F5"/>
            <w:tcMar>
              <w:top w:w="120" w:type="dxa"/>
              <w:left w:w="120" w:type="dxa"/>
              <w:bottom w:w="120" w:type="dxa"/>
              <w:right w:w="120" w:type="dxa"/>
            </w:tcMar>
            <w:vAlign w:val="center"/>
            <w:hideMark/>
          </w:tcPr>
          <w:p w14:paraId="7F7C643D" w14:textId="77777777" w:rsidR="003632BE" w:rsidRPr="003632BE" w:rsidRDefault="003632BE" w:rsidP="003632BE">
            <w:r w:rsidRPr="003632BE">
              <w:t>572</w:t>
            </w:r>
          </w:p>
        </w:tc>
        <w:tc>
          <w:tcPr>
            <w:tcW w:w="0" w:type="auto"/>
            <w:tcBorders>
              <w:top w:val="single" w:sz="6" w:space="0" w:color="DDDDDD"/>
            </w:tcBorders>
            <w:shd w:val="clear" w:color="auto" w:fill="F5F5F5"/>
            <w:tcMar>
              <w:top w:w="120" w:type="dxa"/>
              <w:left w:w="120" w:type="dxa"/>
              <w:bottom w:w="120" w:type="dxa"/>
              <w:right w:w="120" w:type="dxa"/>
            </w:tcMar>
            <w:vAlign w:val="center"/>
            <w:hideMark/>
          </w:tcPr>
          <w:p w14:paraId="621E66AE" w14:textId="77777777" w:rsidR="003632BE" w:rsidRPr="003632BE" w:rsidRDefault="003632BE" w:rsidP="003632BE">
            <w:r w:rsidRPr="003632BE">
              <w:t>1065</w:t>
            </w:r>
          </w:p>
        </w:tc>
      </w:tr>
      <w:tr w:rsidR="003632BE" w:rsidRPr="003632BE" w14:paraId="05B2B761" w14:textId="77777777">
        <w:trPr>
          <w:tblHeader/>
        </w:trPr>
        <w:tc>
          <w:tcPr>
            <w:tcW w:w="0" w:type="auto"/>
            <w:tcBorders>
              <w:top w:val="single" w:sz="6" w:space="0" w:color="DDDDDD"/>
              <w:bottom w:val="single" w:sz="12" w:space="0" w:color="DDDDDD"/>
            </w:tcBorders>
            <w:tcMar>
              <w:top w:w="120" w:type="dxa"/>
              <w:left w:w="120" w:type="dxa"/>
              <w:bottom w:w="120" w:type="dxa"/>
              <w:right w:w="120" w:type="dxa"/>
            </w:tcMar>
            <w:vAlign w:val="bottom"/>
            <w:hideMark/>
          </w:tcPr>
          <w:p w14:paraId="55D4A4A6" w14:textId="77777777" w:rsidR="003632BE" w:rsidRPr="003632BE" w:rsidRDefault="003632BE" w:rsidP="003632BE"/>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p w14:paraId="59BD6A9D" w14:textId="77777777" w:rsidR="003632BE" w:rsidRPr="003632BE" w:rsidRDefault="003632BE" w:rsidP="003632BE"/>
        </w:tc>
        <w:tc>
          <w:tcPr>
            <w:tcW w:w="0" w:type="auto"/>
            <w:gridSpan w:val="3"/>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p w14:paraId="52B001F8" w14:textId="77777777" w:rsidR="003632BE" w:rsidRPr="003632BE" w:rsidRDefault="003632BE" w:rsidP="003632BE">
            <w:pPr>
              <w:rPr>
                <w:b/>
                <w:bCs/>
              </w:rPr>
            </w:pPr>
            <w:proofErr w:type="spellStart"/>
            <w:r w:rsidRPr="003632BE">
              <w:rPr>
                <w:b/>
                <w:bCs/>
              </w:rPr>
              <w:t>FinBERT</w:t>
            </w:r>
            <w:proofErr w:type="spellEnd"/>
          </w:p>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p w14:paraId="45486760" w14:textId="77777777" w:rsidR="003632BE" w:rsidRPr="003632BE" w:rsidRDefault="003632BE" w:rsidP="003632BE">
            <w:pPr>
              <w:rPr>
                <w:b/>
                <w:bCs/>
              </w:rPr>
            </w:pPr>
          </w:p>
        </w:tc>
      </w:tr>
      <w:tr w:rsidR="003632BE" w:rsidRPr="003632BE" w14:paraId="581F321F" w14:textId="77777777">
        <w:trPr>
          <w:tblHeader/>
        </w:trPr>
        <w:tc>
          <w:tcPr>
            <w:tcW w:w="0" w:type="auto"/>
            <w:tcBorders>
              <w:top w:val="single" w:sz="6" w:space="0" w:color="DDDDDD"/>
              <w:bottom w:val="single" w:sz="12" w:space="0" w:color="DDDDDD"/>
            </w:tcBorders>
            <w:tcMar>
              <w:top w:w="120" w:type="dxa"/>
              <w:left w:w="120" w:type="dxa"/>
              <w:bottom w:w="120" w:type="dxa"/>
              <w:right w:w="120" w:type="dxa"/>
            </w:tcMar>
            <w:vAlign w:val="bottom"/>
            <w:hideMark/>
          </w:tcPr>
          <w:p w14:paraId="3431AE20" w14:textId="77777777" w:rsidR="003632BE" w:rsidRPr="003632BE" w:rsidRDefault="003632BE" w:rsidP="003632BE"/>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p w14:paraId="70F1C9B4" w14:textId="77777777" w:rsidR="003632BE" w:rsidRPr="003632BE" w:rsidRDefault="003632BE" w:rsidP="003632BE"/>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923"/>
            </w:tblGrid>
            <w:tr w:rsidR="003632BE" w:rsidRPr="003632BE" w14:paraId="0C59B04C" w14:textId="77777777">
              <w:trPr>
                <w:jc w:val="center"/>
              </w:trPr>
              <w:tc>
                <w:tcPr>
                  <w:tcW w:w="0" w:type="auto"/>
                  <w:tcMar>
                    <w:top w:w="0" w:type="dxa"/>
                    <w:left w:w="0" w:type="dxa"/>
                    <w:bottom w:w="0" w:type="dxa"/>
                    <w:right w:w="0" w:type="dxa"/>
                  </w:tcMar>
                  <w:vAlign w:val="center"/>
                  <w:hideMark/>
                </w:tcPr>
                <w:p w14:paraId="06D3F48E" w14:textId="77777777" w:rsidR="003632BE" w:rsidRPr="003632BE" w:rsidRDefault="003632BE" w:rsidP="003632BE">
                  <w:pPr>
                    <w:rPr>
                      <w:b/>
                      <w:bCs/>
                    </w:rPr>
                  </w:pPr>
                  <w:r w:rsidRPr="003632BE">
                    <w:rPr>
                      <w:b/>
                      <w:bCs/>
                    </w:rPr>
                    <w:t>negative</w:t>
                  </w:r>
                </w:p>
              </w:tc>
            </w:tr>
            <w:tr w:rsidR="003632BE" w:rsidRPr="003632BE" w14:paraId="42D4634A" w14:textId="77777777">
              <w:trPr>
                <w:jc w:val="center"/>
              </w:trPr>
              <w:tc>
                <w:tcPr>
                  <w:tcW w:w="0" w:type="auto"/>
                  <w:tcMar>
                    <w:top w:w="0" w:type="dxa"/>
                    <w:left w:w="0" w:type="dxa"/>
                    <w:bottom w:w="0" w:type="dxa"/>
                    <w:right w:w="0" w:type="dxa"/>
                  </w:tcMar>
                  <w:vAlign w:val="center"/>
                  <w:hideMark/>
                </w:tcPr>
                <w:p w14:paraId="67CD1CBD" w14:textId="77777777" w:rsidR="003632BE" w:rsidRPr="003632BE" w:rsidRDefault="003632BE" w:rsidP="003632BE">
                  <w:pPr>
                    <w:rPr>
                      <w:b/>
                      <w:bCs/>
                    </w:rPr>
                  </w:pPr>
                  <w:r w:rsidRPr="003632BE">
                    <w:rPr>
                      <w:b/>
                      <w:bCs/>
                    </w:rPr>
                    <w:t>(47.4%)</w:t>
                  </w:r>
                </w:p>
              </w:tc>
            </w:tr>
          </w:tbl>
          <w:p w14:paraId="68F1E58C" w14:textId="77777777" w:rsidR="003632BE" w:rsidRPr="003632BE" w:rsidRDefault="003632BE" w:rsidP="003632BE">
            <w:pPr>
              <w:rPr>
                <w:b/>
                <w:bCs/>
              </w:rPr>
            </w:pPr>
          </w:p>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800"/>
            </w:tblGrid>
            <w:tr w:rsidR="003632BE" w:rsidRPr="003632BE" w14:paraId="55E4134C" w14:textId="77777777">
              <w:trPr>
                <w:jc w:val="center"/>
              </w:trPr>
              <w:tc>
                <w:tcPr>
                  <w:tcW w:w="0" w:type="auto"/>
                  <w:tcMar>
                    <w:top w:w="0" w:type="dxa"/>
                    <w:left w:w="0" w:type="dxa"/>
                    <w:bottom w:w="0" w:type="dxa"/>
                    <w:right w:w="0" w:type="dxa"/>
                  </w:tcMar>
                  <w:vAlign w:val="center"/>
                  <w:hideMark/>
                </w:tcPr>
                <w:p w14:paraId="230019A2" w14:textId="77777777" w:rsidR="003632BE" w:rsidRPr="003632BE" w:rsidRDefault="003632BE" w:rsidP="003632BE">
                  <w:pPr>
                    <w:rPr>
                      <w:b/>
                      <w:bCs/>
                    </w:rPr>
                  </w:pPr>
                  <w:r w:rsidRPr="003632BE">
                    <w:rPr>
                      <w:b/>
                      <w:bCs/>
                    </w:rPr>
                    <w:t>neutral</w:t>
                  </w:r>
                </w:p>
              </w:tc>
            </w:tr>
            <w:tr w:rsidR="003632BE" w:rsidRPr="003632BE" w14:paraId="0D758609" w14:textId="77777777">
              <w:trPr>
                <w:jc w:val="center"/>
              </w:trPr>
              <w:tc>
                <w:tcPr>
                  <w:tcW w:w="0" w:type="auto"/>
                  <w:tcMar>
                    <w:top w:w="0" w:type="dxa"/>
                    <w:left w:w="0" w:type="dxa"/>
                    <w:bottom w:w="0" w:type="dxa"/>
                    <w:right w:w="0" w:type="dxa"/>
                  </w:tcMar>
                  <w:vAlign w:val="center"/>
                  <w:hideMark/>
                </w:tcPr>
                <w:p w14:paraId="29C53456" w14:textId="77777777" w:rsidR="003632BE" w:rsidRPr="003632BE" w:rsidRDefault="003632BE" w:rsidP="003632BE">
                  <w:pPr>
                    <w:rPr>
                      <w:b/>
                      <w:bCs/>
                    </w:rPr>
                  </w:pPr>
                  <w:r w:rsidRPr="003632BE">
                    <w:rPr>
                      <w:b/>
                      <w:bCs/>
                    </w:rPr>
                    <w:t>(78.2%)</w:t>
                  </w:r>
                </w:p>
              </w:tc>
            </w:tr>
          </w:tbl>
          <w:p w14:paraId="70A3C2FC" w14:textId="77777777" w:rsidR="003632BE" w:rsidRPr="003632BE" w:rsidRDefault="003632BE" w:rsidP="003632BE">
            <w:pPr>
              <w:rPr>
                <w:b/>
                <w:bCs/>
              </w:rPr>
            </w:pPr>
          </w:p>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865"/>
            </w:tblGrid>
            <w:tr w:rsidR="003632BE" w:rsidRPr="003632BE" w14:paraId="1903AFD0" w14:textId="77777777">
              <w:trPr>
                <w:jc w:val="center"/>
              </w:trPr>
              <w:tc>
                <w:tcPr>
                  <w:tcW w:w="0" w:type="auto"/>
                  <w:tcMar>
                    <w:top w:w="0" w:type="dxa"/>
                    <w:left w:w="0" w:type="dxa"/>
                    <w:bottom w:w="0" w:type="dxa"/>
                    <w:right w:w="0" w:type="dxa"/>
                  </w:tcMar>
                  <w:vAlign w:val="center"/>
                  <w:hideMark/>
                </w:tcPr>
                <w:p w14:paraId="557C34D5" w14:textId="77777777" w:rsidR="003632BE" w:rsidRPr="003632BE" w:rsidRDefault="003632BE" w:rsidP="003632BE">
                  <w:pPr>
                    <w:rPr>
                      <w:b/>
                      <w:bCs/>
                    </w:rPr>
                  </w:pPr>
                  <w:r w:rsidRPr="003632BE">
                    <w:rPr>
                      <w:b/>
                      <w:bCs/>
                    </w:rPr>
                    <w:t>positive</w:t>
                  </w:r>
                </w:p>
              </w:tc>
            </w:tr>
            <w:tr w:rsidR="003632BE" w:rsidRPr="003632BE" w14:paraId="6E9F2838" w14:textId="77777777">
              <w:trPr>
                <w:jc w:val="center"/>
              </w:trPr>
              <w:tc>
                <w:tcPr>
                  <w:tcW w:w="0" w:type="auto"/>
                  <w:tcMar>
                    <w:top w:w="0" w:type="dxa"/>
                    <w:left w:w="0" w:type="dxa"/>
                    <w:bottom w:w="0" w:type="dxa"/>
                    <w:right w:w="0" w:type="dxa"/>
                  </w:tcMar>
                  <w:vAlign w:val="center"/>
                  <w:hideMark/>
                </w:tcPr>
                <w:p w14:paraId="3D7C8FA3" w14:textId="77777777" w:rsidR="003632BE" w:rsidRPr="003632BE" w:rsidRDefault="003632BE" w:rsidP="003632BE">
                  <w:pPr>
                    <w:rPr>
                      <w:b/>
                      <w:bCs/>
                    </w:rPr>
                  </w:pPr>
                  <w:r w:rsidRPr="003632BE">
                    <w:rPr>
                      <w:b/>
                      <w:bCs/>
                    </w:rPr>
                    <w:t>(58.8%)</w:t>
                  </w:r>
                </w:p>
              </w:tc>
            </w:tr>
          </w:tbl>
          <w:p w14:paraId="6AD6DB89" w14:textId="77777777" w:rsidR="003632BE" w:rsidRPr="003632BE" w:rsidRDefault="003632BE" w:rsidP="003632BE">
            <w:pPr>
              <w:rPr>
                <w:b/>
                <w:bCs/>
              </w:rPr>
            </w:pPr>
          </w:p>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529"/>
            </w:tblGrid>
            <w:tr w:rsidR="003632BE" w:rsidRPr="003632BE" w14:paraId="553BBDB0" w14:textId="77777777">
              <w:trPr>
                <w:jc w:val="center"/>
              </w:trPr>
              <w:tc>
                <w:tcPr>
                  <w:tcW w:w="0" w:type="auto"/>
                  <w:tcMar>
                    <w:top w:w="0" w:type="dxa"/>
                    <w:left w:w="0" w:type="dxa"/>
                    <w:bottom w:w="0" w:type="dxa"/>
                    <w:right w:w="0" w:type="dxa"/>
                  </w:tcMar>
                  <w:vAlign w:val="center"/>
                  <w:hideMark/>
                </w:tcPr>
                <w:p w14:paraId="4FB105E3" w14:textId="77777777" w:rsidR="003632BE" w:rsidRPr="003632BE" w:rsidRDefault="003632BE" w:rsidP="003632BE">
                  <w:pPr>
                    <w:rPr>
                      <w:b/>
                      <w:bCs/>
                    </w:rPr>
                  </w:pPr>
                  <w:r w:rsidRPr="003632BE">
                    <w:rPr>
                      <w:b/>
                      <w:bCs/>
                    </w:rPr>
                    <w:t>Total</w:t>
                  </w:r>
                </w:p>
              </w:tc>
            </w:tr>
          </w:tbl>
          <w:p w14:paraId="6FE8FC2D" w14:textId="77777777" w:rsidR="003632BE" w:rsidRPr="003632BE" w:rsidRDefault="003632BE" w:rsidP="003632BE">
            <w:pPr>
              <w:rPr>
                <w:b/>
                <w:bCs/>
              </w:rPr>
            </w:pPr>
          </w:p>
        </w:tc>
      </w:tr>
      <w:tr w:rsidR="003632BE" w:rsidRPr="003632BE" w14:paraId="7D215931" w14:textId="77777777">
        <w:tc>
          <w:tcPr>
            <w:tcW w:w="0" w:type="auto"/>
            <w:tcBorders>
              <w:top w:val="single" w:sz="6" w:space="0" w:color="DDDDDD"/>
            </w:tcBorders>
            <w:tcMar>
              <w:top w:w="120" w:type="dxa"/>
              <w:left w:w="120" w:type="dxa"/>
              <w:bottom w:w="120" w:type="dxa"/>
              <w:right w:w="120" w:type="dxa"/>
            </w:tcMar>
            <w:vAlign w:val="center"/>
            <w:hideMark/>
          </w:tcPr>
          <w:p w14:paraId="3FD2BF21" w14:textId="77777777" w:rsidR="003632BE" w:rsidRPr="003632BE" w:rsidRDefault="003632BE" w:rsidP="003632BE">
            <w:r w:rsidRPr="003632BE">
              <w:t>Truth</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12FB3619" w14:textId="77777777" w:rsidR="003632BE" w:rsidRPr="003632BE" w:rsidRDefault="003632BE" w:rsidP="003632BE">
            <w:r w:rsidRPr="003632BE">
              <w:t>negative (82.5%)</w:t>
            </w:r>
          </w:p>
        </w:tc>
        <w:tc>
          <w:tcPr>
            <w:tcW w:w="0" w:type="auto"/>
            <w:tcBorders>
              <w:top w:val="single" w:sz="6" w:space="0" w:color="DDDDDD"/>
            </w:tcBorders>
            <w:tcMar>
              <w:top w:w="120" w:type="dxa"/>
              <w:left w:w="120" w:type="dxa"/>
              <w:bottom w:w="120" w:type="dxa"/>
              <w:right w:w="120" w:type="dxa"/>
            </w:tcMar>
            <w:vAlign w:val="center"/>
            <w:hideMark/>
          </w:tcPr>
          <w:p w14:paraId="4A572024" w14:textId="77777777" w:rsidR="003632BE" w:rsidRPr="003632BE" w:rsidRDefault="003632BE" w:rsidP="003632BE">
            <w:r w:rsidRPr="003632BE">
              <w:rPr>
                <w:b/>
                <w:bCs/>
              </w:rPr>
              <w:t>207</w:t>
            </w:r>
          </w:p>
        </w:tc>
        <w:tc>
          <w:tcPr>
            <w:tcW w:w="0" w:type="auto"/>
            <w:tcBorders>
              <w:top w:val="single" w:sz="6" w:space="0" w:color="DDDDDD"/>
            </w:tcBorders>
            <w:tcMar>
              <w:top w:w="120" w:type="dxa"/>
              <w:left w:w="120" w:type="dxa"/>
              <w:bottom w:w="120" w:type="dxa"/>
              <w:right w:w="120" w:type="dxa"/>
            </w:tcMar>
            <w:vAlign w:val="center"/>
            <w:hideMark/>
          </w:tcPr>
          <w:p w14:paraId="0B78F4BA" w14:textId="77777777" w:rsidR="003632BE" w:rsidRPr="003632BE" w:rsidRDefault="003632BE" w:rsidP="003632BE">
            <w:r w:rsidRPr="003632BE">
              <w:t>25</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3A512969" w14:textId="77777777" w:rsidR="003632BE" w:rsidRPr="003632BE" w:rsidRDefault="003632BE" w:rsidP="003632BE">
            <w:r w:rsidRPr="003632BE">
              <w:t>19</w:t>
            </w:r>
          </w:p>
        </w:tc>
        <w:tc>
          <w:tcPr>
            <w:tcW w:w="0" w:type="auto"/>
            <w:tcBorders>
              <w:top w:val="single" w:sz="6" w:space="0" w:color="DDDDDD"/>
            </w:tcBorders>
            <w:tcMar>
              <w:top w:w="120" w:type="dxa"/>
              <w:left w:w="120" w:type="dxa"/>
              <w:bottom w:w="120" w:type="dxa"/>
              <w:right w:w="120" w:type="dxa"/>
            </w:tcMar>
            <w:vAlign w:val="center"/>
            <w:hideMark/>
          </w:tcPr>
          <w:p w14:paraId="56AE7091" w14:textId="77777777" w:rsidR="003632BE" w:rsidRPr="003632BE" w:rsidRDefault="003632BE" w:rsidP="003632BE">
            <w:r w:rsidRPr="003632BE">
              <w:t>251</w:t>
            </w:r>
          </w:p>
        </w:tc>
      </w:tr>
      <w:tr w:rsidR="003632BE" w:rsidRPr="003632BE" w14:paraId="33C8E6B7" w14:textId="77777777">
        <w:tc>
          <w:tcPr>
            <w:tcW w:w="0" w:type="auto"/>
            <w:tcBorders>
              <w:top w:val="single" w:sz="6" w:space="0" w:color="DDDDDD"/>
            </w:tcBorders>
            <w:tcMar>
              <w:top w:w="120" w:type="dxa"/>
              <w:left w:w="120" w:type="dxa"/>
              <w:bottom w:w="120" w:type="dxa"/>
              <w:right w:w="120" w:type="dxa"/>
            </w:tcMar>
            <w:vAlign w:val="center"/>
            <w:hideMark/>
          </w:tcPr>
          <w:p w14:paraId="0367A9EF" w14:textId="77777777" w:rsidR="003632BE" w:rsidRPr="003632BE" w:rsidRDefault="003632BE" w:rsidP="003632BE"/>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3AEEF67D" w14:textId="77777777" w:rsidR="003632BE" w:rsidRPr="003632BE" w:rsidRDefault="003632BE" w:rsidP="003632BE">
            <w:r w:rsidRPr="003632BE">
              <w:t>neutral (45.4%)</w:t>
            </w:r>
          </w:p>
        </w:tc>
        <w:tc>
          <w:tcPr>
            <w:tcW w:w="0" w:type="auto"/>
            <w:tcBorders>
              <w:top w:val="single" w:sz="6" w:space="0" w:color="DDDDDD"/>
            </w:tcBorders>
            <w:tcMar>
              <w:top w:w="120" w:type="dxa"/>
              <w:left w:w="120" w:type="dxa"/>
              <w:bottom w:w="120" w:type="dxa"/>
              <w:right w:w="120" w:type="dxa"/>
            </w:tcMar>
            <w:vAlign w:val="center"/>
            <w:hideMark/>
          </w:tcPr>
          <w:p w14:paraId="7C72E9E1" w14:textId="77777777" w:rsidR="003632BE" w:rsidRPr="003632BE" w:rsidRDefault="003632BE" w:rsidP="003632BE">
            <w:r w:rsidRPr="003632BE">
              <w:t>177</w:t>
            </w:r>
          </w:p>
        </w:tc>
        <w:tc>
          <w:tcPr>
            <w:tcW w:w="0" w:type="auto"/>
            <w:tcBorders>
              <w:top w:val="single" w:sz="6" w:space="0" w:color="DDDDDD"/>
            </w:tcBorders>
            <w:tcMar>
              <w:top w:w="120" w:type="dxa"/>
              <w:left w:w="120" w:type="dxa"/>
              <w:bottom w:w="120" w:type="dxa"/>
              <w:right w:w="120" w:type="dxa"/>
            </w:tcMar>
            <w:vAlign w:val="center"/>
            <w:hideMark/>
          </w:tcPr>
          <w:p w14:paraId="5F836016" w14:textId="77777777" w:rsidR="003632BE" w:rsidRPr="003632BE" w:rsidRDefault="003632BE" w:rsidP="003632BE">
            <w:r w:rsidRPr="003632BE">
              <w:rPr>
                <w:b/>
                <w:bCs/>
              </w:rPr>
              <w:t>241</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4E0A15DE" w14:textId="77777777" w:rsidR="003632BE" w:rsidRPr="003632BE" w:rsidRDefault="003632BE" w:rsidP="003632BE">
            <w:r w:rsidRPr="003632BE">
              <w:t>113</w:t>
            </w:r>
          </w:p>
        </w:tc>
        <w:tc>
          <w:tcPr>
            <w:tcW w:w="0" w:type="auto"/>
            <w:tcBorders>
              <w:top w:val="single" w:sz="6" w:space="0" w:color="DDDDDD"/>
            </w:tcBorders>
            <w:tcMar>
              <w:top w:w="120" w:type="dxa"/>
              <w:left w:w="120" w:type="dxa"/>
              <w:bottom w:w="120" w:type="dxa"/>
              <w:right w:w="120" w:type="dxa"/>
            </w:tcMar>
            <w:vAlign w:val="center"/>
            <w:hideMark/>
          </w:tcPr>
          <w:p w14:paraId="73F5B25F" w14:textId="77777777" w:rsidR="003632BE" w:rsidRPr="003632BE" w:rsidRDefault="003632BE" w:rsidP="003632BE">
            <w:r w:rsidRPr="003632BE">
              <w:t>531</w:t>
            </w:r>
          </w:p>
        </w:tc>
      </w:tr>
      <w:tr w:rsidR="003632BE" w:rsidRPr="003632BE" w14:paraId="3E325393" w14:textId="77777777">
        <w:tc>
          <w:tcPr>
            <w:tcW w:w="0" w:type="auto"/>
            <w:tcBorders>
              <w:top w:val="single" w:sz="6" w:space="0" w:color="DDDDDD"/>
            </w:tcBorders>
            <w:tcMar>
              <w:top w:w="120" w:type="dxa"/>
              <w:left w:w="120" w:type="dxa"/>
              <w:bottom w:w="120" w:type="dxa"/>
              <w:right w:w="120" w:type="dxa"/>
            </w:tcMar>
            <w:vAlign w:val="center"/>
            <w:hideMark/>
          </w:tcPr>
          <w:p w14:paraId="3D47CC3A" w14:textId="77777777" w:rsidR="003632BE" w:rsidRPr="003632BE" w:rsidRDefault="003632BE" w:rsidP="003632BE"/>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0672AD6F" w14:textId="77777777" w:rsidR="003632BE" w:rsidRPr="003632BE" w:rsidRDefault="003632BE" w:rsidP="003632BE">
            <w:r w:rsidRPr="003632BE">
              <w:t>positive (66.4%)</w:t>
            </w:r>
          </w:p>
        </w:tc>
        <w:tc>
          <w:tcPr>
            <w:tcW w:w="0" w:type="auto"/>
            <w:tcBorders>
              <w:top w:val="single" w:sz="6" w:space="0" w:color="DDDDDD"/>
            </w:tcBorders>
            <w:tcMar>
              <w:top w:w="120" w:type="dxa"/>
              <w:left w:w="120" w:type="dxa"/>
              <w:bottom w:w="120" w:type="dxa"/>
              <w:right w:w="120" w:type="dxa"/>
            </w:tcMar>
            <w:vAlign w:val="center"/>
            <w:hideMark/>
          </w:tcPr>
          <w:p w14:paraId="78741F10" w14:textId="77777777" w:rsidR="003632BE" w:rsidRPr="003632BE" w:rsidRDefault="003632BE" w:rsidP="003632BE">
            <w:r w:rsidRPr="003632BE">
              <w:t>53</w:t>
            </w:r>
          </w:p>
        </w:tc>
        <w:tc>
          <w:tcPr>
            <w:tcW w:w="0" w:type="auto"/>
            <w:tcBorders>
              <w:top w:val="single" w:sz="6" w:space="0" w:color="DDDDDD"/>
            </w:tcBorders>
            <w:tcMar>
              <w:top w:w="120" w:type="dxa"/>
              <w:left w:w="120" w:type="dxa"/>
              <w:bottom w:w="120" w:type="dxa"/>
              <w:right w:w="120" w:type="dxa"/>
            </w:tcMar>
            <w:vAlign w:val="center"/>
            <w:hideMark/>
          </w:tcPr>
          <w:p w14:paraId="19D89B4E" w14:textId="77777777" w:rsidR="003632BE" w:rsidRPr="003632BE" w:rsidRDefault="003632BE" w:rsidP="003632BE">
            <w:r w:rsidRPr="003632BE">
              <w:t>42</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25CAC7CB" w14:textId="77777777" w:rsidR="003632BE" w:rsidRPr="003632BE" w:rsidRDefault="003632BE" w:rsidP="003632BE">
            <w:r w:rsidRPr="003632BE">
              <w:rPr>
                <w:b/>
                <w:bCs/>
              </w:rPr>
              <w:t>188</w:t>
            </w:r>
          </w:p>
        </w:tc>
        <w:tc>
          <w:tcPr>
            <w:tcW w:w="0" w:type="auto"/>
            <w:tcBorders>
              <w:top w:val="single" w:sz="6" w:space="0" w:color="DDDDDD"/>
            </w:tcBorders>
            <w:tcMar>
              <w:top w:w="120" w:type="dxa"/>
              <w:left w:w="120" w:type="dxa"/>
              <w:bottom w:w="120" w:type="dxa"/>
              <w:right w:w="120" w:type="dxa"/>
            </w:tcMar>
            <w:vAlign w:val="center"/>
            <w:hideMark/>
          </w:tcPr>
          <w:p w14:paraId="6F5F8305" w14:textId="77777777" w:rsidR="003632BE" w:rsidRPr="003632BE" w:rsidRDefault="003632BE" w:rsidP="003632BE">
            <w:r w:rsidRPr="003632BE">
              <w:t>283</w:t>
            </w:r>
          </w:p>
        </w:tc>
      </w:tr>
      <w:tr w:rsidR="003632BE" w:rsidRPr="003632BE" w14:paraId="4AAF8982" w14:textId="77777777">
        <w:tc>
          <w:tcPr>
            <w:tcW w:w="0" w:type="auto"/>
            <w:tcBorders>
              <w:top w:val="single" w:sz="6" w:space="0" w:color="DDDDDD"/>
            </w:tcBorders>
            <w:shd w:val="clear" w:color="auto" w:fill="F5F5F5"/>
            <w:tcMar>
              <w:top w:w="120" w:type="dxa"/>
              <w:left w:w="120" w:type="dxa"/>
              <w:bottom w:w="120" w:type="dxa"/>
              <w:right w:w="120" w:type="dxa"/>
            </w:tcMar>
            <w:vAlign w:val="center"/>
            <w:hideMark/>
          </w:tcPr>
          <w:p w14:paraId="2BBCF284" w14:textId="77777777" w:rsidR="003632BE" w:rsidRPr="003632BE" w:rsidRDefault="003632BE" w:rsidP="003632BE"/>
        </w:tc>
        <w:tc>
          <w:tcPr>
            <w:tcW w:w="0" w:type="auto"/>
            <w:tcBorders>
              <w:top w:val="single" w:sz="6" w:space="0" w:color="DDDDDD"/>
              <w:right w:val="single" w:sz="18" w:space="0" w:color="000000"/>
            </w:tcBorders>
            <w:shd w:val="clear" w:color="auto" w:fill="F5F5F5"/>
            <w:tcMar>
              <w:top w:w="120" w:type="dxa"/>
              <w:left w:w="120" w:type="dxa"/>
              <w:bottom w:w="120" w:type="dxa"/>
              <w:right w:w="120" w:type="dxa"/>
            </w:tcMar>
            <w:vAlign w:val="center"/>
            <w:hideMark/>
          </w:tcPr>
          <w:p w14:paraId="0AB069B4" w14:textId="77777777" w:rsidR="003632BE" w:rsidRPr="003632BE" w:rsidRDefault="003632BE" w:rsidP="003632BE">
            <w:r w:rsidRPr="003632BE">
              <w:t>Total</w:t>
            </w:r>
          </w:p>
        </w:tc>
        <w:tc>
          <w:tcPr>
            <w:tcW w:w="0" w:type="auto"/>
            <w:tcBorders>
              <w:top w:val="single" w:sz="6" w:space="0" w:color="DDDDDD"/>
            </w:tcBorders>
            <w:shd w:val="clear" w:color="auto" w:fill="F5F5F5"/>
            <w:tcMar>
              <w:top w:w="120" w:type="dxa"/>
              <w:left w:w="120" w:type="dxa"/>
              <w:bottom w:w="120" w:type="dxa"/>
              <w:right w:w="120" w:type="dxa"/>
            </w:tcMar>
            <w:vAlign w:val="center"/>
            <w:hideMark/>
          </w:tcPr>
          <w:p w14:paraId="2CD3D743" w14:textId="77777777" w:rsidR="003632BE" w:rsidRPr="003632BE" w:rsidRDefault="003632BE" w:rsidP="003632BE">
            <w:r w:rsidRPr="003632BE">
              <w:t>437</w:t>
            </w:r>
          </w:p>
        </w:tc>
        <w:tc>
          <w:tcPr>
            <w:tcW w:w="0" w:type="auto"/>
            <w:tcBorders>
              <w:top w:val="single" w:sz="6" w:space="0" w:color="DDDDDD"/>
            </w:tcBorders>
            <w:shd w:val="clear" w:color="auto" w:fill="F5F5F5"/>
            <w:tcMar>
              <w:top w:w="120" w:type="dxa"/>
              <w:left w:w="120" w:type="dxa"/>
              <w:bottom w:w="120" w:type="dxa"/>
              <w:right w:w="120" w:type="dxa"/>
            </w:tcMar>
            <w:vAlign w:val="center"/>
            <w:hideMark/>
          </w:tcPr>
          <w:p w14:paraId="55F5FA02" w14:textId="77777777" w:rsidR="003632BE" w:rsidRPr="003632BE" w:rsidRDefault="003632BE" w:rsidP="003632BE">
            <w:r w:rsidRPr="003632BE">
              <w:t>308</w:t>
            </w:r>
          </w:p>
        </w:tc>
        <w:tc>
          <w:tcPr>
            <w:tcW w:w="0" w:type="auto"/>
            <w:tcBorders>
              <w:top w:val="single" w:sz="6" w:space="0" w:color="DDDDDD"/>
              <w:right w:val="single" w:sz="18" w:space="0" w:color="000000"/>
            </w:tcBorders>
            <w:shd w:val="clear" w:color="auto" w:fill="F5F5F5"/>
            <w:tcMar>
              <w:top w:w="120" w:type="dxa"/>
              <w:left w:w="120" w:type="dxa"/>
              <w:bottom w:w="120" w:type="dxa"/>
              <w:right w:w="120" w:type="dxa"/>
            </w:tcMar>
            <w:vAlign w:val="center"/>
            <w:hideMark/>
          </w:tcPr>
          <w:p w14:paraId="5885024E" w14:textId="77777777" w:rsidR="003632BE" w:rsidRPr="003632BE" w:rsidRDefault="003632BE" w:rsidP="003632BE">
            <w:r w:rsidRPr="003632BE">
              <w:t>320</w:t>
            </w:r>
          </w:p>
        </w:tc>
        <w:tc>
          <w:tcPr>
            <w:tcW w:w="0" w:type="auto"/>
            <w:tcBorders>
              <w:top w:val="single" w:sz="6" w:space="0" w:color="DDDDDD"/>
            </w:tcBorders>
            <w:shd w:val="clear" w:color="auto" w:fill="F5F5F5"/>
            <w:tcMar>
              <w:top w:w="120" w:type="dxa"/>
              <w:left w:w="120" w:type="dxa"/>
              <w:bottom w:w="120" w:type="dxa"/>
              <w:right w:w="120" w:type="dxa"/>
            </w:tcMar>
            <w:vAlign w:val="center"/>
            <w:hideMark/>
          </w:tcPr>
          <w:p w14:paraId="01B6538A" w14:textId="77777777" w:rsidR="003632BE" w:rsidRPr="003632BE" w:rsidRDefault="003632BE" w:rsidP="003632BE">
            <w:r w:rsidRPr="003632BE">
              <w:t>1065</w:t>
            </w:r>
          </w:p>
        </w:tc>
      </w:tr>
      <w:tr w:rsidR="003632BE" w:rsidRPr="003632BE" w14:paraId="39874E8E" w14:textId="77777777">
        <w:trPr>
          <w:tblHeader/>
        </w:trPr>
        <w:tc>
          <w:tcPr>
            <w:tcW w:w="0" w:type="auto"/>
            <w:tcBorders>
              <w:top w:val="single" w:sz="6" w:space="0" w:color="DDDDDD"/>
              <w:bottom w:val="single" w:sz="12" w:space="0" w:color="DDDDDD"/>
            </w:tcBorders>
            <w:tcMar>
              <w:top w:w="120" w:type="dxa"/>
              <w:left w:w="120" w:type="dxa"/>
              <w:bottom w:w="120" w:type="dxa"/>
              <w:right w:w="120" w:type="dxa"/>
            </w:tcMar>
            <w:vAlign w:val="bottom"/>
            <w:hideMark/>
          </w:tcPr>
          <w:p w14:paraId="4B3B18CB" w14:textId="77777777" w:rsidR="003632BE" w:rsidRPr="003632BE" w:rsidRDefault="003632BE" w:rsidP="003632BE"/>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p w14:paraId="3533090D" w14:textId="77777777" w:rsidR="003632BE" w:rsidRPr="003632BE" w:rsidRDefault="003632BE" w:rsidP="003632BE"/>
        </w:tc>
        <w:tc>
          <w:tcPr>
            <w:tcW w:w="0" w:type="auto"/>
            <w:gridSpan w:val="3"/>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p w14:paraId="01EF0162" w14:textId="77777777" w:rsidR="003632BE" w:rsidRPr="003632BE" w:rsidRDefault="003632BE" w:rsidP="003632BE">
            <w:pPr>
              <w:rPr>
                <w:b/>
                <w:bCs/>
              </w:rPr>
            </w:pPr>
            <w:proofErr w:type="spellStart"/>
            <w:r w:rsidRPr="003632BE">
              <w:rPr>
                <w:b/>
                <w:bCs/>
              </w:rPr>
              <w:t>FinBERT</w:t>
            </w:r>
            <w:proofErr w:type="spellEnd"/>
            <w:r w:rsidRPr="003632BE">
              <w:rPr>
                <w:b/>
                <w:bCs/>
              </w:rPr>
              <w:t>-FOMC</w:t>
            </w:r>
          </w:p>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p w14:paraId="4914AEEB" w14:textId="77777777" w:rsidR="003632BE" w:rsidRPr="003632BE" w:rsidRDefault="003632BE" w:rsidP="003632BE">
            <w:pPr>
              <w:rPr>
                <w:b/>
                <w:bCs/>
              </w:rPr>
            </w:pPr>
          </w:p>
        </w:tc>
      </w:tr>
      <w:tr w:rsidR="003632BE" w:rsidRPr="003632BE" w14:paraId="4826C1ED" w14:textId="77777777">
        <w:trPr>
          <w:tblHeader/>
        </w:trPr>
        <w:tc>
          <w:tcPr>
            <w:tcW w:w="0" w:type="auto"/>
            <w:tcBorders>
              <w:top w:val="single" w:sz="6" w:space="0" w:color="DDDDDD"/>
              <w:bottom w:val="single" w:sz="12" w:space="0" w:color="DDDDDD"/>
            </w:tcBorders>
            <w:tcMar>
              <w:top w:w="120" w:type="dxa"/>
              <w:left w:w="120" w:type="dxa"/>
              <w:bottom w:w="120" w:type="dxa"/>
              <w:right w:w="120" w:type="dxa"/>
            </w:tcMar>
            <w:vAlign w:val="bottom"/>
            <w:hideMark/>
          </w:tcPr>
          <w:p w14:paraId="16DD7E9F" w14:textId="77777777" w:rsidR="003632BE" w:rsidRPr="003632BE" w:rsidRDefault="003632BE" w:rsidP="003632BE"/>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p w14:paraId="4A4F55DB" w14:textId="77777777" w:rsidR="003632BE" w:rsidRPr="003632BE" w:rsidRDefault="003632BE" w:rsidP="003632BE"/>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923"/>
            </w:tblGrid>
            <w:tr w:rsidR="003632BE" w:rsidRPr="003632BE" w14:paraId="1542CC33" w14:textId="77777777">
              <w:trPr>
                <w:jc w:val="center"/>
              </w:trPr>
              <w:tc>
                <w:tcPr>
                  <w:tcW w:w="0" w:type="auto"/>
                  <w:tcMar>
                    <w:top w:w="0" w:type="dxa"/>
                    <w:left w:w="0" w:type="dxa"/>
                    <w:bottom w:w="0" w:type="dxa"/>
                    <w:right w:w="0" w:type="dxa"/>
                  </w:tcMar>
                  <w:vAlign w:val="center"/>
                  <w:hideMark/>
                </w:tcPr>
                <w:p w14:paraId="609D7FF5" w14:textId="77777777" w:rsidR="003632BE" w:rsidRPr="003632BE" w:rsidRDefault="003632BE" w:rsidP="003632BE">
                  <w:pPr>
                    <w:rPr>
                      <w:b/>
                      <w:bCs/>
                    </w:rPr>
                  </w:pPr>
                  <w:r w:rsidRPr="003632BE">
                    <w:rPr>
                      <w:b/>
                      <w:bCs/>
                    </w:rPr>
                    <w:t>negative</w:t>
                  </w:r>
                </w:p>
              </w:tc>
            </w:tr>
            <w:tr w:rsidR="003632BE" w:rsidRPr="003632BE" w14:paraId="2B86A7EF" w14:textId="77777777">
              <w:trPr>
                <w:jc w:val="center"/>
              </w:trPr>
              <w:tc>
                <w:tcPr>
                  <w:tcW w:w="0" w:type="auto"/>
                  <w:tcMar>
                    <w:top w:w="0" w:type="dxa"/>
                    <w:left w:w="0" w:type="dxa"/>
                    <w:bottom w:w="0" w:type="dxa"/>
                    <w:right w:w="0" w:type="dxa"/>
                  </w:tcMar>
                  <w:vAlign w:val="center"/>
                  <w:hideMark/>
                </w:tcPr>
                <w:p w14:paraId="3EA06D1C" w14:textId="77777777" w:rsidR="003632BE" w:rsidRPr="003632BE" w:rsidRDefault="003632BE" w:rsidP="003632BE">
                  <w:pPr>
                    <w:rPr>
                      <w:b/>
                      <w:bCs/>
                    </w:rPr>
                  </w:pPr>
                  <w:r w:rsidRPr="003632BE">
                    <w:rPr>
                      <w:b/>
                      <w:bCs/>
                    </w:rPr>
                    <w:t>(49.4%)</w:t>
                  </w:r>
                </w:p>
              </w:tc>
            </w:tr>
          </w:tbl>
          <w:p w14:paraId="67E550B7" w14:textId="77777777" w:rsidR="003632BE" w:rsidRPr="003632BE" w:rsidRDefault="003632BE" w:rsidP="003632BE">
            <w:pPr>
              <w:rPr>
                <w:b/>
                <w:bCs/>
              </w:rPr>
            </w:pPr>
          </w:p>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800"/>
            </w:tblGrid>
            <w:tr w:rsidR="003632BE" w:rsidRPr="003632BE" w14:paraId="06D20492" w14:textId="77777777">
              <w:trPr>
                <w:jc w:val="center"/>
              </w:trPr>
              <w:tc>
                <w:tcPr>
                  <w:tcW w:w="0" w:type="auto"/>
                  <w:tcMar>
                    <w:top w:w="0" w:type="dxa"/>
                    <w:left w:w="0" w:type="dxa"/>
                    <w:bottom w:w="0" w:type="dxa"/>
                    <w:right w:w="0" w:type="dxa"/>
                  </w:tcMar>
                  <w:vAlign w:val="center"/>
                  <w:hideMark/>
                </w:tcPr>
                <w:p w14:paraId="635674F7" w14:textId="77777777" w:rsidR="003632BE" w:rsidRPr="003632BE" w:rsidRDefault="003632BE" w:rsidP="003632BE">
                  <w:pPr>
                    <w:rPr>
                      <w:b/>
                      <w:bCs/>
                    </w:rPr>
                  </w:pPr>
                  <w:r w:rsidRPr="003632BE">
                    <w:rPr>
                      <w:b/>
                      <w:bCs/>
                    </w:rPr>
                    <w:t>neutral</w:t>
                  </w:r>
                </w:p>
              </w:tc>
            </w:tr>
            <w:tr w:rsidR="003632BE" w:rsidRPr="003632BE" w14:paraId="7CCF1E21" w14:textId="77777777">
              <w:trPr>
                <w:jc w:val="center"/>
              </w:trPr>
              <w:tc>
                <w:tcPr>
                  <w:tcW w:w="0" w:type="auto"/>
                  <w:tcMar>
                    <w:top w:w="0" w:type="dxa"/>
                    <w:left w:w="0" w:type="dxa"/>
                    <w:bottom w:w="0" w:type="dxa"/>
                    <w:right w:w="0" w:type="dxa"/>
                  </w:tcMar>
                  <w:vAlign w:val="center"/>
                  <w:hideMark/>
                </w:tcPr>
                <w:p w14:paraId="42060A8A" w14:textId="77777777" w:rsidR="003632BE" w:rsidRPr="003632BE" w:rsidRDefault="003632BE" w:rsidP="003632BE">
                  <w:pPr>
                    <w:rPr>
                      <w:b/>
                      <w:bCs/>
                    </w:rPr>
                  </w:pPr>
                  <w:r w:rsidRPr="003632BE">
                    <w:rPr>
                      <w:b/>
                      <w:bCs/>
                    </w:rPr>
                    <w:t>(81.6%)</w:t>
                  </w:r>
                </w:p>
              </w:tc>
            </w:tr>
          </w:tbl>
          <w:p w14:paraId="30C3DB90" w14:textId="77777777" w:rsidR="003632BE" w:rsidRPr="003632BE" w:rsidRDefault="003632BE" w:rsidP="003632BE">
            <w:pPr>
              <w:rPr>
                <w:b/>
                <w:bCs/>
              </w:rPr>
            </w:pPr>
          </w:p>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865"/>
            </w:tblGrid>
            <w:tr w:rsidR="003632BE" w:rsidRPr="003632BE" w14:paraId="5A25156D" w14:textId="77777777">
              <w:trPr>
                <w:jc w:val="center"/>
              </w:trPr>
              <w:tc>
                <w:tcPr>
                  <w:tcW w:w="0" w:type="auto"/>
                  <w:tcMar>
                    <w:top w:w="0" w:type="dxa"/>
                    <w:left w:w="0" w:type="dxa"/>
                    <w:bottom w:w="0" w:type="dxa"/>
                    <w:right w:w="0" w:type="dxa"/>
                  </w:tcMar>
                  <w:vAlign w:val="center"/>
                  <w:hideMark/>
                </w:tcPr>
                <w:p w14:paraId="64CAFBA7" w14:textId="77777777" w:rsidR="003632BE" w:rsidRPr="003632BE" w:rsidRDefault="003632BE" w:rsidP="003632BE">
                  <w:pPr>
                    <w:rPr>
                      <w:b/>
                      <w:bCs/>
                    </w:rPr>
                  </w:pPr>
                  <w:r w:rsidRPr="003632BE">
                    <w:rPr>
                      <w:b/>
                      <w:bCs/>
                    </w:rPr>
                    <w:t>positive</w:t>
                  </w:r>
                </w:p>
              </w:tc>
            </w:tr>
            <w:tr w:rsidR="003632BE" w:rsidRPr="003632BE" w14:paraId="1D19614F" w14:textId="77777777">
              <w:trPr>
                <w:jc w:val="center"/>
              </w:trPr>
              <w:tc>
                <w:tcPr>
                  <w:tcW w:w="0" w:type="auto"/>
                  <w:tcMar>
                    <w:top w:w="0" w:type="dxa"/>
                    <w:left w:w="0" w:type="dxa"/>
                    <w:bottom w:w="0" w:type="dxa"/>
                    <w:right w:w="0" w:type="dxa"/>
                  </w:tcMar>
                  <w:vAlign w:val="center"/>
                  <w:hideMark/>
                </w:tcPr>
                <w:p w14:paraId="5BB3D5AE" w14:textId="77777777" w:rsidR="003632BE" w:rsidRPr="003632BE" w:rsidRDefault="003632BE" w:rsidP="003632BE">
                  <w:pPr>
                    <w:rPr>
                      <w:b/>
                      <w:bCs/>
                    </w:rPr>
                  </w:pPr>
                  <w:r w:rsidRPr="003632BE">
                    <w:rPr>
                      <w:b/>
                      <w:bCs/>
                    </w:rPr>
                    <w:t>(63.9%)</w:t>
                  </w:r>
                </w:p>
              </w:tc>
            </w:tr>
          </w:tbl>
          <w:p w14:paraId="71B6D928" w14:textId="77777777" w:rsidR="003632BE" w:rsidRPr="003632BE" w:rsidRDefault="003632BE" w:rsidP="003632BE">
            <w:pPr>
              <w:rPr>
                <w:b/>
                <w:bCs/>
              </w:rPr>
            </w:pPr>
          </w:p>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529"/>
            </w:tblGrid>
            <w:tr w:rsidR="003632BE" w:rsidRPr="003632BE" w14:paraId="6CF96E1D" w14:textId="77777777">
              <w:trPr>
                <w:jc w:val="center"/>
              </w:trPr>
              <w:tc>
                <w:tcPr>
                  <w:tcW w:w="0" w:type="auto"/>
                  <w:tcMar>
                    <w:top w:w="0" w:type="dxa"/>
                    <w:left w:w="0" w:type="dxa"/>
                    <w:bottom w:w="0" w:type="dxa"/>
                    <w:right w:w="0" w:type="dxa"/>
                  </w:tcMar>
                  <w:vAlign w:val="center"/>
                  <w:hideMark/>
                </w:tcPr>
                <w:p w14:paraId="0EB5BBFC" w14:textId="77777777" w:rsidR="003632BE" w:rsidRPr="003632BE" w:rsidRDefault="003632BE" w:rsidP="003632BE">
                  <w:pPr>
                    <w:rPr>
                      <w:b/>
                      <w:bCs/>
                    </w:rPr>
                  </w:pPr>
                  <w:r w:rsidRPr="003632BE">
                    <w:rPr>
                      <w:b/>
                      <w:bCs/>
                    </w:rPr>
                    <w:t>Total</w:t>
                  </w:r>
                </w:p>
              </w:tc>
            </w:tr>
          </w:tbl>
          <w:p w14:paraId="380237E3" w14:textId="77777777" w:rsidR="003632BE" w:rsidRPr="003632BE" w:rsidRDefault="003632BE" w:rsidP="003632BE">
            <w:pPr>
              <w:rPr>
                <w:b/>
                <w:bCs/>
              </w:rPr>
            </w:pPr>
          </w:p>
        </w:tc>
      </w:tr>
      <w:tr w:rsidR="003632BE" w:rsidRPr="003632BE" w14:paraId="6C1452DE" w14:textId="77777777">
        <w:tc>
          <w:tcPr>
            <w:tcW w:w="0" w:type="auto"/>
            <w:tcBorders>
              <w:top w:val="single" w:sz="6" w:space="0" w:color="DDDDDD"/>
            </w:tcBorders>
            <w:tcMar>
              <w:top w:w="120" w:type="dxa"/>
              <w:left w:w="120" w:type="dxa"/>
              <w:bottom w:w="120" w:type="dxa"/>
              <w:right w:w="120" w:type="dxa"/>
            </w:tcMar>
            <w:vAlign w:val="center"/>
            <w:hideMark/>
          </w:tcPr>
          <w:p w14:paraId="11EA7F5C" w14:textId="77777777" w:rsidR="003632BE" w:rsidRPr="003632BE" w:rsidRDefault="003632BE" w:rsidP="003632BE">
            <w:r w:rsidRPr="003632BE">
              <w:t>Truth</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6C24B33A" w14:textId="77777777" w:rsidR="003632BE" w:rsidRPr="003632BE" w:rsidRDefault="003632BE" w:rsidP="003632BE">
            <w:r w:rsidRPr="003632BE">
              <w:t>negative (83.2%)</w:t>
            </w:r>
          </w:p>
        </w:tc>
        <w:tc>
          <w:tcPr>
            <w:tcW w:w="0" w:type="auto"/>
            <w:tcBorders>
              <w:top w:val="single" w:sz="6" w:space="0" w:color="DDDDDD"/>
            </w:tcBorders>
            <w:tcMar>
              <w:top w:w="120" w:type="dxa"/>
              <w:left w:w="120" w:type="dxa"/>
              <w:bottom w:w="120" w:type="dxa"/>
              <w:right w:w="120" w:type="dxa"/>
            </w:tcMar>
            <w:vAlign w:val="center"/>
            <w:hideMark/>
          </w:tcPr>
          <w:p w14:paraId="56FCAADC" w14:textId="77777777" w:rsidR="003632BE" w:rsidRPr="003632BE" w:rsidRDefault="003632BE" w:rsidP="003632BE">
            <w:r w:rsidRPr="003632BE">
              <w:rPr>
                <w:b/>
                <w:bCs/>
              </w:rPr>
              <w:t>209</w:t>
            </w:r>
          </w:p>
        </w:tc>
        <w:tc>
          <w:tcPr>
            <w:tcW w:w="0" w:type="auto"/>
            <w:tcBorders>
              <w:top w:val="single" w:sz="6" w:space="0" w:color="DDDDDD"/>
            </w:tcBorders>
            <w:tcMar>
              <w:top w:w="120" w:type="dxa"/>
              <w:left w:w="120" w:type="dxa"/>
              <w:bottom w:w="120" w:type="dxa"/>
              <w:right w:w="120" w:type="dxa"/>
            </w:tcMar>
            <w:vAlign w:val="center"/>
            <w:hideMark/>
          </w:tcPr>
          <w:p w14:paraId="36339E40" w14:textId="77777777" w:rsidR="003632BE" w:rsidRPr="003632BE" w:rsidRDefault="003632BE" w:rsidP="003632BE">
            <w:r w:rsidRPr="003632BE">
              <w:t>29</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754ADF67" w14:textId="77777777" w:rsidR="003632BE" w:rsidRPr="003632BE" w:rsidRDefault="003632BE" w:rsidP="003632BE">
            <w:r w:rsidRPr="003632BE">
              <w:t>13</w:t>
            </w:r>
          </w:p>
        </w:tc>
        <w:tc>
          <w:tcPr>
            <w:tcW w:w="0" w:type="auto"/>
            <w:tcBorders>
              <w:top w:val="single" w:sz="6" w:space="0" w:color="DDDDDD"/>
            </w:tcBorders>
            <w:tcMar>
              <w:top w:w="120" w:type="dxa"/>
              <w:left w:w="120" w:type="dxa"/>
              <w:bottom w:w="120" w:type="dxa"/>
              <w:right w:w="120" w:type="dxa"/>
            </w:tcMar>
            <w:vAlign w:val="center"/>
            <w:hideMark/>
          </w:tcPr>
          <w:p w14:paraId="546970AC" w14:textId="77777777" w:rsidR="003632BE" w:rsidRPr="003632BE" w:rsidRDefault="003632BE" w:rsidP="003632BE">
            <w:r w:rsidRPr="003632BE">
              <w:t>251</w:t>
            </w:r>
          </w:p>
        </w:tc>
      </w:tr>
      <w:tr w:rsidR="003632BE" w:rsidRPr="003632BE" w14:paraId="68F95899" w14:textId="77777777">
        <w:tc>
          <w:tcPr>
            <w:tcW w:w="0" w:type="auto"/>
            <w:tcBorders>
              <w:top w:val="single" w:sz="6" w:space="0" w:color="DDDDDD"/>
            </w:tcBorders>
            <w:tcMar>
              <w:top w:w="120" w:type="dxa"/>
              <w:left w:w="120" w:type="dxa"/>
              <w:bottom w:w="120" w:type="dxa"/>
              <w:right w:w="120" w:type="dxa"/>
            </w:tcMar>
            <w:vAlign w:val="center"/>
            <w:hideMark/>
          </w:tcPr>
          <w:p w14:paraId="62BC0D6D" w14:textId="77777777" w:rsidR="003632BE" w:rsidRPr="003632BE" w:rsidRDefault="003632BE" w:rsidP="003632BE"/>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635BF553" w14:textId="77777777" w:rsidR="003632BE" w:rsidRPr="003632BE" w:rsidRDefault="003632BE" w:rsidP="003632BE">
            <w:r w:rsidRPr="003632BE">
              <w:t>neutral (51.8%)</w:t>
            </w:r>
          </w:p>
        </w:tc>
        <w:tc>
          <w:tcPr>
            <w:tcW w:w="0" w:type="auto"/>
            <w:tcBorders>
              <w:top w:val="single" w:sz="6" w:space="0" w:color="DDDDDD"/>
            </w:tcBorders>
            <w:tcMar>
              <w:top w:w="120" w:type="dxa"/>
              <w:left w:w="120" w:type="dxa"/>
              <w:bottom w:w="120" w:type="dxa"/>
              <w:right w:w="120" w:type="dxa"/>
            </w:tcMar>
            <w:vAlign w:val="center"/>
            <w:hideMark/>
          </w:tcPr>
          <w:p w14:paraId="59DF4C1D" w14:textId="77777777" w:rsidR="003632BE" w:rsidRPr="003632BE" w:rsidRDefault="003632BE" w:rsidP="003632BE">
            <w:r w:rsidRPr="003632BE">
              <w:t>159</w:t>
            </w:r>
          </w:p>
        </w:tc>
        <w:tc>
          <w:tcPr>
            <w:tcW w:w="0" w:type="auto"/>
            <w:tcBorders>
              <w:top w:val="single" w:sz="6" w:space="0" w:color="DDDDDD"/>
            </w:tcBorders>
            <w:tcMar>
              <w:top w:w="120" w:type="dxa"/>
              <w:left w:w="120" w:type="dxa"/>
              <w:bottom w:w="120" w:type="dxa"/>
              <w:right w:w="120" w:type="dxa"/>
            </w:tcMar>
            <w:vAlign w:val="center"/>
            <w:hideMark/>
          </w:tcPr>
          <w:p w14:paraId="6677E201" w14:textId="77777777" w:rsidR="003632BE" w:rsidRPr="003632BE" w:rsidRDefault="003632BE" w:rsidP="003632BE">
            <w:r w:rsidRPr="003632BE">
              <w:rPr>
                <w:b/>
                <w:bCs/>
              </w:rPr>
              <w:t>275</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202628AA" w14:textId="77777777" w:rsidR="003632BE" w:rsidRPr="003632BE" w:rsidRDefault="003632BE" w:rsidP="003632BE">
            <w:r w:rsidRPr="003632BE">
              <w:t>97</w:t>
            </w:r>
          </w:p>
        </w:tc>
        <w:tc>
          <w:tcPr>
            <w:tcW w:w="0" w:type="auto"/>
            <w:tcBorders>
              <w:top w:val="single" w:sz="6" w:space="0" w:color="DDDDDD"/>
            </w:tcBorders>
            <w:tcMar>
              <w:top w:w="120" w:type="dxa"/>
              <w:left w:w="120" w:type="dxa"/>
              <w:bottom w:w="120" w:type="dxa"/>
              <w:right w:w="120" w:type="dxa"/>
            </w:tcMar>
            <w:vAlign w:val="center"/>
            <w:hideMark/>
          </w:tcPr>
          <w:p w14:paraId="72F2D59A" w14:textId="77777777" w:rsidR="003632BE" w:rsidRPr="003632BE" w:rsidRDefault="003632BE" w:rsidP="003632BE">
            <w:r w:rsidRPr="003632BE">
              <w:t>531</w:t>
            </w:r>
          </w:p>
        </w:tc>
      </w:tr>
      <w:tr w:rsidR="003632BE" w:rsidRPr="003632BE" w14:paraId="5DAEF855" w14:textId="77777777">
        <w:tc>
          <w:tcPr>
            <w:tcW w:w="0" w:type="auto"/>
            <w:tcBorders>
              <w:top w:val="single" w:sz="6" w:space="0" w:color="DDDDDD"/>
            </w:tcBorders>
            <w:tcMar>
              <w:top w:w="120" w:type="dxa"/>
              <w:left w:w="120" w:type="dxa"/>
              <w:bottom w:w="120" w:type="dxa"/>
              <w:right w:w="120" w:type="dxa"/>
            </w:tcMar>
            <w:vAlign w:val="center"/>
            <w:hideMark/>
          </w:tcPr>
          <w:p w14:paraId="40C8D5E6" w14:textId="77777777" w:rsidR="003632BE" w:rsidRPr="003632BE" w:rsidRDefault="003632BE" w:rsidP="003632BE"/>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73C2BD1B" w14:textId="77777777" w:rsidR="003632BE" w:rsidRPr="003632BE" w:rsidRDefault="003632BE" w:rsidP="003632BE">
            <w:r w:rsidRPr="003632BE">
              <w:t>positive (68.9%)</w:t>
            </w:r>
          </w:p>
        </w:tc>
        <w:tc>
          <w:tcPr>
            <w:tcW w:w="0" w:type="auto"/>
            <w:tcBorders>
              <w:top w:val="single" w:sz="6" w:space="0" w:color="DDDDDD"/>
            </w:tcBorders>
            <w:tcMar>
              <w:top w:w="120" w:type="dxa"/>
              <w:left w:w="120" w:type="dxa"/>
              <w:bottom w:w="120" w:type="dxa"/>
              <w:right w:w="120" w:type="dxa"/>
            </w:tcMar>
            <w:vAlign w:val="center"/>
            <w:hideMark/>
          </w:tcPr>
          <w:p w14:paraId="10DDABDF" w14:textId="77777777" w:rsidR="003632BE" w:rsidRPr="003632BE" w:rsidRDefault="003632BE" w:rsidP="003632BE">
            <w:r w:rsidRPr="003632BE">
              <w:t>55</w:t>
            </w:r>
          </w:p>
        </w:tc>
        <w:tc>
          <w:tcPr>
            <w:tcW w:w="0" w:type="auto"/>
            <w:tcBorders>
              <w:top w:val="single" w:sz="6" w:space="0" w:color="DDDDDD"/>
            </w:tcBorders>
            <w:tcMar>
              <w:top w:w="120" w:type="dxa"/>
              <w:left w:w="120" w:type="dxa"/>
              <w:bottom w:w="120" w:type="dxa"/>
              <w:right w:w="120" w:type="dxa"/>
            </w:tcMar>
            <w:vAlign w:val="center"/>
            <w:hideMark/>
          </w:tcPr>
          <w:p w14:paraId="2317559E" w14:textId="77777777" w:rsidR="003632BE" w:rsidRPr="003632BE" w:rsidRDefault="003632BE" w:rsidP="003632BE">
            <w:r w:rsidRPr="003632BE">
              <w:t>33</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513C4C70" w14:textId="77777777" w:rsidR="003632BE" w:rsidRPr="003632BE" w:rsidRDefault="003632BE" w:rsidP="003632BE">
            <w:r w:rsidRPr="003632BE">
              <w:rPr>
                <w:b/>
                <w:bCs/>
              </w:rPr>
              <w:t>195</w:t>
            </w:r>
          </w:p>
        </w:tc>
        <w:tc>
          <w:tcPr>
            <w:tcW w:w="0" w:type="auto"/>
            <w:tcBorders>
              <w:top w:val="single" w:sz="6" w:space="0" w:color="DDDDDD"/>
            </w:tcBorders>
            <w:tcMar>
              <w:top w:w="120" w:type="dxa"/>
              <w:left w:w="120" w:type="dxa"/>
              <w:bottom w:w="120" w:type="dxa"/>
              <w:right w:w="120" w:type="dxa"/>
            </w:tcMar>
            <w:vAlign w:val="center"/>
            <w:hideMark/>
          </w:tcPr>
          <w:p w14:paraId="114D4DD1" w14:textId="77777777" w:rsidR="003632BE" w:rsidRPr="003632BE" w:rsidRDefault="003632BE" w:rsidP="003632BE">
            <w:r w:rsidRPr="003632BE">
              <w:t>283</w:t>
            </w:r>
          </w:p>
        </w:tc>
      </w:tr>
      <w:tr w:rsidR="003632BE" w:rsidRPr="003632BE" w14:paraId="7C571E15" w14:textId="77777777">
        <w:tc>
          <w:tcPr>
            <w:tcW w:w="0" w:type="auto"/>
            <w:tcBorders>
              <w:top w:val="single" w:sz="6" w:space="0" w:color="DDDDDD"/>
            </w:tcBorders>
            <w:shd w:val="clear" w:color="auto" w:fill="F5F5F5"/>
            <w:tcMar>
              <w:top w:w="120" w:type="dxa"/>
              <w:left w:w="120" w:type="dxa"/>
              <w:bottom w:w="120" w:type="dxa"/>
              <w:right w:w="120" w:type="dxa"/>
            </w:tcMar>
            <w:vAlign w:val="center"/>
            <w:hideMark/>
          </w:tcPr>
          <w:p w14:paraId="1C79B191" w14:textId="77777777" w:rsidR="003632BE" w:rsidRPr="003632BE" w:rsidRDefault="003632BE" w:rsidP="003632BE"/>
        </w:tc>
        <w:tc>
          <w:tcPr>
            <w:tcW w:w="0" w:type="auto"/>
            <w:tcBorders>
              <w:top w:val="single" w:sz="6" w:space="0" w:color="DDDDDD"/>
              <w:right w:val="single" w:sz="18" w:space="0" w:color="000000"/>
            </w:tcBorders>
            <w:shd w:val="clear" w:color="auto" w:fill="F5F5F5"/>
            <w:tcMar>
              <w:top w:w="120" w:type="dxa"/>
              <w:left w:w="120" w:type="dxa"/>
              <w:bottom w:w="120" w:type="dxa"/>
              <w:right w:w="120" w:type="dxa"/>
            </w:tcMar>
            <w:vAlign w:val="center"/>
            <w:hideMark/>
          </w:tcPr>
          <w:p w14:paraId="039DD59B" w14:textId="77777777" w:rsidR="003632BE" w:rsidRPr="003632BE" w:rsidRDefault="003632BE" w:rsidP="003632BE">
            <w:r w:rsidRPr="003632BE">
              <w:t>Total</w:t>
            </w:r>
          </w:p>
        </w:tc>
        <w:tc>
          <w:tcPr>
            <w:tcW w:w="0" w:type="auto"/>
            <w:tcBorders>
              <w:top w:val="single" w:sz="6" w:space="0" w:color="DDDDDD"/>
            </w:tcBorders>
            <w:shd w:val="clear" w:color="auto" w:fill="F5F5F5"/>
            <w:tcMar>
              <w:top w:w="120" w:type="dxa"/>
              <w:left w:w="120" w:type="dxa"/>
              <w:bottom w:w="120" w:type="dxa"/>
              <w:right w:w="120" w:type="dxa"/>
            </w:tcMar>
            <w:vAlign w:val="center"/>
            <w:hideMark/>
          </w:tcPr>
          <w:p w14:paraId="59184B30" w14:textId="77777777" w:rsidR="003632BE" w:rsidRPr="003632BE" w:rsidRDefault="003632BE" w:rsidP="003632BE">
            <w:r w:rsidRPr="003632BE">
              <w:t>423</w:t>
            </w:r>
          </w:p>
        </w:tc>
        <w:tc>
          <w:tcPr>
            <w:tcW w:w="0" w:type="auto"/>
            <w:tcBorders>
              <w:top w:val="single" w:sz="6" w:space="0" w:color="DDDDDD"/>
            </w:tcBorders>
            <w:shd w:val="clear" w:color="auto" w:fill="F5F5F5"/>
            <w:tcMar>
              <w:top w:w="120" w:type="dxa"/>
              <w:left w:w="120" w:type="dxa"/>
              <w:bottom w:w="120" w:type="dxa"/>
              <w:right w:w="120" w:type="dxa"/>
            </w:tcMar>
            <w:vAlign w:val="center"/>
            <w:hideMark/>
          </w:tcPr>
          <w:p w14:paraId="14094CE7" w14:textId="77777777" w:rsidR="003632BE" w:rsidRPr="003632BE" w:rsidRDefault="003632BE" w:rsidP="003632BE">
            <w:r w:rsidRPr="003632BE">
              <w:t>337</w:t>
            </w:r>
          </w:p>
        </w:tc>
        <w:tc>
          <w:tcPr>
            <w:tcW w:w="0" w:type="auto"/>
            <w:tcBorders>
              <w:top w:val="single" w:sz="6" w:space="0" w:color="DDDDDD"/>
              <w:right w:val="single" w:sz="18" w:space="0" w:color="000000"/>
            </w:tcBorders>
            <w:shd w:val="clear" w:color="auto" w:fill="F5F5F5"/>
            <w:tcMar>
              <w:top w:w="120" w:type="dxa"/>
              <w:left w:w="120" w:type="dxa"/>
              <w:bottom w:w="120" w:type="dxa"/>
              <w:right w:w="120" w:type="dxa"/>
            </w:tcMar>
            <w:vAlign w:val="center"/>
            <w:hideMark/>
          </w:tcPr>
          <w:p w14:paraId="43D7F2F0" w14:textId="77777777" w:rsidR="003632BE" w:rsidRPr="003632BE" w:rsidRDefault="003632BE" w:rsidP="003632BE">
            <w:r w:rsidRPr="003632BE">
              <w:t>305</w:t>
            </w:r>
          </w:p>
        </w:tc>
        <w:tc>
          <w:tcPr>
            <w:tcW w:w="0" w:type="auto"/>
            <w:tcBorders>
              <w:top w:val="single" w:sz="6" w:space="0" w:color="DDDDDD"/>
            </w:tcBorders>
            <w:shd w:val="clear" w:color="auto" w:fill="F5F5F5"/>
            <w:tcMar>
              <w:top w:w="120" w:type="dxa"/>
              <w:left w:w="120" w:type="dxa"/>
              <w:bottom w:w="120" w:type="dxa"/>
              <w:right w:w="120" w:type="dxa"/>
            </w:tcMar>
            <w:vAlign w:val="center"/>
            <w:hideMark/>
          </w:tcPr>
          <w:p w14:paraId="4E8FC3CB" w14:textId="77777777" w:rsidR="003632BE" w:rsidRPr="003632BE" w:rsidRDefault="003632BE" w:rsidP="003632BE">
            <w:r w:rsidRPr="003632BE">
              <w:t>1065</w:t>
            </w:r>
          </w:p>
        </w:tc>
      </w:tr>
      <w:tr w:rsidR="003632BE" w:rsidRPr="003632BE" w14:paraId="25896E68" w14:textId="77777777">
        <w:trPr>
          <w:tblHeader/>
        </w:trPr>
        <w:tc>
          <w:tcPr>
            <w:tcW w:w="0" w:type="auto"/>
            <w:tcBorders>
              <w:top w:val="single" w:sz="6" w:space="0" w:color="DDDDDD"/>
              <w:bottom w:val="single" w:sz="12" w:space="0" w:color="DDDDDD"/>
            </w:tcBorders>
            <w:tcMar>
              <w:top w:w="120" w:type="dxa"/>
              <w:left w:w="120" w:type="dxa"/>
              <w:bottom w:w="120" w:type="dxa"/>
              <w:right w:w="120" w:type="dxa"/>
            </w:tcMar>
            <w:vAlign w:val="bottom"/>
            <w:hideMark/>
          </w:tcPr>
          <w:p w14:paraId="3529F594" w14:textId="77777777" w:rsidR="003632BE" w:rsidRPr="003632BE" w:rsidRDefault="003632BE" w:rsidP="003632BE"/>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p w14:paraId="25BF029D" w14:textId="77777777" w:rsidR="003632BE" w:rsidRPr="003632BE" w:rsidRDefault="003632BE" w:rsidP="003632BE"/>
        </w:tc>
        <w:tc>
          <w:tcPr>
            <w:tcW w:w="0" w:type="auto"/>
            <w:gridSpan w:val="3"/>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p w14:paraId="2BD3FE54" w14:textId="77777777" w:rsidR="003632BE" w:rsidRPr="003632BE" w:rsidRDefault="003632BE" w:rsidP="003632BE">
            <w:pPr>
              <w:rPr>
                <w:b/>
                <w:bCs/>
              </w:rPr>
            </w:pPr>
            <w:r w:rsidRPr="003632BE">
              <w:rPr>
                <w:b/>
                <w:bCs/>
              </w:rPr>
              <w:t>GPT-4</w:t>
            </w:r>
          </w:p>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p w14:paraId="7ED0A651" w14:textId="77777777" w:rsidR="003632BE" w:rsidRPr="003632BE" w:rsidRDefault="003632BE" w:rsidP="003632BE">
            <w:pPr>
              <w:rPr>
                <w:b/>
                <w:bCs/>
              </w:rPr>
            </w:pPr>
          </w:p>
        </w:tc>
      </w:tr>
      <w:tr w:rsidR="003632BE" w:rsidRPr="003632BE" w14:paraId="6414AAF3" w14:textId="77777777">
        <w:trPr>
          <w:tblHeader/>
        </w:trPr>
        <w:tc>
          <w:tcPr>
            <w:tcW w:w="0" w:type="auto"/>
            <w:tcBorders>
              <w:top w:val="single" w:sz="6" w:space="0" w:color="DDDDDD"/>
              <w:bottom w:val="single" w:sz="12" w:space="0" w:color="DDDDDD"/>
            </w:tcBorders>
            <w:tcMar>
              <w:top w:w="120" w:type="dxa"/>
              <w:left w:w="120" w:type="dxa"/>
              <w:bottom w:w="120" w:type="dxa"/>
              <w:right w:w="120" w:type="dxa"/>
            </w:tcMar>
            <w:vAlign w:val="bottom"/>
            <w:hideMark/>
          </w:tcPr>
          <w:p w14:paraId="245D64B9" w14:textId="77777777" w:rsidR="003632BE" w:rsidRPr="003632BE" w:rsidRDefault="003632BE" w:rsidP="003632BE"/>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p w14:paraId="2DEDD7FD" w14:textId="77777777" w:rsidR="003632BE" w:rsidRPr="003632BE" w:rsidRDefault="003632BE" w:rsidP="003632BE"/>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923"/>
            </w:tblGrid>
            <w:tr w:rsidR="003632BE" w:rsidRPr="003632BE" w14:paraId="11DDAD47" w14:textId="77777777">
              <w:trPr>
                <w:jc w:val="center"/>
              </w:trPr>
              <w:tc>
                <w:tcPr>
                  <w:tcW w:w="0" w:type="auto"/>
                  <w:tcMar>
                    <w:top w:w="0" w:type="dxa"/>
                    <w:left w:w="0" w:type="dxa"/>
                    <w:bottom w:w="0" w:type="dxa"/>
                    <w:right w:w="0" w:type="dxa"/>
                  </w:tcMar>
                  <w:vAlign w:val="center"/>
                  <w:hideMark/>
                </w:tcPr>
                <w:p w14:paraId="1883C307" w14:textId="77777777" w:rsidR="003632BE" w:rsidRPr="003632BE" w:rsidRDefault="003632BE" w:rsidP="003632BE">
                  <w:pPr>
                    <w:rPr>
                      <w:b/>
                      <w:bCs/>
                    </w:rPr>
                  </w:pPr>
                  <w:r w:rsidRPr="003632BE">
                    <w:rPr>
                      <w:b/>
                      <w:bCs/>
                    </w:rPr>
                    <w:t>negative</w:t>
                  </w:r>
                </w:p>
              </w:tc>
            </w:tr>
            <w:tr w:rsidR="003632BE" w:rsidRPr="003632BE" w14:paraId="2ABAAA54" w14:textId="77777777">
              <w:trPr>
                <w:jc w:val="center"/>
              </w:trPr>
              <w:tc>
                <w:tcPr>
                  <w:tcW w:w="0" w:type="auto"/>
                  <w:tcMar>
                    <w:top w:w="0" w:type="dxa"/>
                    <w:left w:w="0" w:type="dxa"/>
                    <w:bottom w:w="0" w:type="dxa"/>
                    <w:right w:w="0" w:type="dxa"/>
                  </w:tcMar>
                  <w:vAlign w:val="center"/>
                  <w:hideMark/>
                </w:tcPr>
                <w:p w14:paraId="004D2615" w14:textId="77777777" w:rsidR="003632BE" w:rsidRPr="003632BE" w:rsidRDefault="003632BE" w:rsidP="003632BE">
                  <w:pPr>
                    <w:rPr>
                      <w:b/>
                      <w:bCs/>
                    </w:rPr>
                  </w:pPr>
                  <w:r w:rsidRPr="003632BE">
                    <w:rPr>
                      <w:b/>
                      <w:bCs/>
                    </w:rPr>
                    <w:t>(89.8%)</w:t>
                  </w:r>
                </w:p>
              </w:tc>
            </w:tr>
          </w:tbl>
          <w:p w14:paraId="562522EB" w14:textId="77777777" w:rsidR="003632BE" w:rsidRPr="003632BE" w:rsidRDefault="003632BE" w:rsidP="003632BE">
            <w:pPr>
              <w:rPr>
                <w:b/>
                <w:bCs/>
              </w:rPr>
            </w:pPr>
          </w:p>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800"/>
            </w:tblGrid>
            <w:tr w:rsidR="003632BE" w:rsidRPr="003632BE" w14:paraId="0D99F705" w14:textId="77777777">
              <w:trPr>
                <w:jc w:val="center"/>
              </w:trPr>
              <w:tc>
                <w:tcPr>
                  <w:tcW w:w="0" w:type="auto"/>
                  <w:tcMar>
                    <w:top w:w="0" w:type="dxa"/>
                    <w:left w:w="0" w:type="dxa"/>
                    <w:bottom w:w="0" w:type="dxa"/>
                    <w:right w:w="0" w:type="dxa"/>
                  </w:tcMar>
                  <w:vAlign w:val="center"/>
                  <w:hideMark/>
                </w:tcPr>
                <w:p w14:paraId="69B987C1" w14:textId="77777777" w:rsidR="003632BE" w:rsidRPr="003632BE" w:rsidRDefault="003632BE" w:rsidP="003632BE">
                  <w:pPr>
                    <w:rPr>
                      <w:b/>
                      <w:bCs/>
                    </w:rPr>
                  </w:pPr>
                  <w:r w:rsidRPr="003632BE">
                    <w:rPr>
                      <w:b/>
                      <w:bCs/>
                    </w:rPr>
                    <w:t>neutral</w:t>
                  </w:r>
                </w:p>
              </w:tc>
            </w:tr>
            <w:tr w:rsidR="003632BE" w:rsidRPr="003632BE" w14:paraId="10A3E0E9" w14:textId="77777777">
              <w:trPr>
                <w:jc w:val="center"/>
              </w:trPr>
              <w:tc>
                <w:tcPr>
                  <w:tcW w:w="0" w:type="auto"/>
                  <w:tcMar>
                    <w:top w:w="0" w:type="dxa"/>
                    <w:left w:w="0" w:type="dxa"/>
                    <w:bottom w:w="0" w:type="dxa"/>
                    <w:right w:w="0" w:type="dxa"/>
                  </w:tcMar>
                  <w:vAlign w:val="center"/>
                  <w:hideMark/>
                </w:tcPr>
                <w:p w14:paraId="66A6309D" w14:textId="77777777" w:rsidR="003632BE" w:rsidRPr="003632BE" w:rsidRDefault="003632BE" w:rsidP="003632BE">
                  <w:pPr>
                    <w:rPr>
                      <w:b/>
                      <w:bCs/>
                    </w:rPr>
                  </w:pPr>
                  <w:r w:rsidRPr="003632BE">
                    <w:rPr>
                      <w:b/>
                      <w:bCs/>
                    </w:rPr>
                    <w:t>(62.8%)</w:t>
                  </w:r>
                </w:p>
              </w:tc>
            </w:tr>
          </w:tbl>
          <w:p w14:paraId="79F8175E" w14:textId="77777777" w:rsidR="003632BE" w:rsidRPr="003632BE" w:rsidRDefault="003632BE" w:rsidP="003632BE">
            <w:pPr>
              <w:rPr>
                <w:b/>
                <w:bCs/>
              </w:rPr>
            </w:pPr>
          </w:p>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865"/>
            </w:tblGrid>
            <w:tr w:rsidR="003632BE" w:rsidRPr="003632BE" w14:paraId="0EFA5B72" w14:textId="77777777">
              <w:trPr>
                <w:jc w:val="center"/>
              </w:trPr>
              <w:tc>
                <w:tcPr>
                  <w:tcW w:w="0" w:type="auto"/>
                  <w:tcMar>
                    <w:top w:w="0" w:type="dxa"/>
                    <w:left w:w="0" w:type="dxa"/>
                    <w:bottom w:w="0" w:type="dxa"/>
                    <w:right w:w="0" w:type="dxa"/>
                  </w:tcMar>
                  <w:vAlign w:val="center"/>
                  <w:hideMark/>
                </w:tcPr>
                <w:p w14:paraId="3DA5715A" w14:textId="77777777" w:rsidR="003632BE" w:rsidRPr="003632BE" w:rsidRDefault="003632BE" w:rsidP="003632BE">
                  <w:pPr>
                    <w:rPr>
                      <w:b/>
                      <w:bCs/>
                    </w:rPr>
                  </w:pPr>
                  <w:r w:rsidRPr="003632BE">
                    <w:rPr>
                      <w:b/>
                      <w:bCs/>
                    </w:rPr>
                    <w:t>positive</w:t>
                  </w:r>
                </w:p>
              </w:tc>
            </w:tr>
            <w:tr w:rsidR="003632BE" w:rsidRPr="003632BE" w14:paraId="5E6B2C3F" w14:textId="77777777">
              <w:trPr>
                <w:jc w:val="center"/>
              </w:trPr>
              <w:tc>
                <w:tcPr>
                  <w:tcW w:w="0" w:type="auto"/>
                  <w:tcMar>
                    <w:top w:w="0" w:type="dxa"/>
                    <w:left w:w="0" w:type="dxa"/>
                    <w:bottom w:w="0" w:type="dxa"/>
                    <w:right w:w="0" w:type="dxa"/>
                  </w:tcMar>
                  <w:vAlign w:val="center"/>
                  <w:hideMark/>
                </w:tcPr>
                <w:p w14:paraId="3592DE69" w14:textId="77777777" w:rsidR="003632BE" w:rsidRPr="003632BE" w:rsidRDefault="003632BE" w:rsidP="003632BE">
                  <w:pPr>
                    <w:rPr>
                      <w:b/>
                      <w:bCs/>
                    </w:rPr>
                  </w:pPr>
                  <w:r w:rsidRPr="003632BE">
                    <w:rPr>
                      <w:b/>
                      <w:bCs/>
                    </w:rPr>
                    <w:t>(79.5%)</w:t>
                  </w:r>
                </w:p>
              </w:tc>
            </w:tr>
          </w:tbl>
          <w:p w14:paraId="508D5F60" w14:textId="77777777" w:rsidR="003632BE" w:rsidRPr="003632BE" w:rsidRDefault="003632BE" w:rsidP="003632BE">
            <w:pPr>
              <w:rPr>
                <w:b/>
                <w:bCs/>
              </w:rPr>
            </w:pPr>
          </w:p>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529"/>
            </w:tblGrid>
            <w:tr w:rsidR="003632BE" w:rsidRPr="003632BE" w14:paraId="013C7CF2" w14:textId="77777777">
              <w:trPr>
                <w:jc w:val="center"/>
              </w:trPr>
              <w:tc>
                <w:tcPr>
                  <w:tcW w:w="0" w:type="auto"/>
                  <w:tcMar>
                    <w:top w:w="0" w:type="dxa"/>
                    <w:left w:w="0" w:type="dxa"/>
                    <w:bottom w:w="0" w:type="dxa"/>
                    <w:right w:w="0" w:type="dxa"/>
                  </w:tcMar>
                  <w:vAlign w:val="center"/>
                  <w:hideMark/>
                </w:tcPr>
                <w:p w14:paraId="5A90D4B1" w14:textId="77777777" w:rsidR="003632BE" w:rsidRPr="003632BE" w:rsidRDefault="003632BE" w:rsidP="003632BE">
                  <w:pPr>
                    <w:rPr>
                      <w:b/>
                      <w:bCs/>
                    </w:rPr>
                  </w:pPr>
                  <w:r w:rsidRPr="003632BE">
                    <w:rPr>
                      <w:b/>
                      <w:bCs/>
                    </w:rPr>
                    <w:t>Total</w:t>
                  </w:r>
                </w:p>
              </w:tc>
            </w:tr>
          </w:tbl>
          <w:p w14:paraId="0891FFF2" w14:textId="77777777" w:rsidR="003632BE" w:rsidRPr="003632BE" w:rsidRDefault="003632BE" w:rsidP="003632BE">
            <w:pPr>
              <w:rPr>
                <w:b/>
                <w:bCs/>
              </w:rPr>
            </w:pPr>
          </w:p>
        </w:tc>
      </w:tr>
      <w:tr w:rsidR="003632BE" w:rsidRPr="003632BE" w14:paraId="623EA4FA" w14:textId="77777777">
        <w:tc>
          <w:tcPr>
            <w:tcW w:w="0" w:type="auto"/>
            <w:tcBorders>
              <w:top w:val="single" w:sz="6" w:space="0" w:color="DDDDDD"/>
            </w:tcBorders>
            <w:tcMar>
              <w:top w:w="120" w:type="dxa"/>
              <w:left w:w="120" w:type="dxa"/>
              <w:bottom w:w="120" w:type="dxa"/>
              <w:right w:w="120" w:type="dxa"/>
            </w:tcMar>
            <w:vAlign w:val="center"/>
            <w:hideMark/>
          </w:tcPr>
          <w:p w14:paraId="07EF0EED" w14:textId="77777777" w:rsidR="003632BE" w:rsidRPr="003632BE" w:rsidRDefault="003632BE" w:rsidP="003632BE">
            <w:r w:rsidRPr="003632BE">
              <w:t>Truth</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791C3F69" w14:textId="77777777" w:rsidR="003632BE" w:rsidRPr="003632BE" w:rsidRDefault="003632BE" w:rsidP="003632BE">
            <w:r w:rsidRPr="003632BE">
              <w:t>negative (35.1%)</w:t>
            </w:r>
          </w:p>
        </w:tc>
        <w:tc>
          <w:tcPr>
            <w:tcW w:w="0" w:type="auto"/>
            <w:tcBorders>
              <w:top w:val="single" w:sz="6" w:space="0" w:color="DDDDDD"/>
            </w:tcBorders>
            <w:tcMar>
              <w:top w:w="120" w:type="dxa"/>
              <w:left w:w="120" w:type="dxa"/>
              <w:bottom w:w="120" w:type="dxa"/>
              <w:right w:w="120" w:type="dxa"/>
            </w:tcMar>
            <w:vAlign w:val="center"/>
            <w:hideMark/>
          </w:tcPr>
          <w:p w14:paraId="4BB98A84" w14:textId="77777777" w:rsidR="003632BE" w:rsidRPr="003632BE" w:rsidRDefault="003632BE" w:rsidP="003632BE">
            <w:r w:rsidRPr="003632BE">
              <w:rPr>
                <w:b/>
                <w:bCs/>
              </w:rPr>
              <w:t>88</w:t>
            </w:r>
          </w:p>
        </w:tc>
        <w:tc>
          <w:tcPr>
            <w:tcW w:w="0" w:type="auto"/>
            <w:tcBorders>
              <w:top w:val="single" w:sz="6" w:space="0" w:color="DDDDDD"/>
            </w:tcBorders>
            <w:tcMar>
              <w:top w:w="120" w:type="dxa"/>
              <w:left w:w="120" w:type="dxa"/>
              <w:bottom w:w="120" w:type="dxa"/>
              <w:right w:w="120" w:type="dxa"/>
            </w:tcMar>
            <w:vAlign w:val="center"/>
            <w:hideMark/>
          </w:tcPr>
          <w:p w14:paraId="2803CF08" w14:textId="77777777" w:rsidR="003632BE" w:rsidRPr="003632BE" w:rsidRDefault="003632BE" w:rsidP="003632BE">
            <w:r w:rsidRPr="003632BE">
              <w:t>159</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352A4105" w14:textId="77777777" w:rsidR="003632BE" w:rsidRPr="003632BE" w:rsidRDefault="003632BE" w:rsidP="003632BE">
            <w:r w:rsidRPr="003632BE">
              <w:t>4</w:t>
            </w:r>
          </w:p>
        </w:tc>
        <w:tc>
          <w:tcPr>
            <w:tcW w:w="0" w:type="auto"/>
            <w:tcBorders>
              <w:top w:val="single" w:sz="6" w:space="0" w:color="DDDDDD"/>
            </w:tcBorders>
            <w:tcMar>
              <w:top w:w="120" w:type="dxa"/>
              <w:left w:w="120" w:type="dxa"/>
              <w:bottom w:w="120" w:type="dxa"/>
              <w:right w:w="120" w:type="dxa"/>
            </w:tcMar>
            <w:vAlign w:val="center"/>
            <w:hideMark/>
          </w:tcPr>
          <w:p w14:paraId="310D31DC" w14:textId="77777777" w:rsidR="003632BE" w:rsidRPr="003632BE" w:rsidRDefault="003632BE" w:rsidP="003632BE">
            <w:r w:rsidRPr="003632BE">
              <w:t>251</w:t>
            </w:r>
          </w:p>
        </w:tc>
      </w:tr>
      <w:tr w:rsidR="003632BE" w:rsidRPr="003632BE" w14:paraId="2EA67105" w14:textId="77777777">
        <w:tc>
          <w:tcPr>
            <w:tcW w:w="0" w:type="auto"/>
            <w:tcBorders>
              <w:top w:val="single" w:sz="6" w:space="0" w:color="DDDDDD"/>
            </w:tcBorders>
            <w:tcMar>
              <w:top w:w="120" w:type="dxa"/>
              <w:left w:w="120" w:type="dxa"/>
              <w:bottom w:w="120" w:type="dxa"/>
              <w:right w:w="120" w:type="dxa"/>
            </w:tcMar>
            <w:vAlign w:val="center"/>
            <w:hideMark/>
          </w:tcPr>
          <w:p w14:paraId="184C05C8" w14:textId="77777777" w:rsidR="003632BE" w:rsidRPr="003632BE" w:rsidRDefault="003632BE" w:rsidP="003632BE"/>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37867FE8" w14:textId="77777777" w:rsidR="003632BE" w:rsidRPr="003632BE" w:rsidRDefault="003632BE" w:rsidP="003632BE">
            <w:r w:rsidRPr="003632BE">
              <w:t>neutral (92.5%)</w:t>
            </w:r>
          </w:p>
        </w:tc>
        <w:tc>
          <w:tcPr>
            <w:tcW w:w="0" w:type="auto"/>
            <w:tcBorders>
              <w:top w:val="single" w:sz="6" w:space="0" w:color="DDDDDD"/>
            </w:tcBorders>
            <w:tcMar>
              <w:top w:w="120" w:type="dxa"/>
              <w:left w:w="120" w:type="dxa"/>
              <w:bottom w:w="120" w:type="dxa"/>
              <w:right w:w="120" w:type="dxa"/>
            </w:tcMar>
            <w:vAlign w:val="center"/>
            <w:hideMark/>
          </w:tcPr>
          <w:p w14:paraId="3DE5AE3D" w14:textId="77777777" w:rsidR="003632BE" w:rsidRPr="003632BE" w:rsidRDefault="003632BE" w:rsidP="003632BE">
            <w:r w:rsidRPr="003632BE">
              <w:t>6</w:t>
            </w:r>
          </w:p>
        </w:tc>
        <w:tc>
          <w:tcPr>
            <w:tcW w:w="0" w:type="auto"/>
            <w:tcBorders>
              <w:top w:val="single" w:sz="6" w:space="0" w:color="DDDDDD"/>
            </w:tcBorders>
            <w:tcMar>
              <w:top w:w="120" w:type="dxa"/>
              <w:left w:w="120" w:type="dxa"/>
              <w:bottom w:w="120" w:type="dxa"/>
              <w:right w:w="120" w:type="dxa"/>
            </w:tcMar>
            <w:vAlign w:val="center"/>
            <w:hideMark/>
          </w:tcPr>
          <w:p w14:paraId="2F5A3486" w14:textId="77777777" w:rsidR="003632BE" w:rsidRPr="003632BE" w:rsidRDefault="003632BE" w:rsidP="003632BE">
            <w:r w:rsidRPr="003632BE">
              <w:rPr>
                <w:b/>
                <w:bCs/>
              </w:rPr>
              <w:t>491</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329DD4C5" w14:textId="77777777" w:rsidR="003632BE" w:rsidRPr="003632BE" w:rsidRDefault="003632BE" w:rsidP="003632BE">
            <w:r w:rsidRPr="003632BE">
              <w:t>34</w:t>
            </w:r>
          </w:p>
        </w:tc>
        <w:tc>
          <w:tcPr>
            <w:tcW w:w="0" w:type="auto"/>
            <w:tcBorders>
              <w:top w:val="single" w:sz="6" w:space="0" w:color="DDDDDD"/>
            </w:tcBorders>
            <w:tcMar>
              <w:top w:w="120" w:type="dxa"/>
              <w:left w:w="120" w:type="dxa"/>
              <w:bottom w:w="120" w:type="dxa"/>
              <w:right w:w="120" w:type="dxa"/>
            </w:tcMar>
            <w:vAlign w:val="center"/>
            <w:hideMark/>
          </w:tcPr>
          <w:p w14:paraId="6BF8461B" w14:textId="77777777" w:rsidR="003632BE" w:rsidRPr="003632BE" w:rsidRDefault="003632BE" w:rsidP="003632BE">
            <w:r w:rsidRPr="003632BE">
              <w:t>531</w:t>
            </w:r>
          </w:p>
        </w:tc>
      </w:tr>
      <w:tr w:rsidR="003632BE" w:rsidRPr="003632BE" w14:paraId="557ACE08" w14:textId="77777777">
        <w:tc>
          <w:tcPr>
            <w:tcW w:w="0" w:type="auto"/>
            <w:tcBorders>
              <w:top w:val="single" w:sz="6" w:space="0" w:color="DDDDDD"/>
            </w:tcBorders>
            <w:tcMar>
              <w:top w:w="120" w:type="dxa"/>
              <w:left w:w="120" w:type="dxa"/>
              <w:bottom w:w="120" w:type="dxa"/>
              <w:right w:w="120" w:type="dxa"/>
            </w:tcMar>
            <w:vAlign w:val="center"/>
            <w:hideMark/>
          </w:tcPr>
          <w:p w14:paraId="424AA65B" w14:textId="77777777" w:rsidR="003632BE" w:rsidRPr="003632BE" w:rsidRDefault="003632BE" w:rsidP="003632BE"/>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44DCCD38" w14:textId="77777777" w:rsidR="003632BE" w:rsidRPr="003632BE" w:rsidRDefault="003632BE" w:rsidP="003632BE">
            <w:r w:rsidRPr="003632BE">
              <w:t>positive (51.9%)</w:t>
            </w:r>
          </w:p>
        </w:tc>
        <w:tc>
          <w:tcPr>
            <w:tcW w:w="0" w:type="auto"/>
            <w:tcBorders>
              <w:top w:val="single" w:sz="6" w:space="0" w:color="DDDDDD"/>
            </w:tcBorders>
            <w:tcMar>
              <w:top w:w="120" w:type="dxa"/>
              <w:left w:w="120" w:type="dxa"/>
              <w:bottom w:w="120" w:type="dxa"/>
              <w:right w:w="120" w:type="dxa"/>
            </w:tcMar>
            <w:vAlign w:val="center"/>
            <w:hideMark/>
          </w:tcPr>
          <w:p w14:paraId="65B9C737" w14:textId="77777777" w:rsidR="003632BE" w:rsidRPr="003632BE" w:rsidRDefault="003632BE" w:rsidP="003632BE">
            <w:r w:rsidRPr="003632BE">
              <w:t>4</w:t>
            </w:r>
          </w:p>
        </w:tc>
        <w:tc>
          <w:tcPr>
            <w:tcW w:w="0" w:type="auto"/>
            <w:tcBorders>
              <w:top w:val="single" w:sz="6" w:space="0" w:color="DDDDDD"/>
            </w:tcBorders>
            <w:tcMar>
              <w:top w:w="120" w:type="dxa"/>
              <w:left w:w="120" w:type="dxa"/>
              <w:bottom w:w="120" w:type="dxa"/>
              <w:right w:w="120" w:type="dxa"/>
            </w:tcMar>
            <w:vAlign w:val="center"/>
            <w:hideMark/>
          </w:tcPr>
          <w:p w14:paraId="231C7C13" w14:textId="77777777" w:rsidR="003632BE" w:rsidRPr="003632BE" w:rsidRDefault="003632BE" w:rsidP="003632BE">
            <w:r w:rsidRPr="003632BE">
              <w:t>132</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16D09862" w14:textId="77777777" w:rsidR="003632BE" w:rsidRPr="003632BE" w:rsidRDefault="003632BE" w:rsidP="003632BE">
            <w:r w:rsidRPr="003632BE">
              <w:rPr>
                <w:b/>
                <w:bCs/>
              </w:rPr>
              <w:t>147</w:t>
            </w:r>
          </w:p>
        </w:tc>
        <w:tc>
          <w:tcPr>
            <w:tcW w:w="0" w:type="auto"/>
            <w:tcBorders>
              <w:top w:val="single" w:sz="6" w:space="0" w:color="DDDDDD"/>
            </w:tcBorders>
            <w:tcMar>
              <w:top w:w="120" w:type="dxa"/>
              <w:left w:w="120" w:type="dxa"/>
              <w:bottom w:w="120" w:type="dxa"/>
              <w:right w:w="120" w:type="dxa"/>
            </w:tcMar>
            <w:vAlign w:val="center"/>
            <w:hideMark/>
          </w:tcPr>
          <w:p w14:paraId="5B7292E9" w14:textId="77777777" w:rsidR="003632BE" w:rsidRPr="003632BE" w:rsidRDefault="003632BE" w:rsidP="003632BE">
            <w:r w:rsidRPr="003632BE">
              <w:t>283</w:t>
            </w:r>
          </w:p>
        </w:tc>
      </w:tr>
      <w:tr w:rsidR="003632BE" w:rsidRPr="003632BE" w14:paraId="58CE5079" w14:textId="77777777">
        <w:tc>
          <w:tcPr>
            <w:tcW w:w="0" w:type="auto"/>
            <w:tcBorders>
              <w:top w:val="single" w:sz="6" w:space="0" w:color="DDDDDD"/>
            </w:tcBorders>
            <w:shd w:val="clear" w:color="auto" w:fill="F5F5F5"/>
            <w:tcMar>
              <w:top w:w="120" w:type="dxa"/>
              <w:left w:w="120" w:type="dxa"/>
              <w:bottom w:w="120" w:type="dxa"/>
              <w:right w:w="120" w:type="dxa"/>
            </w:tcMar>
            <w:vAlign w:val="center"/>
            <w:hideMark/>
          </w:tcPr>
          <w:p w14:paraId="633EFD7E" w14:textId="77777777" w:rsidR="003632BE" w:rsidRPr="003632BE" w:rsidRDefault="003632BE" w:rsidP="003632BE"/>
        </w:tc>
        <w:tc>
          <w:tcPr>
            <w:tcW w:w="0" w:type="auto"/>
            <w:tcBorders>
              <w:top w:val="single" w:sz="6" w:space="0" w:color="DDDDDD"/>
              <w:right w:val="single" w:sz="18" w:space="0" w:color="000000"/>
            </w:tcBorders>
            <w:shd w:val="clear" w:color="auto" w:fill="F5F5F5"/>
            <w:tcMar>
              <w:top w:w="120" w:type="dxa"/>
              <w:left w:w="120" w:type="dxa"/>
              <w:bottom w:w="120" w:type="dxa"/>
              <w:right w:w="120" w:type="dxa"/>
            </w:tcMar>
            <w:vAlign w:val="center"/>
            <w:hideMark/>
          </w:tcPr>
          <w:p w14:paraId="028FBCE5" w14:textId="77777777" w:rsidR="003632BE" w:rsidRPr="003632BE" w:rsidRDefault="003632BE" w:rsidP="003632BE">
            <w:r w:rsidRPr="003632BE">
              <w:t>Total</w:t>
            </w:r>
          </w:p>
        </w:tc>
        <w:tc>
          <w:tcPr>
            <w:tcW w:w="0" w:type="auto"/>
            <w:tcBorders>
              <w:top w:val="single" w:sz="6" w:space="0" w:color="DDDDDD"/>
            </w:tcBorders>
            <w:shd w:val="clear" w:color="auto" w:fill="F5F5F5"/>
            <w:tcMar>
              <w:top w:w="120" w:type="dxa"/>
              <w:left w:w="120" w:type="dxa"/>
              <w:bottom w:w="120" w:type="dxa"/>
              <w:right w:w="120" w:type="dxa"/>
            </w:tcMar>
            <w:vAlign w:val="center"/>
            <w:hideMark/>
          </w:tcPr>
          <w:p w14:paraId="5F4E42CE" w14:textId="77777777" w:rsidR="003632BE" w:rsidRPr="003632BE" w:rsidRDefault="003632BE" w:rsidP="003632BE">
            <w:r w:rsidRPr="003632BE">
              <w:t>98</w:t>
            </w:r>
          </w:p>
        </w:tc>
        <w:tc>
          <w:tcPr>
            <w:tcW w:w="0" w:type="auto"/>
            <w:tcBorders>
              <w:top w:val="single" w:sz="6" w:space="0" w:color="DDDDDD"/>
            </w:tcBorders>
            <w:shd w:val="clear" w:color="auto" w:fill="F5F5F5"/>
            <w:tcMar>
              <w:top w:w="120" w:type="dxa"/>
              <w:left w:w="120" w:type="dxa"/>
              <w:bottom w:w="120" w:type="dxa"/>
              <w:right w:w="120" w:type="dxa"/>
            </w:tcMar>
            <w:vAlign w:val="center"/>
            <w:hideMark/>
          </w:tcPr>
          <w:p w14:paraId="5865B9B8" w14:textId="77777777" w:rsidR="003632BE" w:rsidRPr="003632BE" w:rsidRDefault="003632BE" w:rsidP="003632BE">
            <w:r w:rsidRPr="003632BE">
              <w:t>782</w:t>
            </w:r>
          </w:p>
        </w:tc>
        <w:tc>
          <w:tcPr>
            <w:tcW w:w="0" w:type="auto"/>
            <w:tcBorders>
              <w:top w:val="single" w:sz="6" w:space="0" w:color="DDDDDD"/>
              <w:right w:val="single" w:sz="18" w:space="0" w:color="000000"/>
            </w:tcBorders>
            <w:shd w:val="clear" w:color="auto" w:fill="F5F5F5"/>
            <w:tcMar>
              <w:top w:w="120" w:type="dxa"/>
              <w:left w:w="120" w:type="dxa"/>
              <w:bottom w:w="120" w:type="dxa"/>
              <w:right w:w="120" w:type="dxa"/>
            </w:tcMar>
            <w:vAlign w:val="center"/>
            <w:hideMark/>
          </w:tcPr>
          <w:p w14:paraId="5192B35D" w14:textId="77777777" w:rsidR="003632BE" w:rsidRPr="003632BE" w:rsidRDefault="003632BE" w:rsidP="003632BE">
            <w:r w:rsidRPr="003632BE">
              <w:t>185</w:t>
            </w:r>
          </w:p>
        </w:tc>
        <w:tc>
          <w:tcPr>
            <w:tcW w:w="0" w:type="auto"/>
            <w:tcBorders>
              <w:top w:val="single" w:sz="6" w:space="0" w:color="DDDDDD"/>
            </w:tcBorders>
            <w:shd w:val="clear" w:color="auto" w:fill="F5F5F5"/>
            <w:tcMar>
              <w:top w:w="120" w:type="dxa"/>
              <w:left w:w="120" w:type="dxa"/>
              <w:bottom w:w="120" w:type="dxa"/>
              <w:right w:w="120" w:type="dxa"/>
            </w:tcMar>
            <w:vAlign w:val="center"/>
            <w:hideMark/>
          </w:tcPr>
          <w:p w14:paraId="03F7E9BB" w14:textId="77777777" w:rsidR="003632BE" w:rsidRPr="003632BE" w:rsidRDefault="003632BE" w:rsidP="003632BE">
            <w:r w:rsidRPr="003632BE">
              <w:t>1065</w:t>
            </w:r>
          </w:p>
        </w:tc>
      </w:tr>
      <w:tr w:rsidR="003632BE" w:rsidRPr="003632BE" w14:paraId="4A164581" w14:textId="77777777">
        <w:trPr>
          <w:tblHeader/>
        </w:trPr>
        <w:tc>
          <w:tcPr>
            <w:tcW w:w="0" w:type="auto"/>
            <w:tcBorders>
              <w:top w:val="single" w:sz="6" w:space="0" w:color="DDDDDD"/>
              <w:bottom w:val="single" w:sz="12" w:space="0" w:color="DDDDDD"/>
            </w:tcBorders>
            <w:tcMar>
              <w:top w:w="120" w:type="dxa"/>
              <w:left w:w="120" w:type="dxa"/>
              <w:bottom w:w="120" w:type="dxa"/>
              <w:right w:w="120" w:type="dxa"/>
            </w:tcMar>
            <w:vAlign w:val="bottom"/>
            <w:hideMark/>
          </w:tcPr>
          <w:p w14:paraId="7DF20BDE" w14:textId="77777777" w:rsidR="003632BE" w:rsidRPr="003632BE" w:rsidRDefault="003632BE" w:rsidP="003632BE"/>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p w14:paraId="49BE42A7" w14:textId="77777777" w:rsidR="003632BE" w:rsidRPr="003632BE" w:rsidRDefault="003632BE" w:rsidP="003632BE"/>
        </w:tc>
        <w:tc>
          <w:tcPr>
            <w:tcW w:w="0" w:type="auto"/>
            <w:gridSpan w:val="3"/>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p w14:paraId="230FD603" w14:textId="77777777" w:rsidR="003632BE" w:rsidRPr="003632BE" w:rsidRDefault="003632BE" w:rsidP="003632BE">
            <w:pPr>
              <w:rPr>
                <w:b/>
                <w:bCs/>
              </w:rPr>
            </w:pPr>
            <w:r w:rsidRPr="003632BE">
              <w:rPr>
                <w:b/>
                <w:bCs/>
              </w:rPr>
              <w:t>Llama 3</w:t>
            </w:r>
          </w:p>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p w14:paraId="319206A9" w14:textId="77777777" w:rsidR="003632BE" w:rsidRPr="003632BE" w:rsidRDefault="003632BE" w:rsidP="003632BE">
            <w:pPr>
              <w:rPr>
                <w:b/>
                <w:bCs/>
              </w:rPr>
            </w:pPr>
          </w:p>
        </w:tc>
      </w:tr>
      <w:tr w:rsidR="003632BE" w:rsidRPr="003632BE" w14:paraId="7A419316" w14:textId="77777777">
        <w:trPr>
          <w:tblHeader/>
        </w:trPr>
        <w:tc>
          <w:tcPr>
            <w:tcW w:w="0" w:type="auto"/>
            <w:tcBorders>
              <w:top w:val="single" w:sz="6" w:space="0" w:color="DDDDDD"/>
              <w:bottom w:val="single" w:sz="12" w:space="0" w:color="DDDDDD"/>
            </w:tcBorders>
            <w:tcMar>
              <w:top w:w="120" w:type="dxa"/>
              <w:left w:w="120" w:type="dxa"/>
              <w:bottom w:w="120" w:type="dxa"/>
              <w:right w:w="120" w:type="dxa"/>
            </w:tcMar>
            <w:vAlign w:val="bottom"/>
            <w:hideMark/>
          </w:tcPr>
          <w:p w14:paraId="537543F9" w14:textId="77777777" w:rsidR="003632BE" w:rsidRPr="003632BE" w:rsidRDefault="003632BE" w:rsidP="003632BE"/>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p w14:paraId="54BD86B1" w14:textId="77777777" w:rsidR="003632BE" w:rsidRPr="003632BE" w:rsidRDefault="003632BE" w:rsidP="003632BE"/>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923"/>
            </w:tblGrid>
            <w:tr w:rsidR="003632BE" w:rsidRPr="003632BE" w14:paraId="3E95F5AD" w14:textId="77777777">
              <w:trPr>
                <w:jc w:val="center"/>
              </w:trPr>
              <w:tc>
                <w:tcPr>
                  <w:tcW w:w="0" w:type="auto"/>
                  <w:tcMar>
                    <w:top w:w="0" w:type="dxa"/>
                    <w:left w:w="0" w:type="dxa"/>
                    <w:bottom w:w="0" w:type="dxa"/>
                    <w:right w:w="0" w:type="dxa"/>
                  </w:tcMar>
                  <w:vAlign w:val="center"/>
                  <w:hideMark/>
                </w:tcPr>
                <w:p w14:paraId="05E508F9" w14:textId="77777777" w:rsidR="003632BE" w:rsidRPr="003632BE" w:rsidRDefault="003632BE" w:rsidP="003632BE">
                  <w:pPr>
                    <w:rPr>
                      <w:b/>
                      <w:bCs/>
                    </w:rPr>
                  </w:pPr>
                  <w:r w:rsidRPr="003632BE">
                    <w:rPr>
                      <w:b/>
                      <w:bCs/>
                    </w:rPr>
                    <w:t>negative</w:t>
                  </w:r>
                </w:p>
              </w:tc>
            </w:tr>
            <w:tr w:rsidR="003632BE" w:rsidRPr="003632BE" w14:paraId="5ACD0450" w14:textId="77777777">
              <w:trPr>
                <w:jc w:val="center"/>
              </w:trPr>
              <w:tc>
                <w:tcPr>
                  <w:tcW w:w="0" w:type="auto"/>
                  <w:tcMar>
                    <w:top w:w="0" w:type="dxa"/>
                    <w:left w:w="0" w:type="dxa"/>
                    <w:bottom w:w="0" w:type="dxa"/>
                    <w:right w:w="0" w:type="dxa"/>
                  </w:tcMar>
                  <w:vAlign w:val="center"/>
                  <w:hideMark/>
                </w:tcPr>
                <w:p w14:paraId="19FEB0B0" w14:textId="77777777" w:rsidR="003632BE" w:rsidRPr="003632BE" w:rsidRDefault="003632BE" w:rsidP="003632BE">
                  <w:pPr>
                    <w:rPr>
                      <w:b/>
                      <w:bCs/>
                    </w:rPr>
                  </w:pPr>
                  <w:r w:rsidRPr="003632BE">
                    <w:rPr>
                      <w:b/>
                      <w:bCs/>
                    </w:rPr>
                    <w:t>(80.8%)</w:t>
                  </w:r>
                </w:p>
              </w:tc>
            </w:tr>
          </w:tbl>
          <w:p w14:paraId="062B49A2" w14:textId="77777777" w:rsidR="003632BE" w:rsidRPr="003632BE" w:rsidRDefault="003632BE" w:rsidP="003632BE">
            <w:pPr>
              <w:rPr>
                <w:b/>
                <w:bCs/>
              </w:rPr>
            </w:pPr>
          </w:p>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800"/>
            </w:tblGrid>
            <w:tr w:rsidR="003632BE" w:rsidRPr="003632BE" w14:paraId="36CADF1B" w14:textId="77777777">
              <w:trPr>
                <w:jc w:val="center"/>
              </w:trPr>
              <w:tc>
                <w:tcPr>
                  <w:tcW w:w="0" w:type="auto"/>
                  <w:tcMar>
                    <w:top w:w="0" w:type="dxa"/>
                    <w:left w:w="0" w:type="dxa"/>
                    <w:bottom w:w="0" w:type="dxa"/>
                    <w:right w:w="0" w:type="dxa"/>
                  </w:tcMar>
                  <w:vAlign w:val="center"/>
                  <w:hideMark/>
                </w:tcPr>
                <w:p w14:paraId="45B473CA" w14:textId="77777777" w:rsidR="003632BE" w:rsidRPr="003632BE" w:rsidRDefault="003632BE" w:rsidP="003632BE">
                  <w:pPr>
                    <w:rPr>
                      <w:b/>
                      <w:bCs/>
                    </w:rPr>
                  </w:pPr>
                  <w:r w:rsidRPr="003632BE">
                    <w:rPr>
                      <w:b/>
                      <w:bCs/>
                    </w:rPr>
                    <w:t>neutral</w:t>
                  </w:r>
                </w:p>
              </w:tc>
            </w:tr>
            <w:tr w:rsidR="003632BE" w:rsidRPr="003632BE" w14:paraId="1C811904" w14:textId="77777777">
              <w:trPr>
                <w:jc w:val="center"/>
              </w:trPr>
              <w:tc>
                <w:tcPr>
                  <w:tcW w:w="0" w:type="auto"/>
                  <w:tcMar>
                    <w:top w:w="0" w:type="dxa"/>
                    <w:left w:w="0" w:type="dxa"/>
                    <w:bottom w:w="0" w:type="dxa"/>
                    <w:right w:w="0" w:type="dxa"/>
                  </w:tcMar>
                  <w:vAlign w:val="center"/>
                  <w:hideMark/>
                </w:tcPr>
                <w:p w14:paraId="1FDDD6AB" w14:textId="77777777" w:rsidR="003632BE" w:rsidRPr="003632BE" w:rsidRDefault="003632BE" w:rsidP="003632BE">
                  <w:pPr>
                    <w:rPr>
                      <w:b/>
                      <w:bCs/>
                    </w:rPr>
                  </w:pPr>
                  <w:r w:rsidRPr="003632BE">
                    <w:rPr>
                      <w:b/>
                      <w:bCs/>
                    </w:rPr>
                    <w:t>(83.3%)</w:t>
                  </w:r>
                </w:p>
              </w:tc>
            </w:tr>
          </w:tbl>
          <w:p w14:paraId="1FA97F74" w14:textId="77777777" w:rsidR="003632BE" w:rsidRPr="003632BE" w:rsidRDefault="003632BE" w:rsidP="003632BE">
            <w:pPr>
              <w:rPr>
                <w:b/>
                <w:bCs/>
              </w:rPr>
            </w:pPr>
          </w:p>
        </w:tc>
        <w:tc>
          <w:tcPr>
            <w:tcW w:w="0" w:type="auto"/>
            <w:tcBorders>
              <w:top w:val="single" w:sz="6" w:space="0" w:color="DDDDDD"/>
              <w:bottom w:val="single" w:sz="12" w:space="0" w:color="DDDDDD"/>
              <w:right w:val="single" w:sz="18" w:space="0" w:color="000000"/>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865"/>
            </w:tblGrid>
            <w:tr w:rsidR="003632BE" w:rsidRPr="003632BE" w14:paraId="2E101FAA" w14:textId="77777777">
              <w:trPr>
                <w:jc w:val="center"/>
              </w:trPr>
              <w:tc>
                <w:tcPr>
                  <w:tcW w:w="0" w:type="auto"/>
                  <w:tcMar>
                    <w:top w:w="0" w:type="dxa"/>
                    <w:left w:w="0" w:type="dxa"/>
                    <w:bottom w:w="0" w:type="dxa"/>
                    <w:right w:w="0" w:type="dxa"/>
                  </w:tcMar>
                  <w:vAlign w:val="center"/>
                  <w:hideMark/>
                </w:tcPr>
                <w:p w14:paraId="448B462E" w14:textId="77777777" w:rsidR="003632BE" w:rsidRPr="003632BE" w:rsidRDefault="003632BE" w:rsidP="003632BE">
                  <w:pPr>
                    <w:rPr>
                      <w:b/>
                      <w:bCs/>
                    </w:rPr>
                  </w:pPr>
                  <w:r w:rsidRPr="003632BE">
                    <w:rPr>
                      <w:b/>
                      <w:bCs/>
                    </w:rPr>
                    <w:t>positive</w:t>
                  </w:r>
                </w:p>
              </w:tc>
            </w:tr>
            <w:tr w:rsidR="003632BE" w:rsidRPr="003632BE" w14:paraId="584F7B63" w14:textId="77777777">
              <w:trPr>
                <w:jc w:val="center"/>
              </w:trPr>
              <w:tc>
                <w:tcPr>
                  <w:tcW w:w="0" w:type="auto"/>
                  <w:tcMar>
                    <w:top w:w="0" w:type="dxa"/>
                    <w:left w:w="0" w:type="dxa"/>
                    <w:bottom w:w="0" w:type="dxa"/>
                    <w:right w:w="0" w:type="dxa"/>
                  </w:tcMar>
                  <w:vAlign w:val="center"/>
                  <w:hideMark/>
                </w:tcPr>
                <w:p w14:paraId="3B9B8524" w14:textId="77777777" w:rsidR="003632BE" w:rsidRPr="003632BE" w:rsidRDefault="003632BE" w:rsidP="003632BE">
                  <w:pPr>
                    <w:rPr>
                      <w:b/>
                      <w:bCs/>
                    </w:rPr>
                  </w:pPr>
                  <w:r w:rsidRPr="003632BE">
                    <w:rPr>
                      <w:b/>
                      <w:bCs/>
                    </w:rPr>
                    <w:t>(72.5%)</w:t>
                  </w:r>
                </w:p>
              </w:tc>
            </w:tr>
          </w:tbl>
          <w:p w14:paraId="7C3D5F7A" w14:textId="77777777" w:rsidR="003632BE" w:rsidRPr="003632BE" w:rsidRDefault="003632BE" w:rsidP="003632BE">
            <w:pPr>
              <w:rPr>
                <w:b/>
                <w:bCs/>
              </w:rPr>
            </w:pPr>
          </w:p>
        </w:tc>
        <w:tc>
          <w:tcPr>
            <w:tcW w:w="0" w:type="auto"/>
            <w:tcBorders>
              <w:top w:val="single" w:sz="6" w:space="0" w:color="DDDDDD"/>
              <w:bottom w:val="single" w:sz="12" w:space="0" w:color="DDDDDD"/>
            </w:tcBorders>
            <w:tcMar>
              <w:top w:w="120" w:type="dxa"/>
              <w:left w:w="120" w:type="dxa"/>
              <w:bottom w:w="120" w:type="dxa"/>
              <w:right w:w="120" w:type="dxa"/>
            </w:tcMar>
            <w:vAlign w:val="bottom"/>
            <w:hideMark/>
          </w:tcPr>
          <w:tbl>
            <w:tblPr>
              <w:tblW w:w="0" w:type="auto"/>
              <w:jc w:val="center"/>
              <w:tblCellMar>
                <w:top w:w="15" w:type="dxa"/>
                <w:left w:w="15" w:type="dxa"/>
                <w:bottom w:w="15" w:type="dxa"/>
                <w:right w:w="15" w:type="dxa"/>
              </w:tblCellMar>
              <w:tblLook w:val="04A0" w:firstRow="1" w:lastRow="0" w:firstColumn="1" w:lastColumn="0" w:noHBand="0" w:noVBand="1"/>
            </w:tblPr>
            <w:tblGrid>
              <w:gridCol w:w="529"/>
            </w:tblGrid>
            <w:tr w:rsidR="003632BE" w:rsidRPr="003632BE" w14:paraId="532DCBB5" w14:textId="77777777">
              <w:trPr>
                <w:jc w:val="center"/>
              </w:trPr>
              <w:tc>
                <w:tcPr>
                  <w:tcW w:w="0" w:type="auto"/>
                  <w:tcMar>
                    <w:top w:w="0" w:type="dxa"/>
                    <w:left w:w="0" w:type="dxa"/>
                    <w:bottom w:w="0" w:type="dxa"/>
                    <w:right w:w="0" w:type="dxa"/>
                  </w:tcMar>
                  <w:vAlign w:val="center"/>
                  <w:hideMark/>
                </w:tcPr>
                <w:p w14:paraId="5984B558" w14:textId="77777777" w:rsidR="003632BE" w:rsidRPr="003632BE" w:rsidRDefault="003632BE" w:rsidP="003632BE">
                  <w:pPr>
                    <w:rPr>
                      <w:b/>
                      <w:bCs/>
                    </w:rPr>
                  </w:pPr>
                  <w:r w:rsidRPr="003632BE">
                    <w:rPr>
                      <w:b/>
                      <w:bCs/>
                    </w:rPr>
                    <w:t>Total</w:t>
                  </w:r>
                </w:p>
              </w:tc>
            </w:tr>
          </w:tbl>
          <w:p w14:paraId="1EECB752" w14:textId="77777777" w:rsidR="003632BE" w:rsidRPr="003632BE" w:rsidRDefault="003632BE" w:rsidP="003632BE">
            <w:pPr>
              <w:rPr>
                <w:b/>
                <w:bCs/>
              </w:rPr>
            </w:pPr>
          </w:p>
        </w:tc>
      </w:tr>
      <w:tr w:rsidR="003632BE" w:rsidRPr="003632BE" w14:paraId="19F079DD" w14:textId="77777777">
        <w:tc>
          <w:tcPr>
            <w:tcW w:w="0" w:type="auto"/>
            <w:tcBorders>
              <w:top w:val="single" w:sz="6" w:space="0" w:color="DDDDDD"/>
            </w:tcBorders>
            <w:tcMar>
              <w:top w:w="120" w:type="dxa"/>
              <w:left w:w="120" w:type="dxa"/>
              <w:bottom w:w="120" w:type="dxa"/>
              <w:right w:w="120" w:type="dxa"/>
            </w:tcMar>
            <w:vAlign w:val="center"/>
            <w:hideMark/>
          </w:tcPr>
          <w:p w14:paraId="40B4AC14" w14:textId="77777777" w:rsidR="003632BE" w:rsidRPr="003632BE" w:rsidRDefault="003632BE" w:rsidP="003632BE">
            <w:r w:rsidRPr="003632BE">
              <w:t>Truth</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6E3A431F" w14:textId="77777777" w:rsidR="003632BE" w:rsidRPr="003632BE" w:rsidRDefault="003632BE" w:rsidP="003632BE">
            <w:r w:rsidRPr="003632BE">
              <w:t>negative (68.9%)</w:t>
            </w:r>
          </w:p>
        </w:tc>
        <w:tc>
          <w:tcPr>
            <w:tcW w:w="0" w:type="auto"/>
            <w:tcBorders>
              <w:top w:val="single" w:sz="6" w:space="0" w:color="DDDDDD"/>
            </w:tcBorders>
            <w:tcMar>
              <w:top w:w="120" w:type="dxa"/>
              <w:left w:w="120" w:type="dxa"/>
              <w:bottom w:w="120" w:type="dxa"/>
              <w:right w:w="120" w:type="dxa"/>
            </w:tcMar>
            <w:vAlign w:val="center"/>
            <w:hideMark/>
          </w:tcPr>
          <w:p w14:paraId="4C2DDD85" w14:textId="77777777" w:rsidR="003632BE" w:rsidRPr="003632BE" w:rsidRDefault="003632BE" w:rsidP="003632BE">
            <w:r w:rsidRPr="003632BE">
              <w:rPr>
                <w:b/>
                <w:bCs/>
              </w:rPr>
              <w:t>173</w:t>
            </w:r>
          </w:p>
        </w:tc>
        <w:tc>
          <w:tcPr>
            <w:tcW w:w="0" w:type="auto"/>
            <w:tcBorders>
              <w:top w:val="single" w:sz="6" w:space="0" w:color="DDDDDD"/>
            </w:tcBorders>
            <w:tcMar>
              <w:top w:w="120" w:type="dxa"/>
              <w:left w:w="120" w:type="dxa"/>
              <w:bottom w:w="120" w:type="dxa"/>
              <w:right w:w="120" w:type="dxa"/>
            </w:tcMar>
            <w:vAlign w:val="center"/>
            <w:hideMark/>
          </w:tcPr>
          <w:p w14:paraId="16980877" w14:textId="77777777" w:rsidR="003632BE" w:rsidRPr="003632BE" w:rsidRDefault="003632BE" w:rsidP="003632BE">
            <w:r w:rsidRPr="003632BE">
              <w:t>61</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61898C34" w14:textId="77777777" w:rsidR="003632BE" w:rsidRPr="003632BE" w:rsidRDefault="003632BE" w:rsidP="003632BE">
            <w:r w:rsidRPr="003632BE">
              <w:t>17</w:t>
            </w:r>
          </w:p>
        </w:tc>
        <w:tc>
          <w:tcPr>
            <w:tcW w:w="0" w:type="auto"/>
            <w:tcBorders>
              <w:top w:val="single" w:sz="6" w:space="0" w:color="DDDDDD"/>
            </w:tcBorders>
            <w:tcMar>
              <w:top w:w="120" w:type="dxa"/>
              <w:left w:w="120" w:type="dxa"/>
              <w:bottom w:w="120" w:type="dxa"/>
              <w:right w:w="120" w:type="dxa"/>
            </w:tcMar>
            <w:vAlign w:val="center"/>
            <w:hideMark/>
          </w:tcPr>
          <w:p w14:paraId="74D491F6" w14:textId="77777777" w:rsidR="003632BE" w:rsidRPr="003632BE" w:rsidRDefault="003632BE" w:rsidP="003632BE">
            <w:r w:rsidRPr="003632BE">
              <w:t>251</w:t>
            </w:r>
          </w:p>
        </w:tc>
      </w:tr>
      <w:tr w:rsidR="003632BE" w:rsidRPr="003632BE" w14:paraId="6F59B19F" w14:textId="77777777">
        <w:tc>
          <w:tcPr>
            <w:tcW w:w="0" w:type="auto"/>
            <w:tcBorders>
              <w:top w:val="single" w:sz="6" w:space="0" w:color="DDDDDD"/>
            </w:tcBorders>
            <w:tcMar>
              <w:top w:w="120" w:type="dxa"/>
              <w:left w:w="120" w:type="dxa"/>
              <w:bottom w:w="120" w:type="dxa"/>
              <w:right w:w="120" w:type="dxa"/>
            </w:tcMar>
            <w:vAlign w:val="center"/>
            <w:hideMark/>
          </w:tcPr>
          <w:p w14:paraId="397FD18D" w14:textId="77777777" w:rsidR="003632BE" w:rsidRPr="003632BE" w:rsidRDefault="003632BE" w:rsidP="003632BE"/>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7796E5E3" w14:textId="77777777" w:rsidR="003632BE" w:rsidRPr="003632BE" w:rsidRDefault="003632BE" w:rsidP="003632BE">
            <w:r w:rsidRPr="003632BE">
              <w:t>neutral (79.8%)</w:t>
            </w:r>
          </w:p>
        </w:tc>
        <w:tc>
          <w:tcPr>
            <w:tcW w:w="0" w:type="auto"/>
            <w:tcBorders>
              <w:top w:val="single" w:sz="6" w:space="0" w:color="DDDDDD"/>
            </w:tcBorders>
            <w:tcMar>
              <w:top w:w="120" w:type="dxa"/>
              <w:left w:w="120" w:type="dxa"/>
              <w:bottom w:w="120" w:type="dxa"/>
              <w:right w:w="120" w:type="dxa"/>
            </w:tcMar>
            <w:vAlign w:val="center"/>
            <w:hideMark/>
          </w:tcPr>
          <w:p w14:paraId="72FE233B" w14:textId="77777777" w:rsidR="003632BE" w:rsidRPr="003632BE" w:rsidRDefault="003632BE" w:rsidP="003632BE">
            <w:r w:rsidRPr="003632BE">
              <w:t>30</w:t>
            </w:r>
          </w:p>
        </w:tc>
        <w:tc>
          <w:tcPr>
            <w:tcW w:w="0" w:type="auto"/>
            <w:tcBorders>
              <w:top w:val="single" w:sz="6" w:space="0" w:color="DDDDDD"/>
            </w:tcBorders>
            <w:tcMar>
              <w:top w:w="120" w:type="dxa"/>
              <w:left w:w="120" w:type="dxa"/>
              <w:bottom w:w="120" w:type="dxa"/>
              <w:right w:w="120" w:type="dxa"/>
            </w:tcMar>
            <w:vAlign w:val="center"/>
            <w:hideMark/>
          </w:tcPr>
          <w:p w14:paraId="1A9A92AF" w14:textId="77777777" w:rsidR="003632BE" w:rsidRPr="003632BE" w:rsidRDefault="003632BE" w:rsidP="003632BE">
            <w:r w:rsidRPr="003632BE">
              <w:rPr>
                <w:b/>
                <w:bCs/>
              </w:rPr>
              <w:t>424</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36FA0DFB" w14:textId="77777777" w:rsidR="003632BE" w:rsidRPr="003632BE" w:rsidRDefault="003632BE" w:rsidP="003632BE">
            <w:r w:rsidRPr="003632BE">
              <w:t>77</w:t>
            </w:r>
          </w:p>
        </w:tc>
        <w:tc>
          <w:tcPr>
            <w:tcW w:w="0" w:type="auto"/>
            <w:tcBorders>
              <w:top w:val="single" w:sz="6" w:space="0" w:color="DDDDDD"/>
            </w:tcBorders>
            <w:tcMar>
              <w:top w:w="120" w:type="dxa"/>
              <w:left w:w="120" w:type="dxa"/>
              <w:bottom w:w="120" w:type="dxa"/>
              <w:right w:w="120" w:type="dxa"/>
            </w:tcMar>
            <w:vAlign w:val="center"/>
            <w:hideMark/>
          </w:tcPr>
          <w:p w14:paraId="31F717D2" w14:textId="77777777" w:rsidR="003632BE" w:rsidRPr="003632BE" w:rsidRDefault="003632BE" w:rsidP="003632BE">
            <w:r w:rsidRPr="003632BE">
              <w:t>531</w:t>
            </w:r>
          </w:p>
        </w:tc>
      </w:tr>
      <w:tr w:rsidR="003632BE" w:rsidRPr="003632BE" w14:paraId="2AB19D50" w14:textId="77777777">
        <w:tc>
          <w:tcPr>
            <w:tcW w:w="0" w:type="auto"/>
            <w:tcBorders>
              <w:top w:val="single" w:sz="6" w:space="0" w:color="DDDDDD"/>
            </w:tcBorders>
            <w:tcMar>
              <w:top w:w="120" w:type="dxa"/>
              <w:left w:w="120" w:type="dxa"/>
              <w:bottom w:w="120" w:type="dxa"/>
              <w:right w:w="120" w:type="dxa"/>
            </w:tcMar>
            <w:vAlign w:val="center"/>
            <w:hideMark/>
          </w:tcPr>
          <w:p w14:paraId="5F0014E6" w14:textId="77777777" w:rsidR="003632BE" w:rsidRPr="003632BE" w:rsidRDefault="003632BE" w:rsidP="003632BE"/>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212EAA60" w14:textId="77777777" w:rsidR="003632BE" w:rsidRPr="003632BE" w:rsidRDefault="003632BE" w:rsidP="003632BE">
            <w:r w:rsidRPr="003632BE">
              <w:t>positive (87.6%)</w:t>
            </w:r>
          </w:p>
        </w:tc>
        <w:tc>
          <w:tcPr>
            <w:tcW w:w="0" w:type="auto"/>
            <w:tcBorders>
              <w:top w:val="single" w:sz="6" w:space="0" w:color="DDDDDD"/>
            </w:tcBorders>
            <w:tcMar>
              <w:top w:w="120" w:type="dxa"/>
              <w:left w:w="120" w:type="dxa"/>
              <w:bottom w:w="120" w:type="dxa"/>
              <w:right w:w="120" w:type="dxa"/>
            </w:tcMar>
            <w:vAlign w:val="center"/>
            <w:hideMark/>
          </w:tcPr>
          <w:p w14:paraId="164AF128" w14:textId="77777777" w:rsidR="003632BE" w:rsidRPr="003632BE" w:rsidRDefault="003632BE" w:rsidP="003632BE">
            <w:r w:rsidRPr="003632BE">
              <w:t>11</w:t>
            </w:r>
          </w:p>
        </w:tc>
        <w:tc>
          <w:tcPr>
            <w:tcW w:w="0" w:type="auto"/>
            <w:tcBorders>
              <w:top w:val="single" w:sz="6" w:space="0" w:color="DDDDDD"/>
            </w:tcBorders>
            <w:tcMar>
              <w:top w:w="120" w:type="dxa"/>
              <w:left w:w="120" w:type="dxa"/>
              <w:bottom w:w="120" w:type="dxa"/>
              <w:right w:w="120" w:type="dxa"/>
            </w:tcMar>
            <w:vAlign w:val="center"/>
            <w:hideMark/>
          </w:tcPr>
          <w:p w14:paraId="54123B8F" w14:textId="77777777" w:rsidR="003632BE" w:rsidRPr="003632BE" w:rsidRDefault="003632BE" w:rsidP="003632BE">
            <w:r w:rsidRPr="003632BE">
              <w:t>24</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5A83C759" w14:textId="77777777" w:rsidR="003632BE" w:rsidRPr="003632BE" w:rsidRDefault="003632BE" w:rsidP="003632BE">
            <w:r w:rsidRPr="003632BE">
              <w:rPr>
                <w:b/>
                <w:bCs/>
              </w:rPr>
              <w:t>248</w:t>
            </w:r>
          </w:p>
        </w:tc>
        <w:tc>
          <w:tcPr>
            <w:tcW w:w="0" w:type="auto"/>
            <w:tcBorders>
              <w:top w:val="single" w:sz="6" w:space="0" w:color="DDDDDD"/>
            </w:tcBorders>
            <w:tcMar>
              <w:top w:w="120" w:type="dxa"/>
              <w:left w:w="120" w:type="dxa"/>
              <w:bottom w:w="120" w:type="dxa"/>
              <w:right w:w="120" w:type="dxa"/>
            </w:tcMar>
            <w:vAlign w:val="center"/>
            <w:hideMark/>
          </w:tcPr>
          <w:p w14:paraId="0C83787A" w14:textId="77777777" w:rsidR="003632BE" w:rsidRPr="003632BE" w:rsidRDefault="003632BE" w:rsidP="003632BE">
            <w:r w:rsidRPr="003632BE">
              <w:t>283</w:t>
            </w:r>
          </w:p>
        </w:tc>
      </w:tr>
      <w:tr w:rsidR="003632BE" w:rsidRPr="003632BE" w14:paraId="6776C49E" w14:textId="77777777">
        <w:tc>
          <w:tcPr>
            <w:tcW w:w="0" w:type="auto"/>
            <w:tcBorders>
              <w:top w:val="single" w:sz="6" w:space="0" w:color="DDDDDD"/>
            </w:tcBorders>
            <w:tcMar>
              <w:top w:w="120" w:type="dxa"/>
              <w:left w:w="120" w:type="dxa"/>
              <w:bottom w:w="120" w:type="dxa"/>
              <w:right w:w="120" w:type="dxa"/>
            </w:tcMar>
            <w:vAlign w:val="center"/>
            <w:hideMark/>
          </w:tcPr>
          <w:p w14:paraId="7AECDA5B" w14:textId="77777777" w:rsidR="003632BE" w:rsidRPr="003632BE" w:rsidRDefault="003632BE" w:rsidP="003632BE"/>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6B81BC28" w14:textId="77777777" w:rsidR="003632BE" w:rsidRPr="003632BE" w:rsidRDefault="003632BE" w:rsidP="003632BE">
            <w:r w:rsidRPr="003632BE">
              <w:t>Total</w:t>
            </w:r>
          </w:p>
        </w:tc>
        <w:tc>
          <w:tcPr>
            <w:tcW w:w="0" w:type="auto"/>
            <w:tcBorders>
              <w:top w:val="single" w:sz="6" w:space="0" w:color="DDDDDD"/>
            </w:tcBorders>
            <w:tcMar>
              <w:top w:w="120" w:type="dxa"/>
              <w:left w:w="120" w:type="dxa"/>
              <w:bottom w:w="120" w:type="dxa"/>
              <w:right w:w="120" w:type="dxa"/>
            </w:tcMar>
            <w:vAlign w:val="center"/>
            <w:hideMark/>
          </w:tcPr>
          <w:p w14:paraId="6B1C4855" w14:textId="77777777" w:rsidR="003632BE" w:rsidRPr="003632BE" w:rsidRDefault="003632BE" w:rsidP="003632BE">
            <w:r w:rsidRPr="003632BE">
              <w:t>214</w:t>
            </w:r>
          </w:p>
        </w:tc>
        <w:tc>
          <w:tcPr>
            <w:tcW w:w="0" w:type="auto"/>
            <w:tcBorders>
              <w:top w:val="single" w:sz="6" w:space="0" w:color="DDDDDD"/>
            </w:tcBorders>
            <w:tcMar>
              <w:top w:w="120" w:type="dxa"/>
              <w:left w:w="120" w:type="dxa"/>
              <w:bottom w:w="120" w:type="dxa"/>
              <w:right w:w="120" w:type="dxa"/>
            </w:tcMar>
            <w:vAlign w:val="center"/>
            <w:hideMark/>
          </w:tcPr>
          <w:p w14:paraId="370FE42F" w14:textId="77777777" w:rsidR="003632BE" w:rsidRPr="003632BE" w:rsidRDefault="003632BE" w:rsidP="003632BE">
            <w:r w:rsidRPr="003632BE">
              <w:t>509</w:t>
            </w:r>
          </w:p>
        </w:tc>
        <w:tc>
          <w:tcPr>
            <w:tcW w:w="0" w:type="auto"/>
            <w:tcBorders>
              <w:top w:val="single" w:sz="6" w:space="0" w:color="DDDDDD"/>
              <w:right w:val="single" w:sz="18" w:space="0" w:color="000000"/>
            </w:tcBorders>
            <w:tcMar>
              <w:top w:w="120" w:type="dxa"/>
              <w:left w:w="120" w:type="dxa"/>
              <w:bottom w:w="120" w:type="dxa"/>
              <w:right w:w="120" w:type="dxa"/>
            </w:tcMar>
            <w:vAlign w:val="center"/>
            <w:hideMark/>
          </w:tcPr>
          <w:p w14:paraId="77B1A9ED" w14:textId="77777777" w:rsidR="003632BE" w:rsidRPr="003632BE" w:rsidRDefault="003632BE" w:rsidP="003632BE">
            <w:r w:rsidRPr="003632BE">
              <w:t>342</w:t>
            </w:r>
          </w:p>
        </w:tc>
        <w:tc>
          <w:tcPr>
            <w:tcW w:w="0" w:type="auto"/>
            <w:tcBorders>
              <w:top w:val="single" w:sz="6" w:space="0" w:color="DDDDDD"/>
            </w:tcBorders>
            <w:tcMar>
              <w:top w:w="120" w:type="dxa"/>
              <w:left w:w="120" w:type="dxa"/>
              <w:bottom w:w="120" w:type="dxa"/>
              <w:right w:w="120" w:type="dxa"/>
            </w:tcMar>
            <w:vAlign w:val="center"/>
            <w:hideMark/>
          </w:tcPr>
          <w:p w14:paraId="75D0D48B" w14:textId="77777777" w:rsidR="003632BE" w:rsidRPr="003632BE" w:rsidRDefault="003632BE" w:rsidP="003632BE">
            <w:r w:rsidRPr="003632BE">
              <w:t>1065</w:t>
            </w:r>
          </w:p>
        </w:tc>
      </w:tr>
    </w:tbl>
    <w:p w14:paraId="5261BF6F" w14:textId="13D93101" w:rsidR="003632BE" w:rsidRPr="003632BE" w:rsidRDefault="003632BE" w:rsidP="003632BE">
      <w:r w:rsidRPr="003632BE">
        <w:drawing>
          <wp:inline distT="0" distB="0" distL="0" distR="0" wp14:anchorId="598E30F7" wp14:editId="047EE9BA">
            <wp:extent cx="5943600" cy="1496695"/>
            <wp:effectExtent l="0" t="0" r="0" b="8255"/>
            <wp:docPr id="1725181971" name="Picture 5"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1496695"/>
                    </a:xfrm>
                    <a:prstGeom prst="rect">
                      <a:avLst/>
                    </a:prstGeom>
                    <a:noFill/>
                    <a:ln>
                      <a:noFill/>
                    </a:ln>
                  </pic:spPr>
                </pic:pic>
              </a:graphicData>
            </a:graphic>
          </wp:inline>
        </w:drawing>
      </w:r>
      <w:r w:rsidRPr="003632BE">
        <w:t>Figure 2: F1 Scores by Model and Sentiment for FOMC Sentiment Analysis</w:t>
      </w:r>
    </w:p>
    <w:p w14:paraId="0AF9DD98" w14:textId="77777777" w:rsidR="003632BE" w:rsidRPr="003632BE" w:rsidRDefault="003632BE" w:rsidP="003632BE">
      <w:r w:rsidRPr="003632BE">
        <w:rPr>
          <w:u w:val="single"/>
        </w:rPr>
        <w:t>6</w:t>
      </w:r>
      <w:r w:rsidRPr="003632BE">
        <w:t> Conclusion</w:t>
      </w:r>
    </w:p>
    <w:p w14:paraId="2EB6C2A6" w14:textId="77777777" w:rsidR="003632BE" w:rsidRPr="003632BE" w:rsidRDefault="003632BE" w:rsidP="003632BE">
      <w:r w:rsidRPr="003632BE">
        <w:t xml:space="preserve">Key observations from the F1 scores of different models for FOMC sentiment analysis indicate that Llama 3 is the most effective, achieving the highest average F1 score of 0.784 with strong performance across negative, neutral, and positive sentiments. GPT-4 also performs well, particularly excelling in negative sentiment with an F1 score of 0.748, though its performance in neutral sentiment is relatively lower at 0.504. Both </w:t>
      </w:r>
      <w:proofErr w:type="spellStart"/>
      <w:r w:rsidRPr="003632BE">
        <w:t>FinBERT</w:t>
      </w:r>
      <w:proofErr w:type="spellEnd"/>
      <w:r w:rsidRPr="003632BE">
        <w:t xml:space="preserve"> and </w:t>
      </w:r>
      <w:proofErr w:type="spellStart"/>
      <w:r w:rsidRPr="003632BE">
        <w:t>FinBERT</w:t>
      </w:r>
      <w:proofErr w:type="spellEnd"/>
      <w:r w:rsidRPr="003632BE">
        <w:t xml:space="preserve">-FOMC show similar and competitive results, with </w:t>
      </w:r>
      <w:proofErr w:type="spellStart"/>
      <w:r w:rsidRPr="003632BE">
        <w:t>FinBERT</w:t>
      </w:r>
      <w:proofErr w:type="spellEnd"/>
      <w:r w:rsidRPr="003632BE">
        <w:t>-FOMC slightly ahead in the average score (0.639 versus 0.600).</w:t>
      </w:r>
    </w:p>
    <w:p w14:paraId="34561726" w14:textId="77777777" w:rsidR="003632BE" w:rsidRPr="003632BE" w:rsidRDefault="003632BE" w:rsidP="003632BE">
      <w:proofErr w:type="spellStart"/>
      <w:r w:rsidRPr="003632BE">
        <w:t>FinBERT</w:t>
      </w:r>
      <w:proofErr w:type="spellEnd"/>
      <w:r w:rsidRPr="003632BE">
        <w:t>-FOMC</w:t>
      </w:r>
      <w:proofErr w:type="gramStart"/>
      <w:r w:rsidRPr="003632BE">
        <w:t>, in particular, has</w:t>
      </w:r>
      <w:proofErr w:type="gramEnd"/>
      <w:r w:rsidRPr="003632BE">
        <w:t xml:space="preserve"> shown enhanced capability due to its fine-tuning process, outperforming the base </w:t>
      </w:r>
      <w:proofErr w:type="spellStart"/>
      <w:r w:rsidRPr="003632BE">
        <w:t>FinBERT</w:t>
      </w:r>
      <w:proofErr w:type="spellEnd"/>
      <w:r w:rsidRPr="003632BE">
        <w:t xml:space="preserve"> model. Although it does not reach the accuracy </w:t>
      </w:r>
      <w:r w:rsidRPr="003632BE">
        <w:lastRenderedPageBreak/>
        <w:t xml:space="preserve">level of Llama 3, </w:t>
      </w:r>
      <w:proofErr w:type="spellStart"/>
      <w:r w:rsidRPr="003632BE">
        <w:t>FinBERT</w:t>
      </w:r>
      <w:proofErr w:type="spellEnd"/>
      <w:r w:rsidRPr="003632BE">
        <w:t xml:space="preserve">-FOMC offers a good size-performance trade-off. With its relatively compact architecture, </w:t>
      </w:r>
      <w:proofErr w:type="spellStart"/>
      <w:r w:rsidRPr="003632BE">
        <w:t>FinBERT</w:t>
      </w:r>
      <w:proofErr w:type="spellEnd"/>
      <w:r w:rsidRPr="003632BE">
        <w:t>-FOMC stands out as a promising candidate for specialized sentiment analysis in the context of FOMC communications compared to GPT-4.</w:t>
      </w:r>
    </w:p>
    <w:p w14:paraId="65C2D329" w14:textId="77777777" w:rsidR="003632BE" w:rsidRPr="003632BE" w:rsidRDefault="003632BE" w:rsidP="003632BE">
      <w:r w:rsidRPr="003632BE">
        <w:t xml:space="preserve">In summary, while Llama 3 outperforms other models, adhering to the principle of ’small is beautiful,’ </w:t>
      </w:r>
      <w:proofErr w:type="spellStart"/>
      <w:r w:rsidRPr="003632BE">
        <w:t>FinBERT</w:t>
      </w:r>
      <w:proofErr w:type="spellEnd"/>
      <w:r w:rsidRPr="003632BE">
        <w:t xml:space="preserve">-FOMC demonstrates that fine-tuning can yield efficient and cost-effective solutions. It remains beneficial for researchers or institutions to create customized language models tailored to their specific requirements, leveraging the versatility and efficiency of models like </w:t>
      </w:r>
      <w:proofErr w:type="spellStart"/>
      <w:r w:rsidRPr="003632BE">
        <w:t>FinBERT</w:t>
      </w:r>
      <w:proofErr w:type="spellEnd"/>
      <w:r w:rsidRPr="003632BE">
        <w:t>-FOMC.</w:t>
      </w:r>
    </w:p>
    <w:p w14:paraId="7E2BBB3C" w14:textId="77777777" w:rsidR="003632BE" w:rsidRPr="003632BE" w:rsidRDefault="003632BE" w:rsidP="003632BE">
      <w:r w:rsidRPr="003632BE">
        <w:rPr>
          <w:u w:val="single"/>
        </w:rPr>
        <w:t>7</w:t>
      </w:r>
      <w:r w:rsidRPr="003632BE">
        <w:t> Limitations and Future Work</w:t>
      </w:r>
    </w:p>
    <w:p w14:paraId="6EBAE9DA" w14:textId="77777777" w:rsidR="003632BE" w:rsidRPr="003632BE" w:rsidRDefault="003632BE" w:rsidP="003632BE">
      <w:r w:rsidRPr="003632BE">
        <w:t xml:space="preserve">The primary limitation is that the approach did not consider inter-sentence contexts due to our methodology of isolating sentences. More attention is required </w:t>
      </w:r>
      <w:proofErr w:type="gramStart"/>
      <w:r w:rsidRPr="003632BE">
        <w:t>on</w:t>
      </w:r>
      <w:proofErr w:type="gramEnd"/>
      <w:r w:rsidRPr="003632BE">
        <w:t xml:space="preserve"> the richness of contextual information, especially when interpreting statements about economic changes that are often inherently relative. While the FOMC's systematic style of communication somewhat mitigates this issue, future research must develop an approach that </w:t>
      </w:r>
      <w:proofErr w:type="gramStart"/>
      <w:r w:rsidRPr="003632BE">
        <w:t>takes into account</w:t>
      </w:r>
      <w:proofErr w:type="gramEnd"/>
      <w:r w:rsidRPr="003632BE">
        <w:t xml:space="preserve"> the entirety of the statements, considering the broader economic discourse, to enhance sentiment prediction accuracy.</w:t>
      </w:r>
    </w:p>
    <w:p w14:paraId="13AA302E" w14:textId="77777777" w:rsidR="003632BE" w:rsidRPr="003632BE" w:rsidRDefault="003632BE" w:rsidP="003632BE">
      <w:r w:rsidRPr="003632BE">
        <w:t>In future research, constructing more sophisticated FOMC sentiment classifiers should be contemplated. Such models could incorporate an ability to discern the relevance of statements to the domestic economy, distinguishing between comments on internal affairs and those about international contexts. This would necessitate an analytical framework capable of situating individual sentences within the larger economic narrative, recognizing the implications for the U.S. economy.</w:t>
      </w:r>
    </w:p>
    <w:p w14:paraId="0307226A" w14:textId="77777777" w:rsidR="003632BE" w:rsidRPr="003632BE" w:rsidRDefault="003632BE" w:rsidP="003632BE">
      <w:r w:rsidRPr="003632BE">
        <w:t>Recent advances in prompt engineering, especially research on the paradigm of flow engineering [</w:t>
      </w:r>
      <w:hyperlink r:id="rId111" w:anchor="BibPLXBIB0032" w:history="1">
        <w:r w:rsidRPr="003632BE">
          <w:rPr>
            <w:rStyle w:val="Hyperlink"/>
            <w:b/>
            <w:bCs/>
          </w:rPr>
          <w:t>32</w:t>
        </w:r>
      </w:hyperlink>
      <w:r w:rsidRPr="003632BE">
        <w:t>], are worth being investigated in future research. Additionally, future research should work to overcome existing limitations of chain-of-thought (</w:t>
      </w:r>
      <w:proofErr w:type="spellStart"/>
      <w:r w:rsidRPr="003632BE">
        <w:t>CoT</w:t>
      </w:r>
      <w:proofErr w:type="spellEnd"/>
      <w:r w:rsidRPr="003632BE">
        <w:t xml:space="preserve">) prompting concerning reliably </w:t>
      </w:r>
      <w:proofErr w:type="spellStart"/>
      <w:r w:rsidRPr="003632BE">
        <w:t>parsable</w:t>
      </w:r>
      <w:proofErr w:type="spellEnd"/>
      <w:r w:rsidRPr="003632BE">
        <w:t xml:space="preserve"> output formats (see subsection </w:t>
      </w:r>
      <w:hyperlink r:id="rId112" w:anchor="sec-17" w:history="1">
        <w:r w:rsidRPr="003632BE">
          <w:rPr>
            <w:rStyle w:val="Hyperlink"/>
            <w:b/>
            <w:bCs/>
          </w:rPr>
          <w:t>4.4</w:t>
        </w:r>
      </w:hyperlink>
      <w:r w:rsidRPr="003632BE">
        <w:t xml:space="preserve"> for documentation of our experiments that informed us not to use </w:t>
      </w:r>
      <w:proofErr w:type="spellStart"/>
      <w:r w:rsidRPr="003632BE">
        <w:t>CoT</w:t>
      </w:r>
      <w:proofErr w:type="spellEnd"/>
      <w:r w:rsidRPr="003632BE">
        <w:t xml:space="preserve"> in this study) and make use of the improvements made possible by </w:t>
      </w:r>
      <w:proofErr w:type="spellStart"/>
      <w:r w:rsidRPr="003632BE">
        <w:t>CoT</w:t>
      </w:r>
      <w:proofErr w:type="spellEnd"/>
      <w:r w:rsidRPr="003632BE">
        <w:t xml:space="preserve"> [</w:t>
      </w:r>
      <w:hyperlink r:id="rId113" w:anchor="BibPLXBIB0042" w:history="1">
        <w:r w:rsidRPr="003632BE">
          <w:rPr>
            <w:rStyle w:val="Hyperlink"/>
            <w:b/>
            <w:bCs/>
          </w:rPr>
          <w:t>42</w:t>
        </w:r>
      </w:hyperlink>
      <w:r w:rsidRPr="003632BE">
        <w:t xml:space="preserve">]. To overcome the limitations of sentence-by-sentence sentiment labels, contextualized approaches to aspect-based sentiment prediction are a promising </w:t>
      </w:r>
      <w:proofErr w:type="gramStart"/>
      <w:r w:rsidRPr="003632BE">
        <w:t>open field</w:t>
      </w:r>
      <w:proofErr w:type="gramEnd"/>
      <w:r w:rsidRPr="003632BE">
        <w:t xml:space="preserve"> for research on FOMC minutes.</w:t>
      </w:r>
    </w:p>
    <w:p w14:paraId="43BFFDD8" w14:textId="77777777" w:rsidR="003632BE" w:rsidRPr="003632BE" w:rsidRDefault="003632BE" w:rsidP="003632BE">
      <w:r w:rsidRPr="003632BE">
        <w:rPr>
          <w:u w:val="single"/>
        </w:rPr>
        <w:t>References</w:t>
      </w:r>
    </w:p>
    <w:p w14:paraId="377A304C" w14:textId="77777777" w:rsidR="003632BE" w:rsidRPr="003632BE" w:rsidRDefault="003632BE" w:rsidP="003632BE">
      <w:pPr>
        <w:numPr>
          <w:ilvl w:val="0"/>
          <w:numId w:val="5"/>
        </w:numPr>
      </w:pPr>
      <w:r w:rsidRPr="003632BE">
        <w:t xml:space="preserve">Josh Achiam, Steven Adler, </w:t>
      </w:r>
      <w:proofErr w:type="spellStart"/>
      <w:r w:rsidRPr="003632BE">
        <w:t>Sandhini</w:t>
      </w:r>
      <w:proofErr w:type="spellEnd"/>
      <w:r w:rsidRPr="003632BE">
        <w:t xml:space="preserve"> Agarwal, Lama Ahmad, </w:t>
      </w:r>
      <w:proofErr w:type="spellStart"/>
      <w:r w:rsidRPr="003632BE">
        <w:t>Ilge</w:t>
      </w:r>
      <w:proofErr w:type="spellEnd"/>
      <w:r w:rsidRPr="003632BE">
        <w:t xml:space="preserve"> Akkaya, Florencia Leoni Aleman, and Diogo Almeida. 2023. GPT-4 Technical Report. Navigate </w:t>
      </w:r>
      <w:proofErr w:type="spellStart"/>
      <w:r w:rsidRPr="003632BE">
        <w:t>tocitation</w:t>
      </w:r>
      <w:proofErr w:type="spellEnd"/>
      <w:r w:rsidRPr="003632BE">
        <w:t xml:space="preserve"> 1citation 2</w:t>
      </w:r>
    </w:p>
    <w:p w14:paraId="659BA282" w14:textId="77777777" w:rsidR="003632BE" w:rsidRPr="003632BE" w:rsidRDefault="003632BE" w:rsidP="003632BE">
      <w:pPr>
        <w:numPr>
          <w:ilvl w:val="0"/>
          <w:numId w:val="6"/>
        </w:numPr>
      </w:pPr>
      <w:r w:rsidRPr="003632BE">
        <w:lastRenderedPageBreak/>
        <w:t>Miguel Acosta. 2023. A New Measure of Central Bank Transparency and Implications for the Effectiveness of Monetary Policy. </w:t>
      </w:r>
      <w:r w:rsidRPr="003632BE">
        <w:rPr>
          <w:i/>
          <w:iCs/>
        </w:rPr>
        <w:t>International Journal of Central Banking</w:t>
      </w:r>
      <w:r w:rsidRPr="003632BE">
        <w:t xml:space="preserve"> 19, 3 (2023), 49–97. Navigate </w:t>
      </w:r>
      <w:proofErr w:type="spellStart"/>
      <w:r w:rsidRPr="003632BE">
        <w:t>tocitation</w:t>
      </w:r>
      <w:proofErr w:type="spellEnd"/>
      <w:r w:rsidRPr="003632BE">
        <w:t xml:space="preserve"> 1</w:t>
      </w:r>
    </w:p>
    <w:p w14:paraId="1EB63955" w14:textId="77777777" w:rsidR="003632BE" w:rsidRPr="003632BE" w:rsidRDefault="003632BE" w:rsidP="003632BE">
      <w:pPr>
        <w:numPr>
          <w:ilvl w:val="0"/>
          <w:numId w:val="7"/>
        </w:numPr>
      </w:pPr>
      <w:r w:rsidRPr="003632BE">
        <w:t xml:space="preserve">Joshua Ainslie, James Lee-Thorp, Michiel de Jong, Yury Zemlyanskiy, Federico Lebrón, and Sumit Sanghai. 2023. GQA: Training Generalized Multi-Query Transformer Models from Multi-Head Checkpoints. Navigate </w:t>
      </w:r>
      <w:proofErr w:type="spellStart"/>
      <w:r w:rsidRPr="003632BE">
        <w:t>tocitation</w:t>
      </w:r>
      <w:proofErr w:type="spellEnd"/>
      <w:r w:rsidRPr="003632BE">
        <w:t xml:space="preserve"> 1</w:t>
      </w:r>
    </w:p>
    <w:p w14:paraId="4FC23F21" w14:textId="77777777" w:rsidR="003632BE" w:rsidRPr="003632BE" w:rsidRDefault="003632BE" w:rsidP="003632BE">
      <w:pPr>
        <w:numPr>
          <w:ilvl w:val="0"/>
          <w:numId w:val="8"/>
        </w:numPr>
      </w:pPr>
      <w:r w:rsidRPr="003632BE">
        <w:t xml:space="preserve">Dogu Araci. 2019. </w:t>
      </w:r>
      <w:proofErr w:type="spellStart"/>
      <w:r w:rsidRPr="003632BE">
        <w:t>FinBERT</w:t>
      </w:r>
      <w:proofErr w:type="spellEnd"/>
      <w:r w:rsidRPr="003632BE">
        <w:t>: Financial Sentiment Analysis with Pre-trained Language Models. </w:t>
      </w:r>
      <w:proofErr w:type="spellStart"/>
      <w:r w:rsidRPr="003632BE">
        <w:rPr>
          <w:i/>
          <w:iCs/>
        </w:rPr>
        <w:t>arXiv</w:t>
      </w:r>
      <w:proofErr w:type="spellEnd"/>
      <w:r w:rsidRPr="003632BE">
        <w:t xml:space="preserve"> (2019). Navigate </w:t>
      </w:r>
      <w:proofErr w:type="spellStart"/>
      <w:r w:rsidRPr="003632BE">
        <w:t>tocitation</w:t>
      </w:r>
      <w:proofErr w:type="spellEnd"/>
      <w:r w:rsidRPr="003632BE">
        <w:t xml:space="preserve"> 1citation 2citation 3</w:t>
      </w:r>
    </w:p>
    <w:p w14:paraId="69FCB93D" w14:textId="77777777" w:rsidR="003632BE" w:rsidRPr="003632BE" w:rsidRDefault="003632BE" w:rsidP="003632BE">
      <w:pPr>
        <w:numPr>
          <w:ilvl w:val="0"/>
          <w:numId w:val="9"/>
        </w:numPr>
      </w:pPr>
      <w:r w:rsidRPr="003632BE">
        <w:t>Ellyn Boukus and Joshua V. Rosenberg. 2006. The Information Content of FOMC Minutes. </w:t>
      </w:r>
      <w:r w:rsidRPr="003632BE">
        <w:rPr>
          <w:i/>
          <w:iCs/>
        </w:rPr>
        <w:t>SSRN</w:t>
      </w:r>
      <w:r w:rsidRPr="003632BE">
        <w:t xml:space="preserve"> (2006). Navigate </w:t>
      </w:r>
      <w:proofErr w:type="spellStart"/>
      <w:r w:rsidRPr="003632BE">
        <w:t>tocitation</w:t>
      </w:r>
      <w:proofErr w:type="spellEnd"/>
      <w:r w:rsidRPr="003632BE">
        <w:t xml:space="preserve"> 1</w:t>
      </w:r>
    </w:p>
    <w:p w14:paraId="1F5B5AB7" w14:textId="77777777" w:rsidR="003632BE" w:rsidRPr="003632BE" w:rsidRDefault="003632BE" w:rsidP="003632BE">
      <w:pPr>
        <w:numPr>
          <w:ilvl w:val="0"/>
          <w:numId w:val="10"/>
        </w:numPr>
      </w:pPr>
      <w:r w:rsidRPr="003632BE">
        <w:t xml:space="preserve">Ziwei Chen, Sandro Gössi, </w:t>
      </w:r>
      <w:proofErr w:type="spellStart"/>
      <w:r w:rsidRPr="003632BE">
        <w:t>Wonseong</w:t>
      </w:r>
      <w:proofErr w:type="spellEnd"/>
      <w:r w:rsidRPr="003632BE">
        <w:t xml:space="preserve"> Kim, Bernhard Bermeitinger, and Siegfried Handschuh. 2023. </w:t>
      </w:r>
      <w:proofErr w:type="spellStart"/>
      <w:r w:rsidRPr="003632BE">
        <w:t>FinBERT</w:t>
      </w:r>
      <w:proofErr w:type="spellEnd"/>
      <w:r w:rsidRPr="003632BE">
        <w:t xml:space="preserve">-FOMC: Fine-Tuned </w:t>
      </w:r>
      <w:proofErr w:type="spellStart"/>
      <w:r w:rsidRPr="003632BE">
        <w:t>FinBERT</w:t>
      </w:r>
      <w:proofErr w:type="spellEnd"/>
      <w:r w:rsidRPr="003632BE">
        <w:t xml:space="preserve"> Model with Sentiment Focus Method for Enhancing Sentiment Analysis of FOMC Minutes. </w:t>
      </w:r>
      <w:r w:rsidRPr="003632BE">
        <w:rPr>
          <w:i/>
          <w:iCs/>
        </w:rPr>
        <w:t>ACM International Conference on AI in Finance</w:t>
      </w:r>
      <w:r w:rsidRPr="003632BE">
        <w:t xml:space="preserve"> (2023), 357–364. Navigate </w:t>
      </w:r>
      <w:proofErr w:type="spellStart"/>
      <w:r w:rsidRPr="003632BE">
        <w:t>tocitation</w:t>
      </w:r>
      <w:proofErr w:type="spellEnd"/>
      <w:r w:rsidRPr="003632BE">
        <w:t xml:space="preserve"> 1citation 2citation 3</w:t>
      </w:r>
    </w:p>
    <w:p w14:paraId="0EB3D422" w14:textId="77777777" w:rsidR="003632BE" w:rsidRPr="003632BE" w:rsidRDefault="003632BE" w:rsidP="003632BE">
      <w:pPr>
        <w:numPr>
          <w:ilvl w:val="0"/>
          <w:numId w:val="11"/>
        </w:numPr>
      </w:pPr>
      <w:r w:rsidRPr="003632BE">
        <w:t>Jacob Devlin, Ming-Wei Chang, Kenton Lee, and Kristina Toutanova. 2019. BERT: Pre-Training of Deep Bidirectional Transformers for Language Understanding. </w:t>
      </w:r>
      <w:r w:rsidRPr="003632BE">
        <w:rPr>
          <w:i/>
          <w:iCs/>
        </w:rPr>
        <w:t>Conference of the North American Chapter of the Association for Computational Linguistics: Human Language Technologies</w:t>
      </w:r>
      <w:r w:rsidRPr="003632BE">
        <w:t xml:space="preserve"> 1, Long and Short Papers (2019), 4171–4186. Navigate </w:t>
      </w:r>
      <w:proofErr w:type="spellStart"/>
      <w:r w:rsidRPr="003632BE">
        <w:t>tocitation</w:t>
      </w:r>
      <w:proofErr w:type="spellEnd"/>
      <w:r w:rsidRPr="003632BE">
        <w:t xml:space="preserve"> 1citation 2citation 3</w:t>
      </w:r>
    </w:p>
    <w:p w14:paraId="23DDD1ED" w14:textId="77777777" w:rsidR="003632BE" w:rsidRPr="003632BE" w:rsidRDefault="003632BE" w:rsidP="003632BE">
      <w:pPr>
        <w:numPr>
          <w:ilvl w:val="0"/>
          <w:numId w:val="12"/>
        </w:numPr>
      </w:pPr>
      <w:proofErr w:type="spellStart"/>
      <w:r w:rsidRPr="003632BE">
        <w:t>Taeyoung</w:t>
      </w:r>
      <w:proofErr w:type="spellEnd"/>
      <w:r w:rsidRPr="003632BE">
        <w:t xml:space="preserve"> Doh, </w:t>
      </w:r>
      <w:proofErr w:type="spellStart"/>
      <w:r w:rsidRPr="003632BE">
        <w:t>Sungil</w:t>
      </w:r>
      <w:proofErr w:type="spellEnd"/>
      <w:r w:rsidRPr="003632BE">
        <w:t xml:space="preserve"> Kim, and Shu-Kuei Yang. 2021. How You Say It Matters: Text Analysis of FOMC Statements Using Natural Language Processing. </w:t>
      </w:r>
      <w:r w:rsidRPr="003632BE">
        <w:rPr>
          <w:i/>
          <w:iCs/>
        </w:rPr>
        <w:t>Economic Review-Federal Reserve Bank of Kansas City</w:t>
      </w:r>
      <w:r w:rsidRPr="003632BE">
        <w:t xml:space="preserve"> 106, 1 (2021), 25–40. Navigate </w:t>
      </w:r>
      <w:proofErr w:type="spellStart"/>
      <w:r w:rsidRPr="003632BE">
        <w:t>tocitation</w:t>
      </w:r>
      <w:proofErr w:type="spellEnd"/>
      <w:r w:rsidRPr="003632BE">
        <w:t xml:space="preserve"> 1</w:t>
      </w:r>
    </w:p>
    <w:p w14:paraId="0FCB4612" w14:textId="77777777" w:rsidR="003632BE" w:rsidRPr="003632BE" w:rsidRDefault="003632BE" w:rsidP="003632BE">
      <w:pPr>
        <w:numPr>
          <w:ilvl w:val="0"/>
          <w:numId w:val="13"/>
        </w:numPr>
      </w:pPr>
      <w:r w:rsidRPr="003632BE">
        <w:t>Tom Brown et al.2020. Language Models are Few-Shot Learners. </w:t>
      </w:r>
      <w:r w:rsidRPr="003632BE">
        <w:rPr>
          <w:i/>
          <w:iCs/>
        </w:rPr>
        <w:t>Advances in Neural Information Processing Systems</w:t>
      </w:r>
      <w:r w:rsidRPr="003632BE">
        <w:t xml:space="preserve"> 33 (2020), 1877–1901. Navigate </w:t>
      </w:r>
      <w:proofErr w:type="spellStart"/>
      <w:r w:rsidRPr="003632BE">
        <w:t>tocitation</w:t>
      </w:r>
      <w:proofErr w:type="spellEnd"/>
      <w:r w:rsidRPr="003632BE">
        <w:t xml:space="preserve"> 1</w:t>
      </w:r>
    </w:p>
    <w:p w14:paraId="044BD345" w14:textId="77777777" w:rsidR="003632BE" w:rsidRPr="003632BE" w:rsidRDefault="003632BE" w:rsidP="003632BE">
      <w:pPr>
        <w:numPr>
          <w:ilvl w:val="0"/>
          <w:numId w:val="14"/>
        </w:numPr>
      </w:pPr>
      <w:r w:rsidRPr="003632BE">
        <w:t>Eric Gilbert. 2014. VADER: A Parsimonious Rule-Based Model for Sentiment Analysis of Social Media Text. In </w:t>
      </w:r>
      <w:r w:rsidRPr="003632BE">
        <w:rPr>
          <w:i/>
          <w:iCs/>
        </w:rPr>
        <w:t>International Conference on Weblogs and Social Media (ICWSM-14)</w:t>
      </w:r>
      <w:r w:rsidRPr="003632BE">
        <w:t xml:space="preserve">, Vol. 8. 216–225. Navigate </w:t>
      </w:r>
      <w:proofErr w:type="spellStart"/>
      <w:r w:rsidRPr="003632BE">
        <w:t>tocitation</w:t>
      </w:r>
      <w:proofErr w:type="spellEnd"/>
      <w:r w:rsidRPr="003632BE">
        <w:t xml:space="preserve"> 1citation 2citation 3</w:t>
      </w:r>
    </w:p>
    <w:p w14:paraId="6BF4B06A" w14:textId="77777777" w:rsidR="003632BE" w:rsidRPr="003632BE" w:rsidRDefault="003632BE" w:rsidP="003632BE">
      <w:pPr>
        <w:numPr>
          <w:ilvl w:val="0"/>
          <w:numId w:val="15"/>
        </w:numPr>
      </w:pPr>
      <w:r w:rsidRPr="003632BE">
        <w:t>Stephen Hansen, Michael McMahon, and Matthew Tong. 2019. The Long-Run Information Effect of Central Bank Communication. </w:t>
      </w:r>
      <w:r w:rsidRPr="003632BE">
        <w:rPr>
          <w:i/>
          <w:iCs/>
        </w:rPr>
        <w:t>Journal of Monetary Economics</w:t>
      </w:r>
      <w:r w:rsidRPr="003632BE">
        <w:t xml:space="preserve"> 108 (2019), 185–202. Navigate </w:t>
      </w:r>
      <w:proofErr w:type="spellStart"/>
      <w:r w:rsidRPr="003632BE">
        <w:t>tocitation</w:t>
      </w:r>
      <w:proofErr w:type="spellEnd"/>
      <w:r w:rsidRPr="003632BE">
        <w:t xml:space="preserve"> 1</w:t>
      </w:r>
    </w:p>
    <w:p w14:paraId="2520D51C" w14:textId="77777777" w:rsidR="003632BE" w:rsidRPr="003632BE" w:rsidRDefault="003632BE" w:rsidP="003632BE">
      <w:pPr>
        <w:numPr>
          <w:ilvl w:val="0"/>
          <w:numId w:val="16"/>
        </w:numPr>
      </w:pPr>
      <w:r w:rsidRPr="003632BE">
        <w:lastRenderedPageBreak/>
        <w:t xml:space="preserve">Mickel Hoang, Oskar Alija Bihorac, and Jacobo </w:t>
      </w:r>
      <w:proofErr w:type="spellStart"/>
      <w:r w:rsidRPr="003632BE">
        <w:t>Rouces</w:t>
      </w:r>
      <w:proofErr w:type="spellEnd"/>
      <w:r w:rsidRPr="003632BE">
        <w:t>. 2019. Aspect-Based Sentiment Analysis using BERT. In </w:t>
      </w:r>
      <w:r w:rsidRPr="003632BE">
        <w:rPr>
          <w:i/>
          <w:iCs/>
        </w:rPr>
        <w:t>Proceedings of the 22nd Nordic Conference on Computational Linguistics</w:t>
      </w:r>
      <w:r w:rsidRPr="003632BE">
        <w:t xml:space="preserve">, Mareike Hartmann and Barbara Plank (Eds.). 187–196. Navigate </w:t>
      </w:r>
      <w:proofErr w:type="spellStart"/>
      <w:r w:rsidRPr="003632BE">
        <w:t>tocitation</w:t>
      </w:r>
      <w:proofErr w:type="spellEnd"/>
      <w:r w:rsidRPr="003632BE">
        <w:t xml:space="preserve"> 1</w:t>
      </w:r>
    </w:p>
    <w:p w14:paraId="779C5DB9" w14:textId="77777777" w:rsidR="003632BE" w:rsidRPr="003632BE" w:rsidRDefault="003632BE" w:rsidP="003632BE">
      <w:pPr>
        <w:numPr>
          <w:ilvl w:val="0"/>
          <w:numId w:val="17"/>
        </w:numPr>
      </w:pPr>
      <w:r w:rsidRPr="003632BE">
        <w:t xml:space="preserve">Wei Huang, </w:t>
      </w:r>
      <w:proofErr w:type="spellStart"/>
      <w:r w:rsidRPr="003632BE">
        <w:t>Xudong</w:t>
      </w:r>
      <w:proofErr w:type="spellEnd"/>
      <w:r w:rsidRPr="003632BE">
        <w:t xml:space="preserve"> Ma, Haotong Qin, </w:t>
      </w:r>
      <w:proofErr w:type="spellStart"/>
      <w:r w:rsidRPr="003632BE">
        <w:t>Xingyu</w:t>
      </w:r>
      <w:proofErr w:type="spellEnd"/>
      <w:r w:rsidRPr="003632BE">
        <w:t xml:space="preserve"> Zheng, </w:t>
      </w:r>
      <w:proofErr w:type="spellStart"/>
      <w:r w:rsidRPr="003632BE">
        <w:t>Chengtao</w:t>
      </w:r>
      <w:proofErr w:type="spellEnd"/>
      <w:r w:rsidRPr="003632BE">
        <w:t xml:space="preserve"> </w:t>
      </w:r>
      <w:proofErr w:type="spellStart"/>
      <w:r w:rsidRPr="003632BE">
        <w:t>Lv</w:t>
      </w:r>
      <w:proofErr w:type="spellEnd"/>
      <w:r w:rsidRPr="003632BE">
        <w:t xml:space="preserve">, Hong Chen, Jie Luo, </w:t>
      </w:r>
      <w:proofErr w:type="spellStart"/>
      <w:r w:rsidRPr="003632BE">
        <w:t>Xiaojuan</w:t>
      </w:r>
      <w:proofErr w:type="spellEnd"/>
      <w:r w:rsidRPr="003632BE">
        <w:t xml:space="preserve"> Qi, </w:t>
      </w:r>
      <w:proofErr w:type="spellStart"/>
      <w:r w:rsidRPr="003632BE">
        <w:t>Xianglong</w:t>
      </w:r>
      <w:proofErr w:type="spellEnd"/>
      <w:r w:rsidRPr="003632BE">
        <w:t xml:space="preserve"> Liu, and Michele Magno. 2024. How Good Are Low-bit Quantized LLaMA3 Models? An Empirical Study. Navigate </w:t>
      </w:r>
      <w:proofErr w:type="spellStart"/>
      <w:r w:rsidRPr="003632BE">
        <w:t>tocitation</w:t>
      </w:r>
      <w:proofErr w:type="spellEnd"/>
      <w:r w:rsidRPr="003632BE">
        <w:t xml:space="preserve"> 1</w:t>
      </w:r>
    </w:p>
    <w:p w14:paraId="44C47825" w14:textId="77777777" w:rsidR="003632BE" w:rsidRPr="003632BE" w:rsidRDefault="003632BE" w:rsidP="003632BE">
      <w:pPr>
        <w:numPr>
          <w:ilvl w:val="0"/>
          <w:numId w:val="18"/>
        </w:numPr>
      </w:pPr>
      <w:r w:rsidRPr="003632BE">
        <w:t>Yu-</w:t>
      </w:r>
      <w:proofErr w:type="spellStart"/>
      <w:r w:rsidRPr="003632BE">
        <w:t>Lieh</w:t>
      </w:r>
      <w:proofErr w:type="spellEnd"/>
      <w:r w:rsidRPr="003632BE">
        <w:t xml:space="preserve"> Huang and Chung-Ming Kuan. 2021. Economic Prediction </w:t>
      </w:r>
      <w:proofErr w:type="gramStart"/>
      <w:r w:rsidRPr="003632BE">
        <w:t>With</w:t>
      </w:r>
      <w:proofErr w:type="gramEnd"/>
      <w:r w:rsidRPr="003632BE">
        <w:t xml:space="preserve"> the FOMC Minutes: An Application of Text Mining. </w:t>
      </w:r>
      <w:r w:rsidRPr="003632BE">
        <w:rPr>
          <w:i/>
          <w:iCs/>
        </w:rPr>
        <w:t>International Review of Economics &amp; Finance</w:t>
      </w:r>
      <w:r w:rsidRPr="003632BE">
        <w:t xml:space="preserve"> 71 (2021), 751–761. Navigate </w:t>
      </w:r>
      <w:proofErr w:type="spellStart"/>
      <w:r w:rsidRPr="003632BE">
        <w:t>tocitation</w:t>
      </w:r>
      <w:proofErr w:type="spellEnd"/>
      <w:r w:rsidRPr="003632BE">
        <w:t xml:space="preserve"> 1</w:t>
      </w:r>
    </w:p>
    <w:p w14:paraId="4041F9AF" w14:textId="77777777" w:rsidR="003632BE" w:rsidRPr="003632BE" w:rsidRDefault="003632BE" w:rsidP="003632BE">
      <w:pPr>
        <w:numPr>
          <w:ilvl w:val="0"/>
          <w:numId w:val="19"/>
        </w:numPr>
      </w:pPr>
      <w:proofErr w:type="spellStart"/>
      <w:r w:rsidRPr="003632BE">
        <w:t>Jinhyoung</w:t>
      </w:r>
      <w:proofErr w:type="spellEnd"/>
      <w:r w:rsidRPr="003632BE">
        <w:t xml:space="preserve"> Kim and </w:t>
      </w:r>
      <w:proofErr w:type="spellStart"/>
      <w:r w:rsidRPr="003632BE">
        <w:t>Wonseong</w:t>
      </w:r>
      <w:proofErr w:type="spellEnd"/>
      <w:r w:rsidRPr="003632BE">
        <w:t xml:space="preserve"> Kim. 2024. Advanced Natural Language Processing Analysis on Cross-Border Media Sentiment from China and South Korea. </w:t>
      </w:r>
      <w:r w:rsidRPr="003632BE">
        <w:rPr>
          <w:i/>
          <w:iCs/>
        </w:rPr>
        <w:t>International Area Studies Review</w:t>
      </w:r>
      <w:r w:rsidRPr="003632BE">
        <w:t xml:space="preserve"> 27, 1 (2024), 43–56. Navigate </w:t>
      </w:r>
      <w:proofErr w:type="spellStart"/>
      <w:r w:rsidRPr="003632BE">
        <w:t>tocitation</w:t>
      </w:r>
      <w:proofErr w:type="spellEnd"/>
      <w:r w:rsidRPr="003632BE">
        <w:t xml:space="preserve"> 1</w:t>
      </w:r>
    </w:p>
    <w:p w14:paraId="3E148B09" w14:textId="77777777" w:rsidR="003632BE" w:rsidRPr="003632BE" w:rsidRDefault="003632BE" w:rsidP="003632BE">
      <w:pPr>
        <w:numPr>
          <w:ilvl w:val="0"/>
          <w:numId w:val="20"/>
        </w:numPr>
      </w:pPr>
      <w:r w:rsidRPr="003632BE">
        <w:t xml:space="preserve">Takeshi Kojima, </w:t>
      </w:r>
      <w:proofErr w:type="spellStart"/>
      <w:r w:rsidRPr="003632BE">
        <w:t>Shixiang</w:t>
      </w:r>
      <w:proofErr w:type="spellEnd"/>
      <w:r w:rsidRPr="003632BE">
        <w:t> Shane Gu, Machel Reid, Yutaka Matsuo, and Yusuke Iwasawa. 2022. Large Language Models are Zero-Shot Reasoners. </w:t>
      </w:r>
      <w:r w:rsidRPr="003632BE">
        <w:rPr>
          <w:i/>
          <w:iCs/>
        </w:rPr>
        <w:t>Advances in Neural Information Processing Systems</w:t>
      </w:r>
      <w:r w:rsidRPr="003632BE">
        <w:t xml:space="preserve"> 35 (2022), 22199–22213. Navigate </w:t>
      </w:r>
      <w:proofErr w:type="spellStart"/>
      <w:r w:rsidRPr="003632BE">
        <w:t>tocitation</w:t>
      </w:r>
      <w:proofErr w:type="spellEnd"/>
      <w:r w:rsidRPr="003632BE">
        <w:t xml:space="preserve"> 1citation 2</w:t>
      </w:r>
    </w:p>
    <w:p w14:paraId="3526B7A7" w14:textId="77777777" w:rsidR="003632BE" w:rsidRPr="003632BE" w:rsidRDefault="003632BE" w:rsidP="003632BE">
      <w:pPr>
        <w:numPr>
          <w:ilvl w:val="0"/>
          <w:numId w:val="21"/>
        </w:numPr>
      </w:pPr>
      <w:r w:rsidRPr="003632BE">
        <w:t xml:space="preserve">Mike Lewis, </w:t>
      </w:r>
      <w:proofErr w:type="spellStart"/>
      <w:r w:rsidRPr="003632BE">
        <w:t>Yinhan</w:t>
      </w:r>
      <w:proofErr w:type="spellEnd"/>
      <w:r w:rsidRPr="003632BE">
        <w:t xml:space="preserve"> Liu, Naman Goyal, Marjan Ghazvininejad, Abdelrahman Mohamed, Omer Levy, Veselin Stoyanov, and Luke Zettlemoyer. 2020. BART: Denoising Sequence-to-Sequence Pre-training for Natural Language Generation, Translation, and Comprehension. In </w:t>
      </w:r>
      <w:r w:rsidRPr="003632BE">
        <w:rPr>
          <w:i/>
          <w:iCs/>
        </w:rPr>
        <w:t>Annual Meeting of the Association for Computational Linguistics</w:t>
      </w:r>
      <w:r w:rsidRPr="003632BE">
        <w:t xml:space="preserve">. 7871–7880. Navigate </w:t>
      </w:r>
      <w:proofErr w:type="spellStart"/>
      <w:r w:rsidRPr="003632BE">
        <w:t>tocitation</w:t>
      </w:r>
      <w:proofErr w:type="spellEnd"/>
      <w:r w:rsidRPr="003632BE">
        <w:t xml:space="preserve"> 1</w:t>
      </w:r>
    </w:p>
    <w:p w14:paraId="29606446" w14:textId="77777777" w:rsidR="003632BE" w:rsidRPr="003632BE" w:rsidRDefault="003632BE" w:rsidP="003632BE">
      <w:pPr>
        <w:numPr>
          <w:ilvl w:val="0"/>
          <w:numId w:val="22"/>
        </w:numPr>
      </w:pPr>
      <w:r w:rsidRPr="003632BE">
        <w:t xml:space="preserve">Xin Li, </w:t>
      </w:r>
      <w:proofErr w:type="spellStart"/>
      <w:r w:rsidRPr="003632BE">
        <w:t>Lidong</w:t>
      </w:r>
      <w:proofErr w:type="spellEnd"/>
      <w:r w:rsidRPr="003632BE">
        <w:t xml:space="preserve"> Bing, Wenxuan Zhang, and Wai Lam. 2019. Exploiting BERT for end-to-end aspect-based sentiment analysis. </w:t>
      </w:r>
      <w:proofErr w:type="spellStart"/>
      <w:r w:rsidRPr="003632BE">
        <w:rPr>
          <w:i/>
          <w:iCs/>
        </w:rPr>
        <w:t>arXiv</w:t>
      </w:r>
      <w:proofErr w:type="spellEnd"/>
      <w:r w:rsidRPr="003632BE">
        <w:t xml:space="preserve"> (2019). Navigate </w:t>
      </w:r>
      <w:proofErr w:type="spellStart"/>
      <w:r w:rsidRPr="003632BE">
        <w:t>tocitation</w:t>
      </w:r>
      <w:proofErr w:type="spellEnd"/>
      <w:r w:rsidRPr="003632BE">
        <w:t xml:space="preserve"> 1</w:t>
      </w:r>
    </w:p>
    <w:p w14:paraId="71F3ACC4" w14:textId="77777777" w:rsidR="003632BE" w:rsidRPr="003632BE" w:rsidRDefault="003632BE" w:rsidP="003632BE">
      <w:pPr>
        <w:numPr>
          <w:ilvl w:val="0"/>
          <w:numId w:val="23"/>
        </w:numPr>
      </w:pPr>
      <w:r w:rsidRPr="003632BE">
        <w:t xml:space="preserve">Xianzhi Li, Samuel Chan, Xiaodan Zhu, Yulong Pei, Zhiqiang Ma, </w:t>
      </w:r>
      <w:proofErr w:type="spellStart"/>
      <w:r w:rsidRPr="003632BE">
        <w:t>Xiaomo</w:t>
      </w:r>
      <w:proofErr w:type="spellEnd"/>
      <w:r w:rsidRPr="003632BE">
        <w:t xml:space="preserve"> Liu, and Sameena Shah. 2023. Are ChatGPT and GPT-4 General-Purpose Solvers for Financial Text Analytics? A Study on Several Typical Tasks. In </w:t>
      </w:r>
      <w:r w:rsidRPr="003632BE">
        <w:rPr>
          <w:i/>
          <w:iCs/>
        </w:rPr>
        <w:t>Proceedings of the 2023 Conference on Empirical Methods in Natural Language Processing: Industry Track</w:t>
      </w:r>
      <w:r w:rsidRPr="003632BE">
        <w:t xml:space="preserve">. 408–422. Navigate </w:t>
      </w:r>
      <w:proofErr w:type="spellStart"/>
      <w:r w:rsidRPr="003632BE">
        <w:t>tocitation</w:t>
      </w:r>
      <w:proofErr w:type="spellEnd"/>
      <w:r w:rsidRPr="003632BE">
        <w:t xml:space="preserve"> 1citation 2citation 3citation 4citation 5citation 6</w:t>
      </w:r>
    </w:p>
    <w:p w14:paraId="2C37C527" w14:textId="77777777" w:rsidR="003632BE" w:rsidRPr="003632BE" w:rsidRDefault="003632BE" w:rsidP="003632BE">
      <w:pPr>
        <w:numPr>
          <w:ilvl w:val="0"/>
          <w:numId w:val="24"/>
        </w:numPr>
      </w:pPr>
      <w:proofErr w:type="spellStart"/>
      <w:r w:rsidRPr="003632BE">
        <w:t>Yinhan</w:t>
      </w:r>
      <w:proofErr w:type="spellEnd"/>
      <w:r w:rsidRPr="003632BE">
        <w:t xml:space="preserve"> Liu, Myle Ott, Naman Goyal, Jingfei Du, Mandar Joshi, </w:t>
      </w:r>
      <w:proofErr w:type="spellStart"/>
      <w:r w:rsidRPr="003632BE">
        <w:t>Danqi</w:t>
      </w:r>
      <w:proofErr w:type="spellEnd"/>
      <w:r w:rsidRPr="003632BE">
        <w:t xml:space="preserve"> Chen, Omer Levy, Mike Lewis, Luke Zettlemoyer, and Veselin Stoyanov. 2019. </w:t>
      </w:r>
      <w:proofErr w:type="spellStart"/>
      <w:r w:rsidRPr="003632BE">
        <w:t>RoBERTa</w:t>
      </w:r>
      <w:proofErr w:type="spellEnd"/>
      <w:r w:rsidRPr="003632BE">
        <w:t>: A Robustly Optimized BERT Pretraining Approach. </w:t>
      </w:r>
      <w:proofErr w:type="spellStart"/>
      <w:r w:rsidRPr="003632BE">
        <w:rPr>
          <w:i/>
          <w:iCs/>
        </w:rPr>
        <w:t>arXiv</w:t>
      </w:r>
      <w:proofErr w:type="spellEnd"/>
      <w:r w:rsidRPr="003632BE">
        <w:t xml:space="preserve"> (2019). Navigate </w:t>
      </w:r>
      <w:proofErr w:type="spellStart"/>
      <w:r w:rsidRPr="003632BE">
        <w:t>tocitation</w:t>
      </w:r>
      <w:proofErr w:type="spellEnd"/>
      <w:r w:rsidRPr="003632BE">
        <w:t xml:space="preserve"> 1</w:t>
      </w:r>
    </w:p>
    <w:p w14:paraId="72933D03" w14:textId="77777777" w:rsidR="003632BE" w:rsidRPr="003632BE" w:rsidRDefault="003632BE" w:rsidP="003632BE">
      <w:pPr>
        <w:numPr>
          <w:ilvl w:val="0"/>
          <w:numId w:val="25"/>
        </w:numPr>
      </w:pPr>
      <w:r w:rsidRPr="003632BE">
        <w:t xml:space="preserve">Zhuang Liu, Degen Huang, Kaiyu Huang, Zhuang Li, and Jun Zhao. 2021. </w:t>
      </w:r>
      <w:proofErr w:type="spellStart"/>
      <w:r w:rsidRPr="003632BE">
        <w:t>FinBERT</w:t>
      </w:r>
      <w:proofErr w:type="spellEnd"/>
      <w:r w:rsidRPr="003632BE">
        <w:t xml:space="preserve">: A Pre-Trained Financial Language Representation Model for Financial Text Mining. </w:t>
      </w:r>
      <w:r w:rsidRPr="003632BE">
        <w:lastRenderedPageBreak/>
        <w:t>In </w:t>
      </w:r>
      <w:r w:rsidRPr="003632BE">
        <w:rPr>
          <w:i/>
          <w:iCs/>
        </w:rPr>
        <w:t>International Conference on International Joint Conferences on Artificial Intelligence</w:t>
      </w:r>
      <w:r w:rsidRPr="003632BE">
        <w:t xml:space="preserve">. 4513–4519. Navigate </w:t>
      </w:r>
      <w:proofErr w:type="spellStart"/>
      <w:r w:rsidRPr="003632BE">
        <w:t>tocitation</w:t>
      </w:r>
      <w:proofErr w:type="spellEnd"/>
      <w:r w:rsidRPr="003632BE">
        <w:t xml:space="preserve"> 1</w:t>
      </w:r>
    </w:p>
    <w:p w14:paraId="15987FBF" w14:textId="77777777" w:rsidR="003632BE" w:rsidRPr="003632BE" w:rsidRDefault="003632BE" w:rsidP="003632BE">
      <w:pPr>
        <w:numPr>
          <w:ilvl w:val="0"/>
          <w:numId w:val="26"/>
        </w:numPr>
      </w:pPr>
      <w:r w:rsidRPr="003632BE">
        <w:t>Macedo Maia, Siegfried Handschuh, André Freitas, Brian Davis, Ross McDermott, Manel Zarrouk, and Alexandra Balahur. 2018. WWW’18 Open Challenge: Financial Opinion Mining and Question Answering. </w:t>
      </w:r>
      <w:r w:rsidRPr="003632BE">
        <w:rPr>
          <w:i/>
          <w:iCs/>
        </w:rPr>
        <w:t>Companion Proceedings of the Web Conference</w:t>
      </w:r>
      <w:r w:rsidRPr="003632BE">
        <w:t xml:space="preserve"> (2018), 1941–1942. Navigate </w:t>
      </w:r>
      <w:proofErr w:type="spellStart"/>
      <w:r w:rsidRPr="003632BE">
        <w:t>tocitation</w:t>
      </w:r>
      <w:proofErr w:type="spellEnd"/>
      <w:r w:rsidRPr="003632BE">
        <w:t xml:space="preserve"> 1citation 2citation 3</w:t>
      </w:r>
    </w:p>
    <w:p w14:paraId="16698C58" w14:textId="77777777" w:rsidR="003632BE" w:rsidRPr="003632BE" w:rsidRDefault="003632BE" w:rsidP="003632BE">
      <w:pPr>
        <w:numPr>
          <w:ilvl w:val="0"/>
          <w:numId w:val="27"/>
        </w:numPr>
      </w:pPr>
      <w:r w:rsidRPr="003632BE">
        <w:t>Macedo Maia, Juliano </w:t>
      </w:r>
      <w:proofErr w:type="spellStart"/>
      <w:r w:rsidRPr="003632BE">
        <w:t>Efson</w:t>
      </w:r>
      <w:proofErr w:type="spellEnd"/>
      <w:r w:rsidRPr="003632BE">
        <w:t xml:space="preserve"> Sales, André Freitas, Siegfried Handschuh, and Markus Endres. 2021. A Comparative Study of Deep Neural Network Models on Multi-Label Text Classification in Finance. In </w:t>
      </w:r>
      <w:r w:rsidRPr="003632BE">
        <w:rPr>
          <w:i/>
          <w:iCs/>
        </w:rPr>
        <w:t>International Conference on Semantic Computing (ICSC)</w:t>
      </w:r>
      <w:r w:rsidRPr="003632BE">
        <w:t xml:space="preserve">. IEEE, 183–190. Navigate </w:t>
      </w:r>
      <w:proofErr w:type="spellStart"/>
      <w:r w:rsidRPr="003632BE">
        <w:t>tocitation</w:t>
      </w:r>
      <w:proofErr w:type="spellEnd"/>
      <w:r w:rsidRPr="003632BE">
        <w:t xml:space="preserve"> 1</w:t>
      </w:r>
    </w:p>
    <w:p w14:paraId="6A39CA28" w14:textId="77777777" w:rsidR="003632BE" w:rsidRPr="003632BE" w:rsidRDefault="003632BE" w:rsidP="003632BE">
      <w:pPr>
        <w:numPr>
          <w:ilvl w:val="0"/>
          <w:numId w:val="28"/>
        </w:numPr>
      </w:pPr>
      <w:r w:rsidRPr="003632BE">
        <w:t>Pekka Malo, Ankur Sinha, Pekka Korhonen, Jyrki Wallenius, and Pyry Takala. 2014. Good Debt or Bad Debt: Detecting Semantic Orientations in Economic Texts. </w:t>
      </w:r>
      <w:r w:rsidRPr="003632BE">
        <w:rPr>
          <w:i/>
          <w:iCs/>
        </w:rPr>
        <w:t>Journal of the Association for Information Science and Technology</w:t>
      </w:r>
      <w:r w:rsidRPr="003632BE">
        <w:t xml:space="preserve"> 65, 4 (2014), 782–796. Navigate </w:t>
      </w:r>
      <w:proofErr w:type="spellStart"/>
      <w:r w:rsidRPr="003632BE">
        <w:t>tocitation</w:t>
      </w:r>
      <w:proofErr w:type="spellEnd"/>
      <w:r w:rsidRPr="003632BE">
        <w:t xml:space="preserve"> 1citation 2citation 3</w:t>
      </w:r>
    </w:p>
    <w:p w14:paraId="460D5798" w14:textId="77777777" w:rsidR="003632BE" w:rsidRPr="003632BE" w:rsidRDefault="003632BE" w:rsidP="003632BE">
      <w:pPr>
        <w:numPr>
          <w:ilvl w:val="0"/>
          <w:numId w:val="29"/>
        </w:numPr>
      </w:pPr>
      <w:r w:rsidRPr="003632BE">
        <w:t>Bonan Min, Hayley Ross, Elior Sulem, Amir Pouran Ben Veyseh, Thien Huu Nguyen, Oscar Sainz, Eneko Agirre, Ilana Heintz, and Dan Roth. 2023. Recent Advances in Natural Language Processing via Large Pre-Trained Language Models: A Survey. </w:t>
      </w:r>
      <w:proofErr w:type="spellStart"/>
      <w:r w:rsidRPr="003632BE">
        <w:rPr>
          <w:i/>
          <w:iCs/>
        </w:rPr>
        <w:t>Comput</w:t>
      </w:r>
      <w:proofErr w:type="spellEnd"/>
      <w:r w:rsidRPr="003632BE">
        <w:rPr>
          <w:i/>
          <w:iCs/>
        </w:rPr>
        <w:t>. Surveys</w:t>
      </w:r>
      <w:r w:rsidRPr="003632BE">
        <w:t xml:space="preserve"> 56, 2 (2023), 1–40. Navigate </w:t>
      </w:r>
      <w:proofErr w:type="spellStart"/>
      <w:r w:rsidRPr="003632BE">
        <w:t>tocitation</w:t>
      </w:r>
      <w:proofErr w:type="spellEnd"/>
      <w:r w:rsidRPr="003632BE">
        <w:t xml:space="preserve"> 1</w:t>
      </w:r>
    </w:p>
    <w:p w14:paraId="08E62DC0" w14:textId="77777777" w:rsidR="003632BE" w:rsidRPr="003632BE" w:rsidRDefault="003632BE" w:rsidP="003632BE">
      <w:pPr>
        <w:numPr>
          <w:ilvl w:val="0"/>
          <w:numId w:val="30"/>
        </w:numPr>
      </w:pPr>
      <w:r w:rsidRPr="003632BE">
        <w:t xml:space="preserve">Kostadin Mishev, Ana Gjorgjevikj, Irena </w:t>
      </w:r>
      <w:proofErr w:type="spellStart"/>
      <w:r w:rsidRPr="003632BE">
        <w:t>Vodenska</w:t>
      </w:r>
      <w:proofErr w:type="spellEnd"/>
      <w:r w:rsidRPr="003632BE">
        <w:t>, Lubomir Chitkushev, and Dimitar Trajanov. 2020. Evaluation of Sentiment Analysis in Finance: From Lexicons to Transformers. </w:t>
      </w:r>
      <w:r w:rsidRPr="003632BE">
        <w:rPr>
          <w:i/>
          <w:iCs/>
        </w:rPr>
        <w:t>IEEE Access</w:t>
      </w:r>
      <w:r w:rsidRPr="003632BE">
        <w:t xml:space="preserve"> 8 (2020), 131662–131682. Navigate </w:t>
      </w:r>
      <w:proofErr w:type="spellStart"/>
      <w:r w:rsidRPr="003632BE">
        <w:t>tocitation</w:t>
      </w:r>
      <w:proofErr w:type="spellEnd"/>
      <w:r w:rsidRPr="003632BE">
        <w:t xml:space="preserve"> 1</w:t>
      </w:r>
    </w:p>
    <w:p w14:paraId="0175D5D4" w14:textId="77777777" w:rsidR="003632BE" w:rsidRPr="003632BE" w:rsidRDefault="003632BE" w:rsidP="003632BE">
      <w:pPr>
        <w:numPr>
          <w:ilvl w:val="0"/>
          <w:numId w:val="31"/>
        </w:numPr>
      </w:pPr>
      <w:r w:rsidRPr="003632BE">
        <w:t xml:space="preserve">Yulong Pei, Amarachi </w:t>
      </w:r>
      <w:proofErr w:type="spellStart"/>
      <w:r w:rsidRPr="003632BE">
        <w:t>Mbakwe</w:t>
      </w:r>
      <w:proofErr w:type="spellEnd"/>
      <w:r w:rsidRPr="003632BE">
        <w:t xml:space="preserve">, Akshat Gupta, Salwa Alamir, </w:t>
      </w:r>
      <w:proofErr w:type="spellStart"/>
      <w:r w:rsidRPr="003632BE">
        <w:t>Hanxuan</w:t>
      </w:r>
      <w:proofErr w:type="spellEnd"/>
      <w:r w:rsidRPr="003632BE">
        <w:t xml:space="preserve"> Lin, </w:t>
      </w:r>
      <w:proofErr w:type="spellStart"/>
      <w:r w:rsidRPr="003632BE">
        <w:t>Xiaomo</w:t>
      </w:r>
      <w:proofErr w:type="spellEnd"/>
      <w:r w:rsidRPr="003632BE">
        <w:t xml:space="preserve"> Liu, and Sameena Shah. 2022. </w:t>
      </w:r>
      <w:proofErr w:type="spellStart"/>
      <w:r w:rsidRPr="003632BE">
        <w:t>TweetFinSent</w:t>
      </w:r>
      <w:proofErr w:type="spellEnd"/>
      <w:r w:rsidRPr="003632BE">
        <w:t>: A Dataset of Stock Sentiments on Twitter. In </w:t>
      </w:r>
      <w:r w:rsidRPr="003632BE">
        <w:rPr>
          <w:i/>
          <w:iCs/>
        </w:rPr>
        <w:t>Proceedings of the Fourth Workshop on Financial Technology and Natural Language Processing (</w:t>
      </w:r>
      <w:proofErr w:type="spellStart"/>
      <w:r w:rsidRPr="003632BE">
        <w:rPr>
          <w:i/>
          <w:iCs/>
        </w:rPr>
        <w:t>FinNLP</w:t>
      </w:r>
      <w:proofErr w:type="spellEnd"/>
      <w:r w:rsidRPr="003632BE">
        <w:rPr>
          <w:i/>
          <w:iCs/>
        </w:rPr>
        <w:t>)</w:t>
      </w:r>
      <w:r w:rsidRPr="003632BE">
        <w:t xml:space="preserve">. 37–47. Navigate </w:t>
      </w:r>
      <w:proofErr w:type="spellStart"/>
      <w:r w:rsidRPr="003632BE">
        <w:t>tocitation</w:t>
      </w:r>
      <w:proofErr w:type="spellEnd"/>
      <w:r w:rsidRPr="003632BE">
        <w:t xml:space="preserve"> 1citation 2</w:t>
      </w:r>
    </w:p>
    <w:p w14:paraId="2098C689" w14:textId="77777777" w:rsidR="003632BE" w:rsidRPr="003632BE" w:rsidRDefault="003632BE" w:rsidP="003632BE">
      <w:pPr>
        <w:numPr>
          <w:ilvl w:val="0"/>
          <w:numId w:val="32"/>
        </w:numPr>
      </w:pPr>
      <w:r w:rsidRPr="003632BE">
        <w:t>Matthew Peters, Mark Neumann, Mohit Iyyer†, Matt Gardner†, Christopher Clark, Kenton Lee, and Luke Zettlemoyer. 2018. Deep Contextualized Word Representations. </w:t>
      </w:r>
      <w:r w:rsidRPr="003632BE">
        <w:rPr>
          <w:i/>
          <w:iCs/>
        </w:rPr>
        <w:t>Annual Conference of the North American Chapter of the Association for Computational Linguistics: Human Language Technologies (NAACL-HLT)</w:t>
      </w:r>
      <w:r w:rsidRPr="003632BE">
        <w:t xml:space="preserve"> (2018), 2227–2237. Navigate </w:t>
      </w:r>
      <w:proofErr w:type="spellStart"/>
      <w:r w:rsidRPr="003632BE">
        <w:t>tocitation</w:t>
      </w:r>
      <w:proofErr w:type="spellEnd"/>
      <w:r w:rsidRPr="003632BE">
        <w:t xml:space="preserve"> 1</w:t>
      </w:r>
    </w:p>
    <w:p w14:paraId="2005492B" w14:textId="77777777" w:rsidR="003632BE" w:rsidRPr="003632BE" w:rsidRDefault="003632BE" w:rsidP="003632BE">
      <w:pPr>
        <w:numPr>
          <w:ilvl w:val="0"/>
          <w:numId w:val="33"/>
        </w:numPr>
      </w:pPr>
      <w:r w:rsidRPr="003632BE">
        <w:t>Alex Radford, Karthik Narasimhan, Tim Salimans, and Ilya Sutskever. 2018. Improving Language Understanding by Generative Pre-Training. </w:t>
      </w:r>
      <w:r w:rsidRPr="003632BE">
        <w:rPr>
          <w:i/>
          <w:iCs/>
        </w:rPr>
        <w:t>OpenAI</w:t>
      </w:r>
      <w:r w:rsidRPr="003632BE">
        <w:t xml:space="preserve"> (2018). Navigate </w:t>
      </w:r>
      <w:proofErr w:type="spellStart"/>
      <w:r w:rsidRPr="003632BE">
        <w:t>tocitation</w:t>
      </w:r>
      <w:proofErr w:type="spellEnd"/>
      <w:r w:rsidRPr="003632BE">
        <w:t xml:space="preserve"> 1</w:t>
      </w:r>
    </w:p>
    <w:p w14:paraId="05D4BBF9" w14:textId="77777777" w:rsidR="003632BE" w:rsidRPr="003632BE" w:rsidRDefault="003632BE" w:rsidP="003632BE">
      <w:pPr>
        <w:numPr>
          <w:ilvl w:val="0"/>
          <w:numId w:val="34"/>
        </w:numPr>
      </w:pPr>
      <w:r w:rsidRPr="003632BE">
        <w:lastRenderedPageBreak/>
        <w:t>Alec Radford, Jeffrey Wu, Rewon Child, David Luan, Dario Amodei, and Ilya Sutskever. 2019. Language Models are Unsupervised Multitask Learners. </w:t>
      </w:r>
      <w:r w:rsidRPr="003632BE">
        <w:rPr>
          <w:i/>
          <w:iCs/>
        </w:rPr>
        <w:t>OpenAI Blog</w:t>
      </w:r>
      <w:r w:rsidRPr="003632BE">
        <w:t xml:space="preserve"> (2019). Navigate </w:t>
      </w:r>
      <w:proofErr w:type="spellStart"/>
      <w:r w:rsidRPr="003632BE">
        <w:t>tocitation</w:t>
      </w:r>
      <w:proofErr w:type="spellEnd"/>
      <w:r w:rsidRPr="003632BE">
        <w:t xml:space="preserve"> 1</w:t>
      </w:r>
    </w:p>
    <w:p w14:paraId="4D3BE3E9" w14:textId="77777777" w:rsidR="003632BE" w:rsidRPr="003632BE" w:rsidRDefault="003632BE" w:rsidP="003632BE">
      <w:pPr>
        <w:numPr>
          <w:ilvl w:val="0"/>
          <w:numId w:val="35"/>
        </w:numPr>
      </w:pPr>
      <w:r w:rsidRPr="003632BE">
        <w:t>Laria Reynolds and Kyle McDonell. 2021. Prompt Programming for Large Language Models: Beyond the Few-Shot Paradigm. </w:t>
      </w:r>
      <w:r w:rsidRPr="003632BE">
        <w:rPr>
          <w:i/>
          <w:iCs/>
        </w:rPr>
        <w:t>Extended Abstracts of the 2021 CHI Conference on Human Factors in Computing Systems</w:t>
      </w:r>
      <w:r w:rsidRPr="003632BE">
        <w:t xml:space="preserve"> (2021), 1–7. Navigate </w:t>
      </w:r>
      <w:proofErr w:type="spellStart"/>
      <w:r w:rsidRPr="003632BE">
        <w:t>tocitation</w:t>
      </w:r>
      <w:proofErr w:type="spellEnd"/>
      <w:r w:rsidRPr="003632BE">
        <w:t xml:space="preserve"> 1</w:t>
      </w:r>
    </w:p>
    <w:p w14:paraId="0DA3366E" w14:textId="77777777" w:rsidR="003632BE" w:rsidRPr="003632BE" w:rsidRDefault="003632BE" w:rsidP="003632BE">
      <w:pPr>
        <w:numPr>
          <w:ilvl w:val="0"/>
          <w:numId w:val="36"/>
        </w:numPr>
      </w:pPr>
      <w:r w:rsidRPr="003632BE">
        <w:t xml:space="preserve">Tal </w:t>
      </w:r>
      <w:proofErr w:type="spellStart"/>
      <w:r w:rsidRPr="003632BE">
        <w:t>Ridnik</w:t>
      </w:r>
      <w:proofErr w:type="spellEnd"/>
      <w:r w:rsidRPr="003632BE">
        <w:t xml:space="preserve">, Dedy Kredo, and Itamar Friedman. 2024. Code Generation with </w:t>
      </w:r>
      <w:proofErr w:type="spellStart"/>
      <w:r w:rsidRPr="003632BE">
        <w:t>AlphaCodium</w:t>
      </w:r>
      <w:proofErr w:type="spellEnd"/>
      <w:r w:rsidRPr="003632BE">
        <w:t>: From Prompt Engineering to Flow Engineering. </w:t>
      </w:r>
      <w:proofErr w:type="spellStart"/>
      <w:r w:rsidRPr="003632BE">
        <w:rPr>
          <w:i/>
          <w:iCs/>
        </w:rPr>
        <w:t>arXiv</w:t>
      </w:r>
      <w:proofErr w:type="spellEnd"/>
      <w:r w:rsidRPr="003632BE">
        <w:t xml:space="preserve"> (2024). Navigate </w:t>
      </w:r>
      <w:proofErr w:type="spellStart"/>
      <w:r w:rsidRPr="003632BE">
        <w:t>tocitation</w:t>
      </w:r>
      <w:proofErr w:type="spellEnd"/>
      <w:r w:rsidRPr="003632BE">
        <w:t xml:space="preserve"> 1citation 2</w:t>
      </w:r>
    </w:p>
    <w:p w14:paraId="496BCE69" w14:textId="77777777" w:rsidR="003632BE" w:rsidRPr="003632BE" w:rsidRDefault="003632BE" w:rsidP="003632BE">
      <w:pPr>
        <w:numPr>
          <w:ilvl w:val="0"/>
          <w:numId w:val="37"/>
        </w:numPr>
      </w:pPr>
      <w:r w:rsidRPr="003632BE">
        <w:t xml:space="preserve">Victor Sanh, Lysandre Debut, Julien Chaumond, and Thomas Wolf. 2020. </w:t>
      </w:r>
      <w:proofErr w:type="spellStart"/>
      <w:r w:rsidRPr="003632BE">
        <w:t>DistilBERT</w:t>
      </w:r>
      <w:proofErr w:type="spellEnd"/>
      <w:r w:rsidRPr="003632BE">
        <w:t xml:space="preserve">, a distilled version of BERT: smaller, faster, cheaper and lighter. Navigate </w:t>
      </w:r>
      <w:proofErr w:type="spellStart"/>
      <w:r w:rsidRPr="003632BE">
        <w:t>tocitation</w:t>
      </w:r>
      <w:proofErr w:type="spellEnd"/>
      <w:r w:rsidRPr="003632BE">
        <w:t xml:space="preserve"> 1</w:t>
      </w:r>
    </w:p>
    <w:p w14:paraId="47DA71AE" w14:textId="77777777" w:rsidR="003632BE" w:rsidRPr="003632BE" w:rsidRDefault="003632BE" w:rsidP="003632BE">
      <w:pPr>
        <w:numPr>
          <w:ilvl w:val="0"/>
          <w:numId w:val="38"/>
        </w:numPr>
      </w:pPr>
      <w:proofErr w:type="spellStart"/>
      <w:r w:rsidRPr="003632BE">
        <w:t>Ruttachai</w:t>
      </w:r>
      <w:proofErr w:type="spellEnd"/>
      <w:r w:rsidRPr="003632BE">
        <w:t xml:space="preserve"> Seelajaroen, Pornanong </w:t>
      </w:r>
      <w:proofErr w:type="spellStart"/>
      <w:r w:rsidRPr="003632BE">
        <w:t>Budsaratragoon</w:t>
      </w:r>
      <w:proofErr w:type="spellEnd"/>
      <w:r w:rsidRPr="003632BE">
        <w:t xml:space="preserve">, and Boonlert Jitmaneeroj. 2020. Do Monetary Policy Transparency and Central Bank Communication Reduce Interest Rate </w:t>
      </w:r>
      <w:proofErr w:type="spellStart"/>
      <w:proofErr w:type="gramStart"/>
      <w:r w:rsidRPr="003632BE">
        <w:t>Disagreement?</w:t>
      </w:r>
      <w:r w:rsidRPr="003632BE">
        <w:rPr>
          <w:i/>
          <w:iCs/>
        </w:rPr>
        <w:t>Journal</w:t>
      </w:r>
      <w:proofErr w:type="spellEnd"/>
      <w:proofErr w:type="gramEnd"/>
      <w:r w:rsidRPr="003632BE">
        <w:rPr>
          <w:i/>
          <w:iCs/>
        </w:rPr>
        <w:t xml:space="preserve"> of Forecasting</w:t>
      </w:r>
      <w:r w:rsidRPr="003632BE">
        <w:t xml:space="preserve"> 39, 3 (2020), 368–393. Navigate </w:t>
      </w:r>
      <w:proofErr w:type="spellStart"/>
      <w:r w:rsidRPr="003632BE">
        <w:t>tocitation</w:t>
      </w:r>
      <w:proofErr w:type="spellEnd"/>
      <w:r w:rsidRPr="003632BE">
        <w:t xml:space="preserve"> 1</w:t>
      </w:r>
    </w:p>
    <w:p w14:paraId="2247EA64" w14:textId="77777777" w:rsidR="003632BE" w:rsidRPr="003632BE" w:rsidRDefault="003632BE" w:rsidP="003632BE">
      <w:pPr>
        <w:numPr>
          <w:ilvl w:val="0"/>
          <w:numId w:val="39"/>
        </w:numPr>
      </w:pPr>
      <w:r w:rsidRPr="003632BE">
        <w:t xml:space="preserve">Adam Hale Shapiro, Moritz </w:t>
      </w:r>
      <w:proofErr w:type="spellStart"/>
      <w:r w:rsidRPr="003632BE">
        <w:t>Sudhof</w:t>
      </w:r>
      <w:proofErr w:type="spellEnd"/>
      <w:r w:rsidRPr="003632BE">
        <w:t>, and Daniel Wilson. 2022. Measuring News Sentiment. </w:t>
      </w:r>
      <w:r w:rsidRPr="003632BE">
        <w:rPr>
          <w:i/>
          <w:iCs/>
        </w:rPr>
        <w:t>Journal of Econometrics</w:t>
      </w:r>
      <w:r w:rsidRPr="003632BE">
        <w:t xml:space="preserve"> 228, 2 (2022), 221–243. Navigate </w:t>
      </w:r>
      <w:proofErr w:type="spellStart"/>
      <w:r w:rsidRPr="003632BE">
        <w:t>tocitation</w:t>
      </w:r>
      <w:proofErr w:type="spellEnd"/>
      <w:r w:rsidRPr="003632BE">
        <w:t xml:space="preserve"> 1</w:t>
      </w:r>
    </w:p>
    <w:p w14:paraId="3BF7D16D" w14:textId="77777777" w:rsidR="003632BE" w:rsidRPr="003632BE" w:rsidRDefault="003632BE" w:rsidP="003632BE">
      <w:pPr>
        <w:numPr>
          <w:ilvl w:val="0"/>
          <w:numId w:val="40"/>
        </w:numPr>
      </w:pPr>
      <w:r w:rsidRPr="003632BE">
        <w:t xml:space="preserve">Tian-Xiang Sun, </w:t>
      </w:r>
      <w:proofErr w:type="gramStart"/>
      <w:r w:rsidRPr="003632BE">
        <w:t>Xiang-Yang Liu</w:t>
      </w:r>
      <w:proofErr w:type="gramEnd"/>
      <w:r w:rsidRPr="003632BE">
        <w:t>, Xi-Peng Qiu, and Xuan-Jing Huang. 2022. Paradigm shift in Natural Language Processing. </w:t>
      </w:r>
      <w:r w:rsidRPr="003632BE">
        <w:rPr>
          <w:i/>
          <w:iCs/>
        </w:rPr>
        <w:t>Machine Intelligence Research</w:t>
      </w:r>
      <w:r w:rsidRPr="003632BE">
        <w:t xml:space="preserve"> 19, 3 (2022), 169–183. Navigate </w:t>
      </w:r>
      <w:proofErr w:type="spellStart"/>
      <w:r w:rsidRPr="003632BE">
        <w:t>tocitation</w:t>
      </w:r>
      <w:proofErr w:type="spellEnd"/>
      <w:r w:rsidRPr="003632BE">
        <w:t xml:space="preserve"> 1citation 2</w:t>
      </w:r>
    </w:p>
    <w:p w14:paraId="2D2A06EF" w14:textId="77777777" w:rsidR="003632BE" w:rsidRPr="003632BE" w:rsidRDefault="003632BE" w:rsidP="003632BE">
      <w:pPr>
        <w:numPr>
          <w:ilvl w:val="0"/>
          <w:numId w:val="41"/>
        </w:numPr>
      </w:pPr>
      <w:r w:rsidRPr="003632BE">
        <w:t>Raul Cruz Tadle. 2022. FOMC Minutes Sentiments and Their Impact on Financial Markets. </w:t>
      </w:r>
      <w:r w:rsidRPr="003632BE">
        <w:rPr>
          <w:i/>
          <w:iCs/>
        </w:rPr>
        <w:t>Journal of Economics and Business</w:t>
      </w:r>
      <w:r w:rsidRPr="003632BE">
        <w:t xml:space="preserve"> 118 (2022), 106021. Navigate </w:t>
      </w:r>
      <w:proofErr w:type="spellStart"/>
      <w:r w:rsidRPr="003632BE">
        <w:t>tocitation</w:t>
      </w:r>
      <w:proofErr w:type="spellEnd"/>
      <w:r w:rsidRPr="003632BE">
        <w:t xml:space="preserve"> 1citation 2</w:t>
      </w:r>
    </w:p>
    <w:p w14:paraId="4058CB7A" w14:textId="77777777" w:rsidR="003632BE" w:rsidRPr="003632BE" w:rsidRDefault="003632BE" w:rsidP="003632BE">
      <w:pPr>
        <w:numPr>
          <w:ilvl w:val="0"/>
          <w:numId w:val="42"/>
        </w:numPr>
      </w:pPr>
      <w:r w:rsidRPr="003632BE">
        <w:rPr>
          <w:lang w:val="fr-FR"/>
        </w:rPr>
        <w:t xml:space="preserve">Hugo Touvron, Thibaut Lavril, Gautier Izacard, Xavier Martinet, Marie-Anne Lachaux, Timothée Lacroix, Baptiste Rozière, Naman Goyal, </w:t>
      </w:r>
      <w:proofErr w:type="spellStart"/>
      <w:r w:rsidRPr="003632BE">
        <w:rPr>
          <w:lang w:val="fr-FR"/>
        </w:rPr>
        <w:t>Eric</w:t>
      </w:r>
      <w:proofErr w:type="spellEnd"/>
      <w:r w:rsidRPr="003632BE">
        <w:rPr>
          <w:lang w:val="fr-FR"/>
        </w:rPr>
        <w:t xml:space="preserve"> Hambro, Faisal Azhar, </w:t>
      </w:r>
      <w:r w:rsidRPr="003632BE">
        <w:rPr>
          <w:i/>
          <w:iCs/>
          <w:lang w:val="fr-FR"/>
        </w:rPr>
        <w:t>et al.</w:t>
      </w:r>
      <w:r w:rsidRPr="003632BE">
        <w:rPr>
          <w:lang w:val="fr-FR"/>
        </w:rPr>
        <w:t xml:space="preserve"> 2023. </w:t>
      </w:r>
      <w:proofErr w:type="gramStart"/>
      <w:r w:rsidRPr="003632BE">
        <w:t>Llama:</w:t>
      </w:r>
      <w:proofErr w:type="gramEnd"/>
      <w:r w:rsidRPr="003632BE">
        <w:t xml:space="preserve"> Open and Efficient Foundation Language Models. </w:t>
      </w:r>
      <w:proofErr w:type="spellStart"/>
      <w:r w:rsidRPr="003632BE">
        <w:rPr>
          <w:i/>
          <w:iCs/>
        </w:rPr>
        <w:t>arXiv</w:t>
      </w:r>
      <w:proofErr w:type="spellEnd"/>
      <w:r w:rsidRPr="003632BE">
        <w:t xml:space="preserve"> (2023). Navigate </w:t>
      </w:r>
      <w:proofErr w:type="spellStart"/>
      <w:r w:rsidRPr="003632BE">
        <w:t>tocitation</w:t>
      </w:r>
      <w:proofErr w:type="spellEnd"/>
      <w:r w:rsidRPr="003632BE">
        <w:t xml:space="preserve"> 1</w:t>
      </w:r>
    </w:p>
    <w:p w14:paraId="2982DA31" w14:textId="77777777" w:rsidR="003632BE" w:rsidRPr="003632BE" w:rsidRDefault="003632BE" w:rsidP="003632BE">
      <w:pPr>
        <w:numPr>
          <w:ilvl w:val="0"/>
          <w:numId w:val="43"/>
        </w:numPr>
      </w:pPr>
      <w:r w:rsidRPr="003632BE">
        <w:t xml:space="preserve">Ashish Vaswani, Noam Shazeer, Niki Parmar, Jakob </w:t>
      </w:r>
      <w:proofErr w:type="spellStart"/>
      <w:r w:rsidRPr="003632BE">
        <w:t>Uszkoreit</w:t>
      </w:r>
      <w:proofErr w:type="spellEnd"/>
      <w:r w:rsidRPr="003632BE">
        <w:t xml:space="preserve">, Llion Jones, Aidan Gomez, Lukasz Kaiser, and Illia </w:t>
      </w:r>
      <w:proofErr w:type="spellStart"/>
      <w:r w:rsidRPr="003632BE">
        <w:t>Polosukhin</w:t>
      </w:r>
      <w:proofErr w:type="spellEnd"/>
      <w:r w:rsidRPr="003632BE">
        <w:t>. 2017. Attention Is All You Need. </w:t>
      </w:r>
      <w:r w:rsidRPr="003632BE">
        <w:rPr>
          <w:i/>
          <w:iCs/>
        </w:rPr>
        <w:t>Advances in Neural Information Processing Systems (</w:t>
      </w:r>
      <w:proofErr w:type="spellStart"/>
      <w:r w:rsidRPr="003632BE">
        <w:rPr>
          <w:i/>
          <w:iCs/>
        </w:rPr>
        <w:t>NeurIPS</w:t>
      </w:r>
      <w:proofErr w:type="spellEnd"/>
      <w:r w:rsidRPr="003632BE">
        <w:rPr>
          <w:i/>
          <w:iCs/>
        </w:rPr>
        <w:t>)</w:t>
      </w:r>
      <w:r w:rsidRPr="003632BE">
        <w:t xml:space="preserve"> 30 (2017). Navigate </w:t>
      </w:r>
      <w:proofErr w:type="spellStart"/>
      <w:r w:rsidRPr="003632BE">
        <w:t>tocitation</w:t>
      </w:r>
      <w:proofErr w:type="spellEnd"/>
      <w:r w:rsidRPr="003632BE">
        <w:t xml:space="preserve"> 1</w:t>
      </w:r>
    </w:p>
    <w:p w14:paraId="1BF95F99" w14:textId="77777777" w:rsidR="003632BE" w:rsidRPr="003632BE" w:rsidRDefault="003632BE" w:rsidP="003632BE">
      <w:pPr>
        <w:numPr>
          <w:ilvl w:val="0"/>
          <w:numId w:val="44"/>
        </w:numPr>
      </w:pPr>
      <w:r w:rsidRPr="003632BE">
        <w:lastRenderedPageBreak/>
        <w:t>Yifei Wang. 2021. Aspect-Based Sentiment Analysis in Document-FOMC Meeting Minutes on Economic Projection. </w:t>
      </w:r>
      <w:proofErr w:type="spellStart"/>
      <w:r w:rsidRPr="003632BE">
        <w:rPr>
          <w:i/>
          <w:iCs/>
        </w:rPr>
        <w:t>arXiv</w:t>
      </w:r>
      <w:proofErr w:type="spellEnd"/>
      <w:r w:rsidRPr="003632BE">
        <w:t xml:space="preserve"> (2021). Navigate </w:t>
      </w:r>
      <w:proofErr w:type="spellStart"/>
      <w:r w:rsidRPr="003632BE">
        <w:t>tocitation</w:t>
      </w:r>
      <w:proofErr w:type="spellEnd"/>
      <w:r w:rsidRPr="003632BE">
        <w:t xml:space="preserve"> 1citation 2</w:t>
      </w:r>
    </w:p>
    <w:p w14:paraId="48D5233C" w14:textId="77777777" w:rsidR="003632BE" w:rsidRPr="003632BE" w:rsidRDefault="003632BE" w:rsidP="003632BE">
      <w:pPr>
        <w:numPr>
          <w:ilvl w:val="0"/>
          <w:numId w:val="45"/>
        </w:numPr>
      </w:pPr>
      <w:r w:rsidRPr="003632BE">
        <w:t xml:space="preserve">Jason Wei, Maarten Bosma, Vincent Zhao, Kelvin </w:t>
      </w:r>
      <w:proofErr w:type="spellStart"/>
      <w:r w:rsidRPr="003632BE">
        <w:t>Guu</w:t>
      </w:r>
      <w:proofErr w:type="spellEnd"/>
      <w:r w:rsidRPr="003632BE">
        <w:t>, Adams Wei Yu, Brian Lester, Nan Du, Andrew M Dai, and Quoc V Le. 2021. Finetuned Language Models are Zero-Shot Learners. In </w:t>
      </w:r>
      <w:r w:rsidRPr="003632BE">
        <w:rPr>
          <w:i/>
          <w:iCs/>
        </w:rPr>
        <w:t>International Conference on Learning Representations</w:t>
      </w:r>
      <w:r w:rsidRPr="003632BE">
        <w:t xml:space="preserve">. Navigate </w:t>
      </w:r>
      <w:proofErr w:type="spellStart"/>
      <w:r w:rsidRPr="003632BE">
        <w:t>tocitation</w:t>
      </w:r>
      <w:proofErr w:type="spellEnd"/>
      <w:r w:rsidRPr="003632BE">
        <w:t xml:space="preserve"> 1</w:t>
      </w:r>
    </w:p>
    <w:p w14:paraId="33B5868B" w14:textId="77777777" w:rsidR="003632BE" w:rsidRPr="003632BE" w:rsidRDefault="003632BE" w:rsidP="003632BE">
      <w:pPr>
        <w:numPr>
          <w:ilvl w:val="0"/>
          <w:numId w:val="46"/>
        </w:numPr>
      </w:pPr>
      <w:r w:rsidRPr="003632BE">
        <w:t xml:space="preserve">Jason Wei, </w:t>
      </w:r>
      <w:proofErr w:type="spellStart"/>
      <w:r w:rsidRPr="003632BE">
        <w:t>Xuezhi</w:t>
      </w:r>
      <w:proofErr w:type="spellEnd"/>
      <w:r w:rsidRPr="003632BE">
        <w:t xml:space="preserve"> Wang, Dale Schuurmans, Maarten Bosma, Fei Xia, Ed Chi, Quoc Le, and Denny Zhou. 2022. Chain-of-Thought Prompting Elicits Reasoning in Large Language Models. </w:t>
      </w:r>
      <w:r w:rsidRPr="003632BE">
        <w:rPr>
          <w:i/>
          <w:iCs/>
        </w:rPr>
        <w:t>Advances in Neural Information Processing Systems</w:t>
      </w:r>
      <w:r w:rsidRPr="003632BE">
        <w:t xml:space="preserve"> 35 (2022), 24824–24837. Navigate </w:t>
      </w:r>
      <w:proofErr w:type="spellStart"/>
      <w:r w:rsidRPr="003632BE">
        <w:t>tocitation</w:t>
      </w:r>
      <w:proofErr w:type="spellEnd"/>
      <w:r w:rsidRPr="003632BE">
        <w:t xml:space="preserve"> 1citation 2</w:t>
      </w:r>
    </w:p>
    <w:p w14:paraId="55F762DA" w14:textId="77777777" w:rsidR="003632BE" w:rsidRPr="003632BE" w:rsidRDefault="003632BE" w:rsidP="003632BE">
      <w:pPr>
        <w:numPr>
          <w:ilvl w:val="0"/>
          <w:numId w:val="47"/>
        </w:numPr>
      </w:pPr>
      <w:r w:rsidRPr="003632BE">
        <w:t>Michael Woodford. 2005. Central Bank Communication and Policy Effectiveness. </w:t>
      </w:r>
      <w:r w:rsidRPr="003632BE">
        <w:rPr>
          <w:i/>
          <w:iCs/>
        </w:rPr>
        <w:t>National Bureau of Economic Research Cambridge, Mass., USA</w:t>
      </w:r>
      <w:r w:rsidRPr="003632BE">
        <w:t xml:space="preserve"> (2005). Navigate </w:t>
      </w:r>
      <w:proofErr w:type="spellStart"/>
      <w:r w:rsidRPr="003632BE">
        <w:t>tocitation</w:t>
      </w:r>
      <w:proofErr w:type="spellEnd"/>
      <w:r w:rsidRPr="003632BE">
        <w:t xml:space="preserve"> 1</w:t>
      </w:r>
    </w:p>
    <w:p w14:paraId="0E9835AB" w14:textId="77777777" w:rsidR="003632BE" w:rsidRPr="003632BE" w:rsidRDefault="003632BE" w:rsidP="003632BE">
      <w:pPr>
        <w:numPr>
          <w:ilvl w:val="0"/>
          <w:numId w:val="48"/>
        </w:numPr>
      </w:pPr>
      <w:r w:rsidRPr="003632BE">
        <w:t xml:space="preserve">Hang Yan, </w:t>
      </w:r>
      <w:proofErr w:type="spellStart"/>
      <w:r w:rsidRPr="003632BE">
        <w:t>Junqi</w:t>
      </w:r>
      <w:proofErr w:type="spellEnd"/>
      <w:r w:rsidRPr="003632BE">
        <w:t xml:space="preserve"> Dai, Tuo Ji, Xipeng Qiu, and Zheng Zhang. 2021. A Unified Generative Framework for Aspect-Based Sentiment Analysis. In </w:t>
      </w:r>
      <w:r w:rsidRPr="003632BE">
        <w:rPr>
          <w:i/>
          <w:iCs/>
        </w:rPr>
        <w:t>Annual Meeting of the Association for Computational Linguistics and the 11th International Joint Conference on Natural Language Processing (Volume 1: Long Papers)</w:t>
      </w:r>
      <w:r w:rsidRPr="003632BE">
        <w:t xml:space="preserve">. 2416–2429. Navigate </w:t>
      </w:r>
      <w:proofErr w:type="spellStart"/>
      <w:r w:rsidRPr="003632BE">
        <w:t>tocitation</w:t>
      </w:r>
      <w:proofErr w:type="spellEnd"/>
      <w:r w:rsidRPr="003632BE">
        <w:t xml:space="preserve"> 1</w:t>
      </w:r>
    </w:p>
    <w:p w14:paraId="004F86E4" w14:textId="77777777" w:rsidR="003632BE" w:rsidRPr="003632BE" w:rsidRDefault="003632BE" w:rsidP="003632BE">
      <w:r w:rsidRPr="003632BE">
        <w:rPr>
          <w:u w:val="single"/>
        </w:rPr>
        <w:t>A</w:t>
      </w:r>
      <w:r w:rsidRPr="003632BE">
        <w:t> Disclosure of Direct Costs for the Study</w:t>
      </w:r>
    </w:p>
    <w:p w14:paraId="05F67AED" w14:textId="77777777" w:rsidR="003632BE" w:rsidRPr="003632BE" w:rsidRDefault="003632BE" w:rsidP="003632BE">
      <w:r w:rsidRPr="003632BE">
        <w:t>The GPT-4 costs were no higher than $101.98. The costs for the GPT-4 (8k context window) API were $6 per 100k tokens at the time of the experiment (lower today). In addition to the main run, we also ran test experiments to try different prompt strategies. We estimate the total direct costs of the GPT-4 study to be below $300.</w:t>
      </w:r>
    </w:p>
    <w:p w14:paraId="5BD67C03" w14:textId="77777777" w:rsidR="003632BE" w:rsidRPr="003632BE" w:rsidRDefault="003632BE" w:rsidP="003632BE">
      <w:r w:rsidRPr="003632BE">
        <w:t xml:space="preserve">Furthermore, we performed inference with </w:t>
      </w:r>
      <w:proofErr w:type="spellStart"/>
      <w:r w:rsidRPr="003632BE">
        <w:t>FinBERT</w:t>
      </w:r>
      <w:proofErr w:type="spellEnd"/>
      <w:r w:rsidRPr="003632BE">
        <w:t xml:space="preserve"> and VADER on a local machine. The costs for these runs are negligible and are mainly due to consumer-grade hardware (GPU) usage and electricity costs from running the GPU for several hours. We ran Llama-3-70bn on our institute's NVIDIA DGX-2 GPU cluster.</w:t>
      </w:r>
    </w:p>
    <w:p w14:paraId="4E6063DB" w14:textId="77777777" w:rsidR="003632BE" w:rsidRPr="003632BE" w:rsidRDefault="003632BE" w:rsidP="003632BE">
      <w:r w:rsidRPr="003632BE">
        <w:rPr>
          <w:u w:val="single"/>
        </w:rPr>
        <w:t>B</w:t>
      </w:r>
      <w:r w:rsidRPr="003632BE">
        <w:t> GPT-4 &amp; Llama3 Prompt</w:t>
      </w:r>
    </w:p>
    <w:p w14:paraId="62E3974E" w14:textId="0FF4A915" w:rsidR="003632BE" w:rsidRPr="003632BE" w:rsidRDefault="003632BE" w:rsidP="003632BE">
      <w:r w:rsidRPr="003632BE">
        <mc:AlternateContent>
          <mc:Choice Requires="wps">
            <w:drawing>
              <wp:inline distT="0" distB="0" distL="0" distR="0" wp14:anchorId="3EF952F7" wp14:editId="7ABBC154">
                <wp:extent cx="304800" cy="304800"/>
                <wp:effectExtent l="0" t="0" r="0" b="0"/>
                <wp:docPr id="109663181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70D74"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3087DE" w14:textId="77777777" w:rsidR="003632BE" w:rsidRPr="003632BE" w:rsidRDefault="003632BE" w:rsidP="003632BE">
      <w:r w:rsidRPr="003632BE">
        <w:rPr>
          <w:u w:val="single"/>
        </w:rPr>
        <w:t>Footnote</w:t>
      </w:r>
    </w:p>
    <w:p w14:paraId="70D92524" w14:textId="77777777" w:rsidR="003632BE" w:rsidRPr="003632BE" w:rsidRDefault="003632BE" w:rsidP="003632BE">
      <w:hyperlink r:id="rId114" w:anchor="foot-fn1" w:history="1">
        <w:r w:rsidRPr="003632BE">
          <w:rPr>
            <w:rStyle w:val="Hyperlink"/>
            <w:b/>
            <w:bCs/>
            <w:vertAlign w:val="superscript"/>
          </w:rPr>
          <w:t>1</w:t>
        </w:r>
      </w:hyperlink>
      <w:r w:rsidRPr="003632BE">
        <w:t> </w:t>
      </w:r>
      <w:hyperlink r:id="rId115" w:history="1">
        <w:r w:rsidRPr="003632BE">
          <w:rPr>
            <w:rStyle w:val="Hyperlink"/>
            <w:b/>
            <w:bCs/>
          </w:rPr>
          <w:t>huggingface.co/datasets/</w:t>
        </w:r>
        <w:proofErr w:type="spellStart"/>
        <w:r w:rsidRPr="003632BE">
          <w:rPr>
            <w:rStyle w:val="Hyperlink"/>
            <w:b/>
            <w:bCs/>
          </w:rPr>
          <w:t>janspoerer</w:t>
        </w:r>
        <w:proofErr w:type="spellEnd"/>
        <w:r w:rsidRPr="003632BE">
          <w:rPr>
            <w:rStyle w:val="Hyperlink"/>
            <w:b/>
            <w:bCs/>
          </w:rPr>
          <w:t>/</w:t>
        </w:r>
        <w:proofErr w:type="spellStart"/>
        <w:r w:rsidRPr="003632BE">
          <w:rPr>
            <w:rStyle w:val="Hyperlink"/>
            <w:b/>
            <w:bCs/>
          </w:rPr>
          <w:t>fomc</w:t>
        </w:r>
        <w:proofErr w:type="spellEnd"/>
      </w:hyperlink>
      <w:r w:rsidRPr="003632BE">
        <w:t>.</w:t>
      </w:r>
    </w:p>
    <w:p w14:paraId="5572B995" w14:textId="77777777" w:rsidR="003632BE" w:rsidRPr="003632BE" w:rsidRDefault="003632BE" w:rsidP="003632BE">
      <w:hyperlink r:id="rId116" w:anchor="foot-fn2" w:history="1">
        <w:r w:rsidRPr="003632BE">
          <w:rPr>
            <w:rStyle w:val="Hyperlink"/>
            <w:b/>
            <w:bCs/>
            <w:vertAlign w:val="superscript"/>
          </w:rPr>
          <w:t>2</w:t>
        </w:r>
      </w:hyperlink>
      <w:r w:rsidRPr="003632BE">
        <w:t> </w:t>
      </w:r>
      <w:hyperlink r:id="rId117" w:history="1">
        <w:r w:rsidRPr="003632BE">
          <w:rPr>
            <w:rStyle w:val="Hyperlink"/>
            <w:b/>
            <w:bCs/>
          </w:rPr>
          <w:t>huggingface.co/datasets/</w:t>
        </w:r>
        <w:proofErr w:type="spellStart"/>
        <w:r w:rsidRPr="003632BE">
          <w:rPr>
            <w:rStyle w:val="Hyperlink"/>
            <w:b/>
            <w:bCs/>
          </w:rPr>
          <w:t>janspoerer</w:t>
        </w:r>
        <w:proofErr w:type="spellEnd"/>
        <w:r w:rsidRPr="003632BE">
          <w:rPr>
            <w:rStyle w:val="Hyperlink"/>
            <w:b/>
            <w:bCs/>
          </w:rPr>
          <w:t>/</w:t>
        </w:r>
        <w:proofErr w:type="spellStart"/>
        <w:r w:rsidRPr="003632BE">
          <w:rPr>
            <w:rStyle w:val="Hyperlink"/>
            <w:b/>
            <w:bCs/>
          </w:rPr>
          <w:t>fomc</w:t>
        </w:r>
        <w:proofErr w:type="spellEnd"/>
      </w:hyperlink>
      <w:r w:rsidRPr="003632BE">
        <w:t>.</w:t>
      </w:r>
    </w:p>
    <w:p w14:paraId="2D466B5D" w14:textId="77777777" w:rsidR="003632BE" w:rsidRPr="003632BE" w:rsidRDefault="003632BE" w:rsidP="003632BE">
      <w:hyperlink r:id="rId118" w:anchor="foot-fn3" w:history="1">
        <w:r w:rsidRPr="003632BE">
          <w:rPr>
            <w:rStyle w:val="Hyperlink"/>
            <w:b/>
            <w:bCs/>
            <w:vertAlign w:val="superscript"/>
          </w:rPr>
          <w:t>3</w:t>
        </w:r>
      </w:hyperlink>
      <w:r w:rsidRPr="003632BE">
        <w:t>The original dataset was in its early stages and labeled by two researchers, and in this paper, we build upon an initial FOMC dataset, extending it to encompass 1,065 sentences.</w:t>
      </w:r>
    </w:p>
    <w:p w14:paraId="142DEED7" w14:textId="77777777" w:rsidR="003632BE" w:rsidRPr="003632BE" w:rsidRDefault="003632BE" w:rsidP="003632BE">
      <w:r w:rsidRPr="003632BE">
        <w:t>Diebold-Mariano Test</w:t>
      </w:r>
    </w:p>
    <w:p w14:paraId="4130791C" w14:textId="77777777" w:rsidR="003632BE" w:rsidRPr="003632BE" w:rsidRDefault="003632BE" w:rsidP="003632BE">
      <w:r w:rsidRPr="003632BE">
        <w:t>Suppose that we have two forecasts </w:t>
      </w:r>
      <w:r w:rsidRPr="003632BE">
        <w:rPr>
          <w:i/>
          <w:iCs/>
        </w:rPr>
        <w:t>f</w:t>
      </w:r>
      <w:r w:rsidRPr="003632BE">
        <w:rPr>
          <w:vertAlign w:val="subscript"/>
        </w:rPr>
        <w:t>1</w:t>
      </w:r>
      <w:r w:rsidRPr="003632BE">
        <w:t>, …, </w:t>
      </w:r>
      <w:proofErr w:type="spellStart"/>
      <w:r w:rsidRPr="003632BE">
        <w:rPr>
          <w:i/>
          <w:iCs/>
        </w:rPr>
        <w:t>f</w:t>
      </w:r>
      <w:r w:rsidRPr="003632BE">
        <w:rPr>
          <w:i/>
          <w:iCs/>
          <w:vertAlign w:val="subscript"/>
        </w:rPr>
        <w:t>n</w:t>
      </w:r>
      <w:proofErr w:type="spellEnd"/>
      <w:r w:rsidRPr="003632BE">
        <w:t> and </w:t>
      </w:r>
      <w:r w:rsidRPr="003632BE">
        <w:rPr>
          <w:i/>
          <w:iCs/>
        </w:rPr>
        <w:t>g</w:t>
      </w:r>
      <w:r w:rsidRPr="003632BE">
        <w:rPr>
          <w:vertAlign w:val="subscript"/>
        </w:rPr>
        <w:t>1</w:t>
      </w:r>
      <w:r w:rsidRPr="003632BE">
        <w:t>, …, </w:t>
      </w:r>
      <w:proofErr w:type="spellStart"/>
      <w:r w:rsidRPr="003632BE">
        <w:rPr>
          <w:i/>
          <w:iCs/>
        </w:rPr>
        <w:t>g</w:t>
      </w:r>
      <w:r w:rsidRPr="003632BE">
        <w:rPr>
          <w:i/>
          <w:iCs/>
          <w:vertAlign w:val="subscript"/>
        </w:rPr>
        <w:t>n</w:t>
      </w:r>
      <w:proofErr w:type="spellEnd"/>
      <w:r w:rsidRPr="003632BE">
        <w:t> for a time series if y</w:t>
      </w:r>
      <w:r w:rsidRPr="003632BE">
        <w:rPr>
          <w:vertAlign w:val="subscript"/>
        </w:rPr>
        <w:t>1</w:t>
      </w:r>
      <w:r w:rsidRPr="003632BE">
        <w:t xml:space="preserve">, …, </w:t>
      </w:r>
      <w:proofErr w:type="spellStart"/>
      <w:r w:rsidRPr="003632BE">
        <w:t>y</w:t>
      </w:r>
      <w:r w:rsidRPr="003632BE">
        <w:rPr>
          <w:i/>
          <w:iCs/>
          <w:vertAlign w:val="subscript"/>
        </w:rPr>
        <w:t>n</w:t>
      </w:r>
      <w:proofErr w:type="spellEnd"/>
      <w:r w:rsidRPr="003632BE">
        <w:t> and we want to see which forecast is better, in the sense of it having better predictive accuracy. The obvious approach is to select the forecast that has the smaller error measurement based on one of the error measurements described in </w:t>
      </w:r>
      <w:hyperlink r:id="rId119" w:tgtFrame="_blank" w:history="1">
        <w:r w:rsidRPr="003632BE">
          <w:rPr>
            <w:rStyle w:val="Hyperlink"/>
          </w:rPr>
          <w:t>Forecasting Errors</w:t>
        </w:r>
      </w:hyperlink>
      <w:r w:rsidRPr="003632BE">
        <w:t>. But we need to go one step further and determine whether this difference is significant (for predictive purposes) or simply due to the specific choice of data values in the sample.</w:t>
      </w:r>
    </w:p>
    <w:p w14:paraId="7BA2FA30" w14:textId="77777777" w:rsidR="003632BE" w:rsidRPr="003632BE" w:rsidRDefault="003632BE" w:rsidP="003632BE">
      <w:r w:rsidRPr="003632BE">
        <w:rPr>
          <w:b/>
          <w:bCs/>
        </w:rPr>
        <w:t>Basic Concepts</w:t>
      </w:r>
    </w:p>
    <w:p w14:paraId="36650D88" w14:textId="77777777" w:rsidR="003632BE" w:rsidRPr="003632BE" w:rsidRDefault="003632BE" w:rsidP="003632BE">
      <w:r w:rsidRPr="003632BE">
        <w:t>We use the </w:t>
      </w:r>
      <w:r w:rsidRPr="003632BE">
        <w:rPr>
          <w:b/>
          <w:bCs/>
        </w:rPr>
        <w:t>Diebold-Mariano test</w:t>
      </w:r>
      <w:r w:rsidRPr="003632BE">
        <w:t> to determine whether the two forecasts are significantly different. Let </w:t>
      </w:r>
      <w:proofErr w:type="spellStart"/>
      <w:r w:rsidRPr="003632BE">
        <w:rPr>
          <w:i/>
          <w:iCs/>
        </w:rPr>
        <w:t>e</w:t>
      </w:r>
      <w:r w:rsidRPr="003632BE">
        <w:rPr>
          <w:i/>
          <w:iCs/>
          <w:vertAlign w:val="subscript"/>
        </w:rPr>
        <w:t>i</w:t>
      </w:r>
      <w:proofErr w:type="spellEnd"/>
      <w:r w:rsidRPr="003632BE">
        <w:t> and </w:t>
      </w:r>
      <w:proofErr w:type="spellStart"/>
      <w:r w:rsidRPr="003632BE">
        <w:rPr>
          <w:i/>
          <w:iCs/>
        </w:rPr>
        <w:t>r</w:t>
      </w:r>
      <w:r w:rsidRPr="003632BE">
        <w:rPr>
          <w:i/>
          <w:iCs/>
          <w:vertAlign w:val="subscript"/>
        </w:rPr>
        <w:t>i</w:t>
      </w:r>
      <w:proofErr w:type="spellEnd"/>
      <w:r w:rsidRPr="003632BE">
        <w:t> be the residuals for the two forecasts, i.e.</w:t>
      </w:r>
    </w:p>
    <w:p w14:paraId="5DC4EB41" w14:textId="3E57A9A7" w:rsidR="003632BE" w:rsidRPr="003632BE" w:rsidRDefault="003632BE" w:rsidP="003632BE">
      <w:r w:rsidRPr="003632BE">
        <w:drawing>
          <wp:inline distT="0" distB="0" distL="0" distR="0" wp14:anchorId="7192A4FF" wp14:editId="7D33913C">
            <wp:extent cx="1733550" cy="190500"/>
            <wp:effectExtent l="0" t="0" r="0" b="0"/>
            <wp:docPr id="543684237" name="Picture 24" descr="Forecast residuals">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orecast residuals">
                      <a:hlinkClick r:id="rId120"/>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733550" cy="190500"/>
                    </a:xfrm>
                    <a:prstGeom prst="rect">
                      <a:avLst/>
                    </a:prstGeom>
                    <a:noFill/>
                    <a:ln>
                      <a:noFill/>
                    </a:ln>
                  </pic:spPr>
                </pic:pic>
              </a:graphicData>
            </a:graphic>
          </wp:inline>
        </w:drawing>
      </w:r>
    </w:p>
    <w:p w14:paraId="6681F613" w14:textId="77777777" w:rsidR="003632BE" w:rsidRPr="003632BE" w:rsidRDefault="003632BE" w:rsidP="003632BE">
      <w:r w:rsidRPr="003632BE">
        <w:t>and let </w:t>
      </w:r>
      <w:r w:rsidRPr="003632BE">
        <w:rPr>
          <w:i/>
          <w:iCs/>
        </w:rPr>
        <w:t>d</w:t>
      </w:r>
      <w:r w:rsidRPr="003632BE">
        <w:rPr>
          <w:i/>
          <w:iCs/>
          <w:vertAlign w:val="subscript"/>
        </w:rPr>
        <w:t>i</w:t>
      </w:r>
      <w:r w:rsidRPr="003632BE">
        <w:t> be defined as one of the following (or other similar measurements)</w:t>
      </w:r>
    </w:p>
    <w:p w14:paraId="22CA3276" w14:textId="749188CD" w:rsidR="003632BE" w:rsidRPr="003632BE" w:rsidRDefault="003632BE" w:rsidP="003632BE">
      <w:r w:rsidRPr="003632BE">
        <w:drawing>
          <wp:inline distT="0" distB="0" distL="0" distR="0" wp14:anchorId="21D0C898" wp14:editId="7B408093">
            <wp:extent cx="2114550" cy="203200"/>
            <wp:effectExtent l="0" t="0" r="0" b="6350"/>
            <wp:docPr id="523081346" name="Picture 23" descr="Loss differential">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Loss differential">
                      <a:hlinkClick r:id="rId122"/>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114550" cy="203200"/>
                    </a:xfrm>
                    <a:prstGeom prst="rect">
                      <a:avLst/>
                    </a:prstGeom>
                    <a:noFill/>
                    <a:ln>
                      <a:noFill/>
                    </a:ln>
                  </pic:spPr>
                </pic:pic>
              </a:graphicData>
            </a:graphic>
          </wp:inline>
        </w:drawing>
      </w:r>
    </w:p>
    <w:p w14:paraId="41FEA080" w14:textId="77777777" w:rsidR="003632BE" w:rsidRPr="003632BE" w:rsidRDefault="003632BE" w:rsidP="003632BE">
      <w:r w:rsidRPr="003632BE">
        <w:t>The time series </w:t>
      </w:r>
      <w:proofErr w:type="gramStart"/>
      <w:r w:rsidRPr="003632BE">
        <w:rPr>
          <w:i/>
          <w:iCs/>
        </w:rPr>
        <w:t>d</w:t>
      </w:r>
      <w:r w:rsidRPr="003632BE">
        <w:rPr>
          <w:i/>
          <w:iCs/>
          <w:vertAlign w:val="subscript"/>
        </w:rPr>
        <w:t>i</w:t>
      </w:r>
      <w:r w:rsidRPr="003632BE">
        <w:t> is</w:t>
      </w:r>
      <w:proofErr w:type="gramEnd"/>
      <w:r w:rsidRPr="003632BE">
        <w:t xml:space="preserve"> called the </w:t>
      </w:r>
      <w:r w:rsidRPr="003632BE">
        <w:rPr>
          <w:b/>
          <w:bCs/>
        </w:rPr>
        <w:t>loss-differential</w:t>
      </w:r>
      <w:r w:rsidRPr="003632BE">
        <w:t>. Clearly, the first of these formulas is related to the MSE error statistic and the second is related to the MAE error statistic. We now define</w:t>
      </w:r>
    </w:p>
    <w:p w14:paraId="60601ADA" w14:textId="4A868A70" w:rsidR="003632BE" w:rsidRPr="003632BE" w:rsidRDefault="003632BE" w:rsidP="003632BE">
      <w:r w:rsidRPr="003632BE">
        <w:drawing>
          <wp:inline distT="0" distB="0" distL="0" distR="0" wp14:anchorId="61AC46A9" wp14:editId="73FCF66C">
            <wp:extent cx="1676400" cy="482600"/>
            <wp:effectExtent l="0" t="0" r="0" b="0"/>
            <wp:docPr id="1125123132" name="Picture 22" descr="Loss-differential mean">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Loss-differential mean">
                      <a:hlinkClick r:id="rId124"/>
                    </pic:cNvP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676400" cy="482600"/>
                    </a:xfrm>
                    <a:prstGeom prst="rect">
                      <a:avLst/>
                    </a:prstGeom>
                    <a:noFill/>
                    <a:ln>
                      <a:noFill/>
                    </a:ln>
                  </pic:spPr>
                </pic:pic>
              </a:graphicData>
            </a:graphic>
          </wp:inline>
        </w:drawing>
      </w:r>
    </w:p>
    <w:p w14:paraId="61F2FA8E" w14:textId="77777777" w:rsidR="003632BE" w:rsidRPr="003632BE" w:rsidRDefault="003632BE" w:rsidP="003632BE">
      <w:r w:rsidRPr="003632BE">
        <w:t>For </w:t>
      </w:r>
      <w:r w:rsidRPr="003632BE">
        <w:rPr>
          <w:i/>
          <w:iCs/>
        </w:rPr>
        <w:t>n</w:t>
      </w:r>
      <w:r w:rsidRPr="003632BE">
        <w:t> &gt; </w:t>
      </w:r>
      <w:r w:rsidRPr="003632BE">
        <w:rPr>
          <w:i/>
          <w:iCs/>
        </w:rPr>
        <w:t>k</w:t>
      </w:r>
      <w:r w:rsidRPr="003632BE">
        <w:t> ≥ 1, define</w:t>
      </w:r>
    </w:p>
    <w:p w14:paraId="4182FFDD" w14:textId="7ACAB0BB" w:rsidR="003632BE" w:rsidRPr="003632BE" w:rsidRDefault="003632BE" w:rsidP="003632BE">
      <w:r w:rsidRPr="003632BE">
        <w:drawing>
          <wp:inline distT="0" distB="0" distL="0" distR="0" wp14:anchorId="291F9A43" wp14:editId="44A14B18">
            <wp:extent cx="1905000" cy="482600"/>
            <wp:effectExtent l="0" t="0" r="0" b="0"/>
            <wp:docPr id="683075205" name="Picture 21" descr="Autocovariance at lag k">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utocovariance at lag k">
                      <a:hlinkClick r:id="rId126"/>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905000" cy="482600"/>
                    </a:xfrm>
                    <a:prstGeom prst="rect">
                      <a:avLst/>
                    </a:prstGeom>
                    <a:noFill/>
                    <a:ln>
                      <a:noFill/>
                    </a:ln>
                  </pic:spPr>
                </pic:pic>
              </a:graphicData>
            </a:graphic>
          </wp:inline>
        </w:drawing>
      </w:r>
    </w:p>
    <w:p w14:paraId="599E98CD" w14:textId="77777777" w:rsidR="003632BE" w:rsidRPr="003632BE" w:rsidRDefault="003632BE" w:rsidP="003632BE">
      <w:r w:rsidRPr="003632BE">
        <w:t>As described in </w:t>
      </w:r>
      <w:hyperlink r:id="rId128" w:tgtFrame="_blank" w:history="1">
        <w:r w:rsidRPr="003632BE">
          <w:rPr>
            <w:rStyle w:val="Hyperlink"/>
          </w:rPr>
          <w:t>Autocorrelation Function</w:t>
        </w:r>
      </w:hyperlink>
      <w:r w:rsidRPr="003632BE">
        <w:t> </w:t>
      </w:r>
      <w:proofErr w:type="spellStart"/>
      <w:r w:rsidRPr="003632BE">
        <w:rPr>
          <w:i/>
          <w:iCs/>
        </w:rPr>
        <w:t>γ</w:t>
      </w:r>
      <w:r w:rsidRPr="003632BE">
        <w:rPr>
          <w:i/>
          <w:iCs/>
          <w:vertAlign w:val="subscript"/>
        </w:rPr>
        <w:t>k</w:t>
      </w:r>
      <w:proofErr w:type="spellEnd"/>
      <w:r w:rsidRPr="003632BE">
        <w:t> is the </w:t>
      </w:r>
      <w:proofErr w:type="spellStart"/>
      <w:r w:rsidRPr="003632BE">
        <w:rPr>
          <w:b/>
          <w:bCs/>
        </w:rPr>
        <w:t>autcovariance</w:t>
      </w:r>
      <w:proofErr w:type="spellEnd"/>
      <w:r w:rsidRPr="003632BE">
        <w:t> at lag </w:t>
      </w:r>
      <w:r w:rsidRPr="003632BE">
        <w:rPr>
          <w:i/>
          <w:iCs/>
        </w:rPr>
        <w:t>k</w:t>
      </w:r>
      <w:r w:rsidRPr="003632BE">
        <w:t>.</w:t>
      </w:r>
    </w:p>
    <w:p w14:paraId="3458D04F" w14:textId="77777777" w:rsidR="003632BE" w:rsidRPr="003632BE" w:rsidRDefault="003632BE" w:rsidP="003632BE">
      <w:r w:rsidRPr="003632BE">
        <w:t>For </w:t>
      </w:r>
      <w:r w:rsidRPr="003632BE">
        <w:rPr>
          <w:i/>
          <w:iCs/>
        </w:rPr>
        <w:t>h</w:t>
      </w:r>
      <w:r w:rsidRPr="003632BE">
        <w:t> ≥ 1, define the Diebold-Mariano statistic as follows:</w:t>
      </w:r>
    </w:p>
    <w:p w14:paraId="4E3C2663" w14:textId="681F64EC" w:rsidR="003632BE" w:rsidRPr="003632BE" w:rsidRDefault="003632BE" w:rsidP="003632BE">
      <w:r w:rsidRPr="003632BE">
        <w:drawing>
          <wp:inline distT="0" distB="0" distL="0" distR="0" wp14:anchorId="3C6DC027" wp14:editId="31FD93E4">
            <wp:extent cx="1619250" cy="571500"/>
            <wp:effectExtent l="0" t="0" r="0" b="0"/>
            <wp:docPr id="1373975964" name="Picture 20" descr="Diebold-Mariano statistic">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iebold-Mariano statistic">
                      <a:hlinkClick r:id="rId129"/>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619250" cy="571500"/>
                    </a:xfrm>
                    <a:prstGeom prst="rect">
                      <a:avLst/>
                    </a:prstGeom>
                    <a:noFill/>
                    <a:ln>
                      <a:noFill/>
                    </a:ln>
                  </pic:spPr>
                </pic:pic>
              </a:graphicData>
            </a:graphic>
          </wp:inline>
        </w:drawing>
      </w:r>
    </w:p>
    <w:p w14:paraId="74998CF0" w14:textId="77777777" w:rsidR="003632BE" w:rsidRPr="003632BE" w:rsidRDefault="003632BE" w:rsidP="003632BE">
      <w:r w:rsidRPr="003632BE">
        <w:t>It is generally sufficient to use the value </w:t>
      </w:r>
      <w:r w:rsidRPr="003632BE">
        <w:rPr>
          <w:i/>
          <w:iCs/>
        </w:rPr>
        <w:t>h</w:t>
      </w:r>
      <w:r w:rsidRPr="003632BE">
        <w:t> = </w:t>
      </w:r>
      <w:r w:rsidRPr="003632BE">
        <w:rPr>
          <w:i/>
          <w:iCs/>
        </w:rPr>
        <w:t>n</w:t>
      </w:r>
      <w:r w:rsidRPr="003632BE">
        <w:rPr>
          <w:vertAlign w:val="superscript"/>
        </w:rPr>
        <w:t>1/3</w:t>
      </w:r>
      <w:r w:rsidRPr="003632BE">
        <w:t> + 1.</w:t>
      </w:r>
    </w:p>
    <w:p w14:paraId="41C0BF62" w14:textId="77777777" w:rsidR="003632BE" w:rsidRPr="003632BE" w:rsidRDefault="003632BE" w:rsidP="003632BE">
      <w:r w:rsidRPr="003632BE">
        <w:lastRenderedPageBreak/>
        <w:t>Under the assumption that </w:t>
      </w:r>
      <w:r w:rsidRPr="003632BE">
        <w:rPr>
          <w:i/>
          <w:iCs/>
        </w:rPr>
        <w:t>μ</w:t>
      </w:r>
      <w:r w:rsidRPr="003632BE">
        <w:t> = 0 (the null hypothesis), </w:t>
      </w:r>
      <w:r w:rsidRPr="003632BE">
        <w:rPr>
          <w:i/>
          <w:iCs/>
        </w:rPr>
        <w:t>DM</w:t>
      </w:r>
      <w:r w:rsidRPr="003632BE">
        <w:t> follows a standard normal distribution:</w:t>
      </w:r>
    </w:p>
    <w:p w14:paraId="1A7AF788" w14:textId="77777777" w:rsidR="003632BE" w:rsidRPr="003632BE" w:rsidRDefault="003632BE" w:rsidP="003632BE">
      <w:r w:rsidRPr="003632BE">
        <w:rPr>
          <w:i/>
          <w:iCs/>
        </w:rPr>
        <w:t>DM</w:t>
      </w:r>
      <w:r w:rsidRPr="003632BE">
        <w:t> </w:t>
      </w:r>
      <w:r w:rsidRPr="003632BE">
        <w:rPr>
          <w:rFonts w:ascii="Cambria Math" w:hAnsi="Cambria Math" w:cs="Cambria Math"/>
        </w:rPr>
        <w:t>∼</w:t>
      </w:r>
      <w:r w:rsidRPr="003632BE">
        <w:rPr>
          <w:rFonts w:ascii="Aptos" w:hAnsi="Aptos" w:cs="Aptos"/>
        </w:rPr>
        <w:t> </w:t>
      </w:r>
      <w:proofErr w:type="gramStart"/>
      <w:r w:rsidRPr="003632BE">
        <w:rPr>
          <w:i/>
          <w:iCs/>
        </w:rPr>
        <w:t>N</w:t>
      </w:r>
      <w:r w:rsidRPr="003632BE">
        <w:t>(</w:t>
      </w:r>
      <w:proofErr w:type="gramEnd"/>
      <w:r w:rsidRPr="003632BE">
        <w:t>0, 1)</w:t>
      </w:r>
    </w:p>
    <w:p w14:paraId="7A76E994" w14:textId="77777777" w:rsidR="003632BE" w:rsidRPr="003632BE" w:rsidRDefault="003632BE" w:rsidP="003632BE">
      <w:r w:rsidRPr="003632BE">
        <w:t>Thus, there is a significant difference between the forecasts if |</w:t>
      </w:r>
      <w:r w:rsidRPr="003632BE">
        <w:rPr>
          <w:i/>
          <w:iCs/>
        </w:rPr>
        <w:t>DM</w:t>
      </w:r>
      <w:r w:rsidRPr="003632BE">
        <w:t>| &gt; </w:t>
      </w:r>
      <w:proofErr w:type="spellStart"/>
      <w:r w:rsidRPr="003632BE">
        <w:rPr>
          <w:i/>
          <w:iCs/>
        </w:rPr>
        <w:t>z</w:t>
      </w:r>
      <w:r w:rsidRPr="003632BE">
        <w:rPr>
          <w:i/>
          <w:iCs/>
          <w:vertAlign w:val="subscript"/>
        </w:rPr>
        <w:t>crit</w:t>
      </w:r>
      <w:proofErr w:type="spellEnd"/>
      <w:r w:rsidRPr="003632BE">
        <w:t> where </w:t>
      </w:r>
      <w:proofErr w:type="spellStart"/>
      <w:proofErr w:type="gramStart"/>
      <w:r w:rsidRPr="003632BE">
        <w:rPr>
          <w:i/>
          <w:iCs/>
        </w:rPr>
        <w:t>z</w:t>
      </w:r>
      <w:r w:rsidRPr="003632BE">
        <w:rPr>
          <w:i/>
          <w:iCs/>
          <w:vertAlign w:val="subscript"/>
        </w:rPr>
        <w:t>crit</w:t>
      </w:r>
      <w:proofErr w:type="spellEnd"/>
      <w:r w:rsidRPr="003632BE">
        <w:t>  is</w:t>
      </w:r>
      <w:proofErr w:type="gramEnd"/>
      <w:r w:rsidRPr="003632BE">
        <w:t xml:space="preserve"> the two-tailed critical value for the standard normal </w:t>
      </w:r>
      <w:proofErr w:type="gramStart"/>
      <w:r w:rsidRPr="003632BE">
        <w:t>distribution;</w:t>
      </w:r>
      <w:proofErr w:type="gramEnd"/>
      <w:r w:rsidRPr="003632BE">
        <w:t xml:space="preserve"> i.e.</w:t>
      </w:r>
    </w:p>
    <w:p w14:paraId="3EEBD66A" w14:textId="77777777" w:rsidR="003632BE" w:rsidRPr="003632BE" w:rsidRDefault="003632BE" w:rsidP="003632BE">
      <w:proofErr w:type="spellStart"/>
      <w:proofErr w:type="gramStart"/>
      <w:r w:rsidRPr="003632BE">
        <w:rPr>
          <w:i/>
          <w:iCs/>
        </w:rPr>
        <w:t>z</w:t>
      </w:r>
      <w:r w:rsidRPr="003632BE">
        <w:rPr>
          <w:i/>
          <w:iCs/>
          <w:vertAlign w:val="subscript"/>
        </w:rPr>
        <w:t>crit</w:t>
      </w:r>
      <w:proofErr w:type="spellEnd"/>
      <w:r w:rsidRPr="003632BE">
        <w:t>  =</w:t>
      </w:r>
      <w:proofErr w:type="gramEnd"/>
      <w:r w:rsidRPr="003632BE">
        <w:t xml:space="preserve"> </w:t>
      </w:r>
      <w:proofErr w:type="gramStart"/>
      <w:r w:rsidRPr="003632BE">
        <w:t>NORM.S.DIST</w:t>
      </w:r>
      <w:proofErr w:type="gramEnd"/>
      <w:r w:rsidRPr="003632BE">
        <w:t>(1–</w:t>
      </w:r>
      <w:r w:rsidRPr="003632BE">
        <w:rPr>
          <w:i/>
          <w:iCs/>
        </w:rPr>
        <w:t>α</w:t>
      </w:r>
      <w:r w:rsidRPr="003632BE">
        <w:t>/2, TRUE)</w:t>
      </w:r>
    </w:p>
    <w:p w14:paraId="788D7FE3" w14:textId="77777777" w:rsidR="003632BE" w:rsidRPr="003632BE" w:rsidRDefault="003632BE" w:rsidP="003632BE">
      <w:r w:rsidRPr="003632BE">
        <w:t>The key assumption for using the Diebold-Mariano test is that the loss differential time series </w:t>
      </w:r>
      <w:r w:rsidRPr="003632BE">
        <w:rPr>
          <w:i/>
          <w:iCs/>
        </w:rPr>
        <w:t>d</w:t>
      </w:r>
      <w:r w:rsidRPr="003632BE">
        <w:rPr>
          <w:i/>
          <w:iCs/>
          <w:vertAlign w:val="subscript"/>
        </w:rPr>
        <w:t>i</w:t>
      </w:r>
      <w:r w:rsidRPr="003632BE">
        <w:t> is stationary (see </w:t>
      </w:r>
      <w:hyperlink r:id="rId131" w:tgtFrame="_blank" w:history="1">
        <w:r w:rsidRPr="003632BE">
          <w:rPr>
            <w:rStyle w:val="Hyperlink"/>
          </w:rPr>
          <w:t>Stationary Time Series</w:t>
        </w:r>
      </w:hyperlink>
      <w:r w:rsidRPr="003632BE">
        <w:t>).</w:t>
      </w:r>
    </w:p>
    <w:p w14:paraId="6770306F" w14:textId="77777777" w:rsidR="003632BE" w:rsidRPr="003632BE" w:rsidRDefault="003632BE" w:rsidP="003632BE">
      <w:r w:rsidRPr="003632BE">
        <w:rPr>
          <w:b/>
          <w:bCs/>
        </w:rPr>
        <w:t>Example</w:t>
      </w:r>
    </w:p>
    <w:p w14:paraId="55FEEDA9" w14:textId="77777777" w:rsidR="003632BE" w:rsidRPr="003632BE" w:rsidRDefault="003632BE" w:rsidP="003632BE">
      <w:r w:rsidRPr="003632BE">
        <w:rPr>
          <w:b/>
          <w:bCs/>
        </w:rPr>
        <w:t>Example 1</w:t>
      </w:r>
      <w:r w:rsidRPr="003632BE">
        <w:t>: Use the Diebold-Mariano test to determine whether there is a significant difference in the forecast in columns B and C of Figure 1 for the data in column A.</w:t>
      </w:r>
    </w:p>
    <w:p w14:paraId="2FF05658" w14:textId="348DDCF2" w:rsidR="003632BE" w:rsidRPr="003632BE" w:rsidRDefault="003632BE" w:rsidP="003632BE">
      <w:r w:rsidRPr="003632BE">
        <w:drawing>
          <wp:inline distT="0" distB="0" distL="0" distR="0" wp14:anchorId="59715A67" wp14:editId="0EA394BD">
            <wp:extent cx="5943600" cy="3920490"/>
            <wp:effectExtent l="0" t="0" r="0" b="3810"/>
            <wp:docPr id="507434814" name="Picture 19" descr="Diebold-Mariano test">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iebold-Mariano test">
                      <a:hlinkClick r:id="rId132"/>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3600" cy="3920490"/>
                    </a:xfrm>
                    <a:prstGeom prst="rect">
                      <a:avLst/>
                    </a:prstGeom>
                    <a:noFill/>
                    <a:ln>
                      <a:noFill/>
                    </a:ln>
                  </pic:spPr>
                </pic:pic>
              </a:graphicData>
            </a:graphic>
          </wp:inline>
        </w:drawing>
      </w:r>
    </w:p>
    <w:p w14:paraId="322D41AA" w14:textId="77777777" w:rsidR="003632BE" w:rsidRPr="003632BE" w:rsidRDefault="003632BE" w:rsidP="003632BE">
      <w:r w:rsidRPr="003632BE">
        <w:rPr>
          <w:b/>
          <w:bCs/>
        </w:rPr>
        <w:t>Figure 1 – Diebold-Mariano Test</w:t>
      </w:r>
    </w:p>
    <w:p w14:paraId="0D3CEC7B" w14:textId="77777777" w:rsidR="003632BE" w:rsidRPr="003632BE" w:rsidRDefault="003632BE" w:rsidP="003632BE">
      <w:pPr>
        <w:rPr>
          <w:b/>
          <w:bCs/>
        </w:rPr>
      </w:pPr>
      <w:r w:rsidRPr="003632BE">
        <w:rPr>
          <w:b/>
          <w:bCs/>
        </w:rPr>
        <w:t>Calculations</w:t>
      </w:r>
    </w:p>
    <w:p w14:paraId="7548D65D" w14:textId="77777777" w:rsidR="003632BE" w:rsidRPr="003632BE" w:rsidRDefault="003632BE" w:rsidP="003632BE">
      <w:r w:rsidRPr="003632BE">
        <w:t xml:space="preserve">We begin by calculating the residuals for the 20 data elements based on the two forecasts (columns F and G). E.g. cell F4 contains the formula =A4-B4 and cell G4 contains =A4-C4. </w:t>
      </w:r>
      <w:r w:rsidRPr="003632BE">
        <w:lastRenderedPageBreak/>
        <w:t>From these values we can calculate the loss-differentials in column H. E.g. cell H4 contains =F4^2-G4^2. We can now calculate the mean and variance of the </w:t>
      </w:r>
      <w:r w:rsidRPr="003632BE">
        <w:rPr>
          <w:i/>
          <w:iCs/>
        </w:rPr>
        <w:t>d</w:t>
      </w:r>
      <w:r w:rsidRPr="003632BE">
        <w:rPr>
          <w:i/>
          <w:iCs/>
          <w:vertAlign w:val="subscript"/>
        </w:rPr>
        <w:t>i</w:t>
      </w:r>
      <w:r w:rsidRPr="003632BE">
        <w:t> time series via the formulas =</w:t>
      </w:r>
      <w:proofErr w:type="gramStart"/>
      <w:r w:rsidRPr="003632BE">
        <w:t>AVERAGE(</w:t>
      </w:r>
      <w:proofErr w:type="gramEnd"/>
      <w:r w:rsidRPr="003632BE">
        <w:t>H4:H23) and =VAR.P(H4:H23), as shown in cells H25 and K25.</w:t>
      </w:r>
    </w:p>
    <w:p w14:paraId="0654AA05" w14:textId="77777777" w:rsidR="003632BE" w:rsidRPr="003632BE" w:rsidRDefault="003632BE" w:rsidP="003632BE">
      <w:r w:rsidRPr="003632BE">
        <w:t>The </w:t>
      </w:r>
      <w:proofErr w:type="spellStart"/>
      <w:r w:rsidRPr="003632BE">
        <w:rPr>
          <w:i/>
          <w:iCs/>
        </w:rPr>
        <w:t>γ</w:t>
      </w:r>
      <w:r w:rsidRPr="003632BE">
        <w:rPr>
          <w:i/>
          <w:iCs/>
          <w:vertAlign w:val="subscript"/>
        </w:rPr>
        <w:t>i</w:t>
      </w:r>
      <w:proofErr w:type="spellEnd"/>
      <w:r w:rsidRPr="003632BE">
        <w:t> values can now be calculated as shown in column I. E.g. cell I4 contains the array formula</w:t>
      </w:r>
    </w:p>
    <w:p w14:paraId="790B3B95" w14:textId="77777777" w:rsidR="003632BE" w:rsidRPr="003632BE" w:rsidRDefault="003632BE" w:rsidP="003632BE">
      <w:r w:rsidRPr="003632BE">
        <w:t>=SUMPRODUCT(H5:H$23-H$</w:t>
      </w:r>
      <w:proofErr w:type="gramStart"/>
      <w:r w:rsidRPr="003632BE">
        <w:t>25,OFFSET</w:t>
      </w:r>
      <w:proofErr w:type="gramEnd"/>
      <w:r w:rsidRPr="003632BE">
        <w:t>(H$4:H$23,0,</w:t>
      </w:r>
      <w:proofErr w:type="gramStart"/>
      <w:r w:rsidRPr="003632BE">
        <w:t>0,E</w:t>
      </w:r>
      <w:proofErr w:type="gramEnd"/>
      <w:r w:rsidRPr="003632BE">
        <w:t>$23-E4)-H$25)/E$23</w:t>
      </w:r>
    </w:p>
    <w:p w14:paraId="3EF9C50E" w14:textId="77777777" w:rsidR="003632BE" w:rsidRPr="003632BE" w:rsidRDefault="003632BE" w:rsidP="003632BE">
      <w:r w:rsidRPr="003632BE">
        <w:t>Alternatively, cell I4 can be calculated using the formula =ACVF(H$4:H$23,E4), as described in </w:t>
      </w:r>
      <w:hyperlink r:id="rId134" w:tgtFrame="_blank" w:history="1">
        <w:r w:rsidRPr="003632BE">
          <w:rPr>
            <w:rStyle w:val="Hyperlink"/>
          </w:rPr>
          <w:t>Autocorrelation Function</w:t>
        </w:r>
      </w:hyperlink>
      <w:r w:rsidRPr="003632BE">
        <w:t>. The standard errors (column J) and Diebold-Mariano statistics (column K) can next be calculated. E.g. cell J4 contains the formula =SQRT(J25/E23), cell J5 contains =</w:t>
      </w:r>
      <w:proofErr w:type="gramStart"/>
      <w:r w:rsidRPr="003632BE">
        <w:t>SQRT((</w:t>
      </w:r>
      <w:proofErr w:type="gramEnd"/>
      <w:r w:rsidRPr="003632BE">
        <w:t>J$25+2*SUMPRODUCT(I$</w:t>
      </w:r>
      <w:proofErr w:type="gramStart"/>
      <w:r w:rsidRPr="003632BE">
        <w:t>4:I</w:t>
      </w:r>
      <w:proofErr w:type="gramEnd"/>
      <w:r w:rsidRPr="003632BE">
        <w:t>4))/E$23) (and similarly for the other cells in column J) and cell K4 contains the formula =G$25/J4.</w:t>
      </w:r>
    </w:p>
    <w:p w14:paraId="0F0982BB" w14:textId="77777777" w:rsidR="003632BE" w:rsidRPr="003632BE" w:rsidRDefault="003632BE" w:rsidP="003632BE">
      <w:pPr>
        <w:rPr>
          <w:b/>
          <w:bCs/>
        </w:rPr>
      </w:pPr>
      <w:r w:rsidRPr="003632BE">
        <w:rPr>
          <w:b/>
          <w:bCs/>
        </w:rPr>
        <w:t>Conclusions</w:t>
      </w:r>
    </w:p>
    <w:p w14:paraId="7AE8EED6" w14:textId="77777777" w:rsidR="003632BE" w:rsidRPr="003632BE" w:rsidRDefault="003632BE" w:rsidP="003632BE">
      <w:r w:rsidRPr="003632BE">
        <w:t>We can read out the DM statistics values from column K. E.g. the DM statistic for order </w:t>
      </w:r>
      <w:r w:rsidRPr="003632BE">
        <w:rPr>
          <w:i/>
          <w:iCs/>
        </w:rPr>
        <w:t>h</w:t>
      </w:r>
      <w:r w:rsidRPr="003632BE">
        <w:t> = 4 is 1.005199, as shown in cell K7. Note that since </w:t>
      </w:r>
      <w:r w:rsidRPr="003632BE">
        <w:rPr>
          <w:i/>
          <w:iCs/>
        </w:rPr>
        <w:t>h</w:t>
      </w:r>
      <w:r w:rsidRPr="003632BE">
        <w:t> = </w:t>
      </w:r>
      <w:r w:rsidRPr="003632BE">
        <w:rPr>
          <w:i/>
          <w:iCs/>
        </w:rPr>
        <w:t>n</w:t>
      </w:r>
      <w:r w:rsidRPr="003632BE">
        <w:rPr>
          <w:vertAlign w:val="superscript"/>
        </w:rPr>
        <w:t>1/3</w:t>
      </w:r>
      <w:r w:rsidRPr="003632BE">
        <w:t> + 1 = 20</w:t>
      </w:r>
      <w:r w:rsidRPr="003632BE">
        <w:rPr>
          <w:vertAlign w:val="superscript"/>
        </w:rPr>
        <w:t>1/3</w:t>
      </w:r>
      <w:r w:rsidRPr="003632BE">
        <w:t> + 1 = 3.7, </w:t>
      </w:r>
      <w:r w:rsidRPr="003632BE">
        <w:rPr>
          <w:i/>
          <w:iCs/>
        </w:rPr>
        <w:t>h</w:t>
      </w:r>
      <w:r w:rsidRPr="003632BE">
        <w:t> = 4 seems to be a good order value to use. Now since p-value = 2*(1-</w:t>
      </w:r>
      <w:proofErr w:type="gramStart"/>
      <w:r w:rsidRPr="003632BE">
        <w:t>NORM.S.DIST</w:t>
      </w:r>
      <w:proofErr w:type="gramEnd"/>
      <w:r w:rsidRPr="003632BE">
        <w:t>(K</w:t>
      </w:r>
      <w:proofErr w:type="gramStart"/>
      <w:r w:rsidRPr="003632BE">
        <w:t>7,TRUE</w:t>
      </w:r>
      <w:proofErr w:type="gramEnd"/>
      <w:r w:rsidRPr="003632BE">
        <w:t>)) = .3148 &gt; .05 = </w:t>
      </w:r>
      <w:r w:rsidRPr="003632BE">
        <w:rPr>
          <w:i/>
          <w:iCs/>
        </w:rPr>
        <w:t>α</w:t>
      </w:r>
      <w:r w:rsidRPr="003632BE">
        <w:t>, we conclude there is no significant difference between the two forecasts.</w:t>
      </w:r>
    </w:p>
    <w:p w14:paraId="551F7CB4" w14:textId="77777777" w:rsidR="003632BE" w:rsidRPr="003632BE" w:rsidRDefault="003632BE" w:rsidP="003632BE">
      <w:r w:rsidRPr="003632BE">
        <w:rPr>
          <w:b/>
          <w:bCs/>
        </w:rPr>
        <w:t>Forecast Plot</w:t>
      </w:r>
    </w:p>
    <w:p w14:paraId="33FFF410" w14:textId="77777777" w:rsidR="003632BE" w:rsidRPr="003632BE" w:rsidRDefault="003632BE" w:rsidP="003632BE">
      <w:r w:rsidRPr="003632BE">
        <w:t>In Figure 2, we plot the two forecasts for the data in column A, and so you can judge for yourself whether the chart is consistent with the results from the Diebold-Mariano test.</w:t>
      </w:r>
    </w:p>
    <w:p w14:paraId="7D42C826" w14:textId="584D13DC" w:rsidR="003632BE" w:rsidRPr="003632BE" w:rsidRDefault="003632BE" w:rsidP="003632BE">
      <w:r w:rsidRPr="003632BE">
        <w:drawing>
          <wp:inline distT="0" distB="0" distL="0" distR="0" wp14:anchorId="6CA61122" wp14:editId="46E4F30D">
            <wp:extent cx="4648200" cy="2787650"/>
            <wp:effectExtent l="0" t="0" r="0" b="0"/>
            <wp:docPr id="1270830095" name="Picture 18" descr="Plot comparing forecasts">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lot comparing forecasts">
                      <a:hlinkClick r:id="rId135"/>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648200" cy="2787650"/>
                    </a:xfrm>
                    <a:prstGeom prst="rect">
                      <a:avLst/>
                    </a:prstGeom>
                    <a:noFill/>
                    <a:ln>
                      <a:noFill/>
                    </a:ln>
                  </pic:spPr>
                </pic:pic>
              </a:graphicData>
            </a:graphic>
          </wp:inline>
        </w:drawing>
      </w:r>
    </w:p>
    <w:p w14:paraId="06055ECE" w14:textId="77777777" w:rsidR="003632BE" w:rsidRPr="003632BE" w:rsidRDefault="003632BE" w:rsidP="003632BE">
      <w:r w:rsidRPr="003632BE">
        <w:rPr>
          <w:b/>
          <w:bCs/>
        </w:rPr>
        <w:t>Figure 2 – Comparing time series forecasts</w:t>
      </w:r>
    </w:p>
    <w:p w14:paraId="1712C833" w14:textId="77777777" w:rsidR="003632BE" w:rsidRPr="003632BE" w:rsidRDefault="003632BE" w:rsidP="003632BE">
      <w:r w:rsidRPr="003632BE">
        <w:rPr>
          <w:b/>
          <w:bCs/>
        </w:rPr>
        <w:lastRenderedPageBreak/>
        <w:t>HLN Test</w:t>
      </w:r>
    </w:p>
    <w:p w14:paraId="46970B51" w14:textId="77777777" w:rsidR="003632BE" w:rsidRPr="003632BE" w:rsidRDefault="003632BE" w:rsidP="003632BE">
      <w:r w:rsidRPr="003632BE">
        <w:t>The Diebold-Mariano test tends to reject the null hypothesis too often for small samples. A better test is the Harvey, Leybourne, and Newbold (HLN) test, which is based on the following:</w:t>
      </w:r>
    </w:p>
    <w:p w14:paraId="2B9A0482" w14:textId="2E9CA562" w:rsidR="003632BE" w:rsidRPr="003632BE" w:rsidRDefault="003632BE" w:rsidP="003632BE">
      <w:r w:rsidRPr="003632BE">
        <w:drawing>
          <wp:inline distT="0" distB="0" distL="0" distR="0" wp14:anchorId="39EC3EE3" wp14:editId="5FDFFA92">
            <wp:extent cx="3060700" cy="228600"/>
            <wp:effectExtent l="0" t="0" r="6350" b="0"/>
            <wp:docPr id="1175731647" name="Picture 17" descr="HL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LN Tes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060700" cy="228600"/>
                    </a:xfrm>
                    <a:prstGeom prst="rect">
                      <a:avLst/>
                    </a:prstGeom>
                    <a:noFill/>
                    <a:ln>
                      <a:noFill/>
                    </a:ln>
                  </pic:spPr>
                </pic:pic>
              </a:graphicData>
            </a:graphic>
          </wp:inline>
        </w:drawing>
      </w:r>
    </w:p>
    <w:p w14:paraId="4EABC026" w14:textId="77777777" w:rsidR="003632BE" w:rsidRPr="003632BE" w:rsidRDefault="003632BE" w:rsidP="003632BE">
      <w:r w:rsidRPr="003632BE">
        <w:t>Especially since for Example 1 we have a small sample, we use the HLN test as shown in Figure 3. Once again, we see that there is no significant difference between the forecasts.</w:t>
      </w:r>
    </w:p>
    <w:p w14:paraId="2DF7523D" w14:textId="42E1841B" w:rsidR="003632BE" w:rsidRPr="003632BE" w:rsidRDefault="003632BE" w:rsidP="003632BE">
      <w:r w:rsidRPr="003632BE">
        <w:drawing>
          <wp:inline distT="0" distB="0" distL="0" distR="0" wp14:anchorId="373555EB" wp14:editId="69FDA64B">
            <wp:extent cx="4152900" cy="2552700"/>
            <wp:effectExtent l="0" t="0" r="0" b="0"/>
            <wp:docPr id="1879173555" name="Picture 16" descr="HLN Test">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LN Test">
                      <a:hlinkClick r:id="rId138"/>
                    </pic:cNvP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152900" cy="2552700"/>
                    </a:xfrm>
                    <a:prstGeom prst="rect">
                      <a:avLst/>
                    </a:prstGeom>
                    <a:noFill/>
                    <a:ln>
                      <a:noFill/>
                    </a:ln>
                  </pic:spPr>
                </pic:pic>
              </a:graphicData>
            </a:graphic>
          </wp:inline>
        </w:drawing>
      </w:r>
    </w:p>
    <w:p w14:paraId="041ABF3D" w14:textId="77777777" w:rsidR="003632BE" w:rsidRPr="003632BE" w:rsidRDefault="003632BE" w:rsidP="003632BE">
      <w:r w:rsidRPr="003632BE">
        <w:rPr>
          <w:b/>
          <w:bCs/>
        </w:rPr>
        <w:t>Figure 3 – HLN Test</w:t>
      </w:r>
    </w:p>
    <w:p w14:paraId="112728CE" w14:textId="77777777" w:rsidR="003632BE" w:rsidRPr="003632BE" w:rsidRDefault="003632BE" w:rsidP="003632BE">
      <w:r w:rsidRPr="003632BE">
        <w:rPr>
          <w:b/>
          <w:bCs/>
        </w:rPr>
        <w:t>Real Statistic Support</w:t>
      </w:r>
    </w:p>
    <w:p w14:paraId="26552FAB" w14:textId="77777777" w:rsidR="003632BE" w:rsidRPr="003632BE" w:rsidRDefault="003632BE" w:rsidP="003632BE">
      <w:hyperlink r:id="rId140" w:tgtFrame="_blank" w:history="1">
        <w:r w:rsidRPr="003632BE">
          <w:rPr>
            <w:rStyle w:val="Hyperlink"/>
          </w:rPr>
          <w:t>Click here</w:t>
        </w:r>
      </w:hyperlink>
      <w:r w:rsidRPr="003632BE">
        <w:t> for information about Real Statistics support for the Diebold-Mariano and HLN tests.</w:t>
      </w:r>
    </w:p>
    <w:p w14:paraId="2D127BE1" w14:textId="77777777" w:rsidR="003632BE" w:rsidRPr="003632BE" w:rsidRDefault="003632BE" w:rsidP="003632BE">
      <w:r w:rsidRPr="003632BE">
        <w:rPr>
          <w:b/>
          <w:bCs/>
        </w:rPr>
        <w:t>Examples Workbook</w:t>
      </w:r>
    </w:p>
    <w:p w14:paraId="39272887" w14:textId="77777777" w:rsidR="003632BE" w:rsidRPr="003632BE" w:rsidRDefault="003632BE" w:rsidP="003632BE">
      <w:hyperlink r:id="rId141" w:history="1">
        <w:r w:rsidRPr="003632BE">
          <w:rPr>
            <w:rStyle w:val="Hyperlink"/>
          </w:rPr>
          <w:t>Click here</w:t>
        </w:r>
      </w:hyperlink>
      <w:r w:rsidRPr="003632BE">
        <w:t> to download the Excel workbook with the examples described on this webpage.</w:t>
      </w:r>
    </w:p>
    <w:p w14:paraId="2E4A88F4" w14:textId="77777777" w:rsidR="003632BE" w:rsidRPr="003632BE" w:rsidRDefault="003632BE" w:rsidP="003632BE">
      <w:r w:rsidRPr="003632BE">
        <w:rPr>
          <w:b/>
          <w:bCs/>
        </w:rPr>
        <w:t>References</w:t>
      </w:r>
    </w:p>
    <w:p w14:paraId="7C74BE2C" w14:textId="77777777" w:rsidR="003632BE" w:rsidRPr="003632BE" w:rsidRDefault="003632BE" w:rsidP="003632BE">
      <w:r w:rsidRPr="003632BE">
        <w:t>Diebold, F. X. and Mariano, R. S. (1995). </w:t>
      </w:r>
      <w:r w:rsidRPr="003632BE">
        <w:rPr>
          <w:i/>
          <w:iCs/>
        </w:rPr>
        <w:t>Comparing predictive accuracy</w:t>
      </w:r>
      <w:r w:rsidRPr="003632BE">
        <w:t>. Journal of Business and Economic Statistics, 13: 253-63.</w:t>
      </w:r>
      <w:r w:rsidRPr="003632BE">
        <w:br/>
      </w:r>
      <w:hyperlink r:id="rId142" w:tgtFrame="_blank" w:history="1">
        <w:r w:rsidRPr="003632BE">
          <w:rPr>
            <w:rStyle w:val="Hyperlink"/>
          </w:rPr>
          <w:t>https://www.sas.upenn.edu/~fdiebold/papers/paper68/pa.dm.pdf</w:t>
        </w:r>
      </w:hyperlink>
    </w:p>
    <w:p w14:paraId="25B08D68" w14:textId="77777777" w:rsidR="003632BE" w:rsidRPr="003632BE" w:rsidRDefault="003632BE" w:rsidP="003632BE">
      <w:r w:rsidRPr="003632BE">
        <w:t>Harvey, D., S. Leybourne, and P. Newbold. (1997). </w:t>
      </w:r>
      <w:r w:rsidRPr="003632BE">
        <w:rPr>
          <w:i/>
          <w:iCs/>
        </w:rPr>
        <w:t xml:space="preserve">Testing the equality of prediction </w:t>
      </w:r>
      <w:proofErr w:type="gramStart"/>
      <w:r w:rsidRPr="003632BE">
        <w:rPr>
          <w:i/>
          <w:iCs/>
        </w:rPr>
        <w:t>mean</w:t>
      </w:r>
      <w:proofErr w:type="gramEnd"/>
      <w:r w:rsidRPr="003632BE">
        <w:rPr>
          <w:i/>
          <w:iCs/>
        </w:rPr>
        <w:t xml:space="preserve"> squared errors</w:t>
      </w:r>
      <w:r w:rsidRPr="003632BE">
        <w:t>. International Journal of Forecasting, 13: 281-91.</w:t>
      </w:r>
    </w:p>
    <w:p w14:paraId="012D8628" w14:textId="77777777" w:rsidR="003632BE" w:rsidRPr="003632BE" w:rsidRDefault="003632BE" w:rsidP="003632BE">
      <w:proofErr w:type="spellStart"/>
      <w:r w:rsidRPr="003632BE">
        <w:lastRenderedPageBreak/>
        <w:t>Triacca</w:t>
      </w:r>
      <w:proofErr w:type="spellEnd"/>
      <w:r w:rsidRPr="003632BE">
        <w:t>, U. (2016) </w:t>
      </w:r>
      <w:r w:rsidRPr="003632BE">
        <w:rPr>
          <w:i/>
          <w:iCs/>
        </w:rPr>
        <w:t>Lesson 19: comparing predictive accuracy of two forecasts: the Diebold-Mariano test.</w:t>
      </w:r>
      <w:r w:rsidRPr="003632BE">
        <w:br/>
        <w:t>No longer available online</w:t>
      </w:r>
    </w:p>
    <w:p w14:paraId="4A8068EC" w14:textId="77777777" w:rsidR="003632BE" w:rsidRPr="003632BE" w:rsidRDefault="003632BE" w:rsidP="003632BE">
      <w:r w:rsidRPr="003632BE">
        <w:t>Ibisevic, S. (2017) </w:t>
      </w:r>
      <w:r w:rsidRPr="003632BE">
        <w:rPr>
          <w:i/>
          <w:iCs/>
        </w:rPr>
        <w:t xml:space="preserve">Diebold-Mariano test </w:t>
      </w:r>
      <w:proofErr w:type="gramStart"/>
      <w:r w:rsidRPr="003632BE">
        <w:rPr>
          <w:i/>
          <w:iCs/>
        </w:rPr>
        <w:t>statistic</w:t>
      </w:r>
      <w:proofErr w:type="gramEnd"/>
      <w:r w:rsidRPr="003632BE">
        <w:rPr>
          <w:i/>
          <w:iCs/>
        </w:rPr>
        <w:t>. </w:t>
      </w:r>
      <w:r w:rsidRPr="003632BE">
        <w:t>MathWorks</w:t>
      </w:r>
      <w:r w:rsidRPr="003632BE">
        <w:br/>
        <w:t>https://it.mathworks.com/matlabcentral/fileexchange/33979-diebold-mariano-test-statistic?focused=7267180&amp;tab=function</w:t>
      </w:r>
    </w:p>
    <w:p w14:paraId="3B460F03" w14:textId="77777777" w:rsidR="003632BE" w:rsidRPr="003632BE" w:rsidRDefault="003632BE" w:rsidP="003632BE">
      <w:r w:rsidRPr="003632BE">
        <w:t>Diebold, F. X. (2012) </w:t>
      </w:r>
      <w:r w:rsidRPr="003632BE">
        <w:rPr>
          <w:i/>
          <w:iCs/>
        </w:rPr>
        <w:t>Comparing predictive accuracy, twenty years later: a personal perspective on the use and abuse of Diebold-Mariano tests</w:t>
      </w:r>
      <w:r w:rsidRPr="003632BE">
        <w:br/>
      </w:r>
      <w:hyperlink r:id="rId143" w:tgtFrame="_blank" w:history="1">
        <w:r w:rsidRPr="003632BE">
          <w:rPr>
            <w:rStyle w:val="Hyperlink"/>
          </w:rPr>
          <w:t>https://www.nber.org/system/files/working_papers/w18391/w18391.pdf</w:t>
        </w:r>
      </w:hyperlink>
    </w:p>
    <w:p w14:paraId="6659767E" w14:textId="77777777" w:rsidR="003632BE" w:rsidRPr="003632BE" w:rsidRDefault="003632BE" w:rsidP="003632BE">
      <w:r w:rsidRPr="003632BE">
        <w:t>Financial dollarization</w:t>
      </w:r>
    </w:p>
    <w:p w14:paraId="1123B916" w14:textId="77777777" w:rsidR="003632BE" w:rsidRPr="003632BE" w:rsidRDefault="003632BE" w:rsidP="003632BE">
      <w:r w:rsidRPr="003632BE">
        <w:t xml:space="preserve">Author links open overlay </w:t>
      </w:r>
      <w:proofErr w:type="spellStart"/>
      <w:r w:rsidRPr="003632BE">
        <w:t>panelAlain</w:t>
      </w:r>
      <w:proofErr w:type="spellEnd"/>
      <w:r w:rsidRPr="003632BE">
        <w:t> Ize </w:t>
      </w:r>
      <w:r w:rsidRPr="003632BE">
        <w:rPr>
          <w:vertAlign w:val="superscript"/>
        </w:rPr>
        <w:t>a</w:t>
      </w:r>
      <w:r w:rsidRPr="003632BE">
        <w:t>, </w:t>
      </w:r>
      <w:bookmarkStart w:id="2" w:name="baep-author-id4-profile"/>
      <w:r w:rsidRPr="003632BE">
        <w:fldChar w:fldCharType="begin"/>
      </w:r>
      <w:r w:rsidRPr="003632BE">
        <w:instrText>HYPERLINK "https://www.sciencedirect.com/author/6508167439/eduardo-l-levy-yeyati"</w:instrText>
      </w:r>
      <w:r w:rsidRPr="003632BE">
        <w:fldChar w:fldCharType="separate"/>
      </w:r>
      <w:r w:rsidRPr="003632BE">
        <w:rPr>
          <w:rStyle w:val="Hyperlink"/>
        </w:rPr>
        <w:t>Eduardo Levy Yeyati </w:t>
      </w:r>
      <w:r w:rsidRPr="003632BE">
        <w:rPr>
          <w:rStyle w:val="Hyperlink"/>
          <w:vertAlign w:val="superscript"/>
        </w:rPr>
        <w:t>b</w:t>
      </w:r>
      <w:r w:rsidRPr="003632BE">
        <w:fldChar w:fldCharType="end"/>
      </w:r>
      <w:bookmarkEnd w:id="2"/>
    </w:p>
    <w:p w14:paraId="22803764" w14:textId="77777777" w:rsidR="003632BE" w:rsidRPr="003632BE" w:rsidRDefault="003632BE" w:rsidP="003632BE">
      <w:r w:rsidRPr="003632BE">
        <w:t>Show more</w:t>
      </w:r>
    </w:p>
    <w:p w14:paraId="2BD9CC39" w14:textId="77777777" w:rsidR="003632BE" w:rsidRPr="003632BE" w:rsidRDefault="003632BE" w:rsidP="003632BE">
      <w:r w:rsidRPr="003632BE">
        <w:t>Add to Mendeley</w:t>
      </w:r>
    </w:p>
    <w:p w14:paraId="5D7C78D4" w14:textId="77777777" w:rsidR="003632BE" w:rsidRPr="003632BE" w:rsidRDefault="003632BE" w:rsidP="003632BE">
      <w:r w:rsidRPr="003632BE">
        <w:t>Share</w:t>
      </w:r>
    </w:p>
    <w:p w14:paraId="0B3439DB" w14:textId="77777777" w:rsidR="003632BE" w:rsidRPr="003632BE" w:rsidRDefault="003632BE" w:rsidP="003632BE">
      <w:r w:rsidRPr="003632BE">
        <w:t>Cite</w:t>
      </w:r>
    </w:p>
    <w:p w14:paraId="6D9C3C0E" w14:textId="77777777" w:rsidR="003632BE" w:rsidRPr="003632BE" w:rsidRDefault="003632BE" w:rsidP="003632BE">
      <w:hyperlink r:id="rId144" w:tgtFrame="_blank" w:tooltip="Persistent link using digital object identifier" w:history="1">
        <w:r w:rsidRPr="003632BE">
          <w:rPr>
            <w:rStyle w:val="Hyperlink"/>
          </w:rPr>
          <w:t>https://doi.org/10.1016/S0022-1996(02)00017-X</w:t>
        </w:r>
      </w:hyperlink>
      <w:hyperlink r:id="rId145" w:tgtFrame="_blank" w:history="1">
        <w:r w:rsidRPr="003632BE">
          <w:rPr>
            <w:rStyle w:val="Hyperlink"/>
          </w:rPr>
          <w:t>Get rights and content</w:t>
        </w:r>
      </w:hyperlink>
    </w:p>
    <w:p w14:paraId="1DB8D974" w14:textId="77777777" w:rsidR="003632BE" w:rsidRPr="003632BE" w:rsidRDefault="003632BE" w:rsidP="003632BE">
      <w:r w:rsidRPr="003632BE">
        <w:t>Abstract</w:t>
      </w:r>
    </w:p>
    <w:p w14:paraId="577AEE10" w14:textId="77777777" w:rsidR="003632BE" w:rsidRPr="003632BE" w:rsidRDefault="003632BE" w:rsidP="003632BE">
      <w:r w:rsidRPr="003632BE">
        <w:t>We present a portfolio model of financial intermediation in which currency choice is determined by hedging decisions on both sides of a bank’s balance sheet. We show that minimum variance portfolio (MVP) allocations provide a natural benchmark to estimate the scope for dollarization of assets and liabilities (financial dollarization) as a function of </w:t>
      </w:r>
      <w:hyperlink r:id="rId146" w:history="1">
        <w:r w:rsidRPr="003632BE">
          <w:rPr>
            <w:rStyle w:val="Hyperlink"/>
          </w:rPr>
          <w:t>macroeconomic</w:t>
        </w:r>
      </w:hyperlink>
      <w:r w:rsidRPr="003632BE">
        <w:t> uncertainty. Within this benchmark, we find that financial dollarization displays high persistence whenever the expected volatility of the inflation rate remains high </w:t>
      </w:r>
      <w:r w:rsidRPr="003632BE">
        <w:rPr>
          <w:i/>
          <w:iCs/>
        </w:rPr>
        <w:t>in relation to</w:t>
      </w:r>
      <w:r w:rsidRPr="003632BE">
        <w:t> that of the </w:t>
      </w:r>
      <w:hyperlink r:id="rId147" w:history="1">
        <w:r w:rsidRPr="003632BE">
          <w:rPr>
            <w:rStyle w:val="Hyperlink"/>
          </w:rPr>
          <w:t>real exchange rate</w:t>
        </w:r>
      </w:hyperlink>
      <w:r w:rsidRPr="003632BE">
        <w:t>, even after price stabilization has been achieved. The empirical evidence confirms that MVP dollarization approximates financial dollarization closely for a broad sample of countries.</w:t>
      </w:r>
    </w:p>
    <w:p w14:paraId="220BBB20" w14:textId="77777777" w:rsidR="003632BE" w:rsidRPr="003632BE" w:rsidRDefault="003632BE" w:rsidP="003632BE">
      <w:r w:rsidRPr="003632BE">
        <w:t>Introduction</w:t>
      </w:r>
    </w:p>
    <w:p w14:paraId="37166FE6" w14:textId="77777777" w:rsidR="003632BE" w:rsidRPr="003632BE" w:rsidRDefault="003632BE" w:rsidP="003632BE">
      <w:r w:rsidRPr="003632BE">
        <w:t xml:space="preserve">While substantial progress has been achieved during the last decade in controlling inflation throughout the world, financial dollarization, that is, the holding by residents of a significant share of their assets or liabilities in foreign currency, remains a common feature of developing economies. </w:t>
      </w:r>
      <w:proofErr w:type="gramStart"/>
      <w:r w:rsidRPr="003632BE">
        <w:t>In particular, in</w:t>
      </w:r>
      <w:proofErr w:type="gramEnd"/>
      <w:r w:rsidRPr="003632BE">
        <w:t xml:space="preserve"> several developing countries that have experienced severe inflationary experiences, such as Argentina, Bolivia, and Peru, financial </w:t>
      </w:r>
      <w:r w:rsidRPr="003632BE">
        <w:lastRenderedPageBreak/>
        <w:t>dollarization remains very high, notwithstanding several years of stable macroeconomic policies that have gradually improved confidence (Fig. 1).</w:t>
      </w:r>
    </w:p>
    <w:p w14:paraId="72CFAA03" w14:textId="77777777" w:rsidR="003632BE" w:rsidRPr="003632BE" w:rsidRDefault="003632BE" w:rsidP="003632BE">
      <w:r w:rsidRPr="003632BE">
        <w:t>Although the literature on dollarization is very vast, it leaves some important issues unaddressed. While there is a general presumption that dollarization restricts the scope for independent monetary and exchange rate policies, few attempts have been made to systematically estimate dollarization levels across countries based on macroeconomic conditions, or to explore the scope for altering dollarization through monetary and exchange rate policies.</w:t>
      </w:r>
    </w:p>
    <w:p w14:paraId="23BA1EAA" w14:textId="77777777" w:rsidR="003632BE" w:rsidRPr="003632BE" w:rsidRDefault="003632BE" w:rsidP="003632BE">
      <w:r w:rsidRPr="003632BE">
        <w:t>Perhaps more importantly, most of the existing literature on the subject is concerned with currency substitution (i.e., the use of foreign currency as a means of payment and unit of account).</w:t>
      </w:r>
      <w:r w:rsidRPr="003632BE">
        <w:rPr>
          <w:vertAlign w:val="superscript"/>
        </w:rPr>
        <w:t>1</w:t>
      </w:r>
      <w:r w:rsidRPr="003632BE">
        <w:t> This focus is reflected in the emphasis on the expected </w:t>
      </w:r>
      <w:r w:rsidRPr="003632BE">
        <w:rPr>
          <w:i/>
          <w:iCs/>
        </w:rPr>
        <w:t>nominal</w:t>
      </w:r>
      <w:r w:rsidRPr="003632BE">
        <w:t> returns of holding different currencies (as opposed to the expected </w:t>
      </w:r>
      <w:r w:rsidRPr="003632BE">
        <w:rPr>
          <w:i/>
          <w:iCs/>
        </w:rPr>
        <w:t>real</w:t>
      </w:r>
      <w:r w:rsidRPr="003632BE">
        <w:t> returns of interest-bearing assets denominated in those currencies) as a determinant of dollarization and the presumption that dollarization should recede with price stability. As a result, the literature has typically pointed at the dynamics of money demand (and, in particular, the link between dollarization and the inflation </w:t>
      </w:r>
      <w:r w:rsidRPr="003632BE">
        <w:rPr>
          <w:i/>
          <w:iCs/>
        </w:rPr>
        <w:t>level</w:t>
      </w:r>
      <w:r w:rsidRPr="003632BE">
        <w:t>), as well as the network externalities associated with the use of money for transaction purposes and the costs of switching the currency of denomination of these transactions as a source of hysteresis.</w:t>
      </w:r>
      <w:r w:rsidRPr="003632BE">
        <w:rPr>
          <w:vertAlign w:val="superscript"/>
        </w:rPr>
        <w:t>2</w:t>
      </w:r>
      <w:r w:rsidRPr="003632BE">
        <w:t> However, it is the dollarization of interest-bearing financial assets that generally accounts for the bulk of measured dollarization.</w:t>
      </w:r>
      <w:r w:rsidRPr="003632BE">
        <w:rPr>
          <w:vertAlign w:val="superscript"/>
        </w:rPr>
        <w:t>3</w:t>
      </w:r>
      <w:r w:rsidRPr="003632BE">
        <w:t> As argued by Calvo and Vegh (1997), in this case there is no theoretical reason to expect changes in inflation to have any effect on the choice of portfolio denomination, inasmuch as they are incorporated in nominal interest rates to leave real interest rates unchanged. Similarly, network externalities and switching costs are unlikely to play a substantive role in the denomination of financial assets that can be easily converted to an alternative currency at almost no cost.</w:t>
      </w:r>
    </w:p>
    <w:p w14:paraId="3637370D" w14:textId="77777777" w:rsidR="003632BE" w:rsidRPr="003632BE" w:rsidRDefault="003632BE" w:rsidP="003632BE">
      <w:r w:rsidRPr="003632BE">
        <w:t>On the other hand, the few papers that specifically address the issue of dollarization as a portfolio choice problem do not fully recognize the nature of financial dollarization.</w:t>
      </w:r>
      <w:r w:rsidRPr="003632BE">
        <w:rPr>
          <w:vertAlign w:val="superscript"/>
        </w:rPr>
        <w:t>4</w:t>
      </w:r>
      <w:r w:rsidRPr="003632BE">
        <w:t> The fact that the dollarization of bank deposits typically has as mirror image that of loans is crucial to assess the extent and implications of dollarization. In particular, the degree of loan dollarization determines the financial system’s exposure to systemic credit risk in the case of large devaluations.</w:t>
      </w:r>
      <w:r w:rsidRPr="003632BE">
        <w:rPr>
          <w:vertAlign w:val="superscript"/>
        </w:rPr>
        <w:t>5</w:t>
      </w:r>
      <w:r w:rsidRPr="003632BE">
        <w:t> The evidence that most of the recent debate regarding dollarization has evolved around these financial vulnerability issues confirms the relevance of this distinction.</w:t>
      </w:r>
      <w:r w:rsidRPr="003632BE">
        <w:rPr>
          <w:vertAlign w:val="superscript"/>
        </w:rPr>
        <w:t>6</w:t>
      </w:r>
    </w:p>
    <w:p w14:paraId="7F47B8A6" w14:textId="77777777" w:rsidR="003632BE" w:rsidRPr="003632BE" w:rsidRDefault="003632BE" w:rsidP="003632BE">
      <w:r w:rsidRPr="003632BE">
        <w:t xml:space="preserve">To address some of these issues, we present a model of financial dollarization based on a portfolio selection approach, following contributions by Thomas (1985) and others. However, unlike in </w:t>
      </w:r>
      <w:proofErr w:type="gramStart"/>
      <w:r w:rsidRPr="003632BE">
        <w:t>the earlier</w:t>
      </w:r>
      <w:proofErr w:type="gramEnd"/>
      <w:r w:rsidRPr="003632BE">
        <w:t xml:space="preserve"> literature, the currency composition of the portfolio is </w:t>
      </w:r>
      <w:r w:rsidRPr="003632BE">
        <w:lastRenderedPageBreak/>
        <w:t xml:space="preserve">determined on both sides of a bank’s balance sheet by hedging against inflation and foreign exchange risk. Thus, deposit and loan dollarization interact through the loanable funds market. We show that this interaction leads to financial equilibria that </w:t>
      </w:r>
      <w:proofErr w:type="gramStart"/>
      <w:r w:rsidRPr="003632BE">
        <w:t>gravitate</w:t>
      </w:r>
      <w:proofErr w:type="gramEnd"/>
      <w:r w:rsidRPr="003632BE">
        <w:t xml:space="preserve"> around interest rate parity and minimum variance portfolio (MVP) allocations. Hence, the currency composition of MVP, in turn a simple function of the volatility of inflation and real depreciation rates, provides a natural benchmark to measure financial dollarization and relate it to macroeconomic stability.</w:t>
      </w:r>
    </w:p>
    <w:p w14:paraId="7D83AAB7" w14:textId="77777777" w:rsidR="003632BE" w:rsidRPr="003632BE" w:rsidRDefault="003632BE" w:rsidP="003632BE">
      <w:r w:rsidRPr="003632BE">
        <w:t>In MVP equilibria, dollarization is explained by the second moments (i.e., the volatility) of inflation and </w:t>
      </w:r>
      <w:r w:rsidRPr="003632BE">
        <w:rPr>
          <w:i/>
          <w:iCs/>
        </w:rPr>
        <w:t>real</w:t>
      </w:r>
      <w:r w:rsidRPr="003632BE">
        <w:t> exchange rate depreciation, rather than the first moments (i.e., expected inflation and </w:t>
      </w:r>
      <w:r w:rsidRPr="003632BE">
        <w:rPr>
          <w:i/>
          <w:iCs/>
        </w:rPr>
        <w:t>nominal</w:t>
      </w:r>
      <w:r w:rsidRPr="003632BE">
        <w:t> depreciation) as in the case of currency substitution models.</w:t>
      </w:r>
      <w:r w:rsidRPr="003632BE">
        <w:rPr>
          <w:vertAlign w:val="superscript"/>
        </w:rPr>
        <w:t>7</w:t>
      </w:r>
      <w:r w:rsidRPr="003632BE">
        <w:t> For a given variance of inflation, an increase in the variance of the rate of depreciation reduces dollarization by limiting the hedging benefits of dollar assets. Hence, stabilization may fail to reduce dollarization if accompanied by policies that target the real exchange rate. This provides an alternative explanation for dollarization hysteresis, without resorting to switching costs or inflationary memory arguments. In our model, hysteresis can occur even when the memory of past macroeconomic imbalances has faded away, if the expected volatility of inflation remains high </w:t>
      </w:r>
      <w:r w:rsidRPr="003632BE">
        <w:rPr>
          <w:i/>
          <w:iCs/>
        </w:rPr>
        <w:t>in relation to</w:t>
      </w:r>
      <w:r w:rsidRPr="003632BE">
        <w:t> that of the real exchange rate. The evidence seems to support this result as MVP dollarization, measured as the dollar share of the MVP allocation, generally approximates actual dollarization closely for a broad sample of countries. The empirical results are confirmed by a panel regression for five highly dollarized Latin American economies, Argentina, Bolivia, Mexico, Peru, and Uruguay.</w:t>
      </w:r>
    </w:p>
    <w:p w14:paraId="3F393CC5" w14:textId="77777777" w:rsidR="003632BE" w:rsidRPr="003632BE" w:rsidRDefault="003632BE" w:rsidP="003632BE">
      <w:r w:rsidRPr="003632BE">
        <w:t>Our findings suggest that inflation targeting combined with a freely floating exchange rate should help reduce financial dollarization by increasing real exchange rate volatility relative to price volatility. However, this conclusion is conditioned to </w:t>
      </w:r>
      <w:r w:rsidRPr="003632BE">
        <w:rPr>
          <w:i/>
          <w:iCs/>
        </w:rPr>
        <w:t>real dollarization</w:t>
      </w:r>
      <w:r w:rsidRPr="003632BE">
        <w:t xml:space="preserve">, as defined by the extent to which prices and wages are denominated in foreign currency and as measured by the pass-through coefficient of exchange rate changes on prices, being moderate. Otherwise, the scope for increasing the volatility of the real exchange rate while preserving price stability is limited. Nonetheless, the paper also shows that while high real dollarization implies high financial dollarization, the converse is not necessarily true. Indeed, some preliminary evidence would suggest that many economies with high financial dollarization exhibit low real dollarization. Such economies may thus be able to conduct (and benefit from) </w:t>
      </w:r>
      <w:proofErr w:type="spellStart"/>
      <w:r w:rsidRPr="003632BE">
        <w:t>full fledged</w:t>
      </w:r>
      <w:proofErr w:type="spellEnd"/>
      <w:r w:rsidRPr="003632BE">
        <w:t xml:space="preserve"> inflation targeting.</w:t>
      </w:r>
    </w:p>
    <w:p w14:paraId="11DD2903" w14:textId="77777777" w:rsidR="003632BE" w:rsidRPr="003632BE" w:rsidRDefault="003632BE" w:rsidP="003632BE">
      <w:r w:rsidRPr="003632BE">
        <w:t xml:space="preserve">We also explore how financial dollarization can deviate from MVP dollarization. Based on portfolio interaction between country risk (i.e., confiscation and banking system risk) and macroeconomic risk (i.e., inflation and foreign exchange risk), we show how dollarization and the structure of interest rates depend on the stock of net foreign assets, the volume </w:t>
      </w:r>
      <w:r w:rsidRPr="003632BE">
        <w:lastRenderedPageBreak/>
        <w:t>and currency composition of public domestic debt (including the central bank’s domestic liabilities), and the taxation of financial intermediation (e.g., through unremunerated reserve requirements).</w:t>
      </w:r>
    </w:p>
    <w:p w14:paraId="6C7B0A97" w14:textId="77777777" w:rsidR="003632BE" w:rsidRPr="003632BE" w:rsidRDefault="003632BE" w:rsidP="003632BE">
      <w:r w:rsidRPr="003632BE">
        <w:t>The paper is organized as follows. Section 2 presents the model and derives expressions for the deposit and loan dollarization ratios as a function of MVP allocations and deviations from interest rate parity. Section 3 introduces some extensions of the basic model and discusses the linkages between financial and real dollarization. Section 4 presents empirical evidence of the link between financial and MVP dollarization ratios. Section 5 explores policy implications. Section 6 summarizes and concludes.</w:t>
      </w:r>
    </w:p>
    <w:p w14:paraId="47522D07" w14:textId="77777777" w:rsidR="003632BE" w:rsidRPr="003632BE" w:rsidRDefault="003632BE" w:rsidP="003632BE">
      <w:r w:rsidRPr="003632BE">
        <w:t>Access through your organization</w:t>
      </w:r>
    </w:p>
    <w:p w14:paraId="36964E38" w14:textId="77777777" w:rsidR="003632BE" w:rsidRPr="003632BE" w:rsidRDefault="003632BE" w:rsidP="003632BE">
      <w:r w:rsidRPr="003632BE">
        <w:t>Check access to the full text by signing in through your organization.</w:t>
      </w:r>
    </w:p>
    <w:p w14:paraId="3F438AAB" w14:textId="77777777" w:rsidR="003632BE" w:rsidRPr="003632BE" w:rsidRDefault="003632BE" w:rsidP="003632BE">
      <w:r w:rsidRPr="003632BE">
        <w:t>Section snippets</w:t>
      </w:r>
    </w:p>
    <w:p w14:paraId="1D2B912C" w14:textId="77777777" w:rsidR="003632BE" w:rsidRPr="003632BE" w:rsidRDefault="003632BE" w:rsidP="003632BE">
      <w:r w:rsidRPr="003632BE">
        <w:t>The portfolio model</w:t>
      </w:r>
    </w:p>
    <w:p w14:paraId="2B6D10AA" w14:textId="77777777" w:rsidR="003632BE" w:rsidRPr="003632BE" w:rsidRDefault="003632BE" w:rsidP="003632BE">
      <w:r w:rsidRPr="003632BE">
        <w:t xml:space="preserve">In this section, we develop a simple portfolio model where risk averse depositors and borrowers choose the currency composition of their deposits and loans in a bi-monetary economy. We assume that the </w:t>
      </w:r>
      <w:proofErr w:type="gramStart"/>
      <w:r w:rsidRPr="003632BE">
        <w:t>menu</w:t>
      </w:r>
      <w:proofErr w:type="gramEnd"/>
      <w:r w:rsidRPr="003632BE">
        <w:t xml:space="preserve"> of assets available to depositors </w:t>
      </w:r>
      <w:proofErr w:type="gramStart"/>
      <w:r w:rsidRPr="003632BE">
        <w:t>include</w:t>
      </w:r>
      <w:proofErr w:type="gramEnd"/>
      <w:r w:rsidRPr="003632BE">
        <w:t xml:space="preserve"> home currency deposits and foreign currency deposits (at home and abroad). Borrowers, on the other hand, can borrow either in the home or in </w:t>
      </w:r>
      <w:proofErr w:type="gramStart"/>
      <w:r w:rsidRPr="003632BE">
        <w:t>the foreign</w:t>
      </w:r>
      <w:proofErr w:type="gramEnd"/>
      <w:r w:rsidRPr="003632BE">
        <w:t xml:space="preserve"> currency directly from domestic banks. The equilibrium in the market for loanable funds allows us</w:t>
      </w:r>
    </w:p>
    <w:p w14:paraId="12250EC5" w14:textId="77777777" w:rsidR="003632BE" w:rsidRPr="003632BE" w:rsidRDefault="003632BE" w:rsidP="003632BE">
      <w:r w:rsidRPr="003632BE">
        <w:t>Currency pegs</w:t>
      </w:r>
    </w:p>
    <w:p w14:paraId="32B45A35" w14:textId="77777777" w:rsidR="003632BE" w:rsidRPr="003632BE" w:rsidRDefault="003632BE" w:rsidP="003632BE">
      <w:r w:rsidRPr="003632BE">
        <w:t>Our model can be applied to the case of a pegged exchange rate with imperfect credibility (e.g., the case of a ‘peso problem’ such that the peg is expected to collapse with a positive probability).</w:t>
      </w:r>
      <w:r w:rsidRPr="003632BE">
        <w:rPr>
          <w:vertAlign w:val="superscript"/>
        </w:rPr>
        <w:t>18</w:t>
      </w:r>
      <w:r w:rsidRPr="003632BE">
        <w:t> While the expected volatility of the rate of depreciation can no longer be inferred from backward-looking </w:t>
      </w:r>
    </w:p>
    <w:p w14:paraId="4BF57766" w14:textId="77777777" w:rsidR="003632BE" w:rsidRPr="003632BE" w:rsidRDefault="003632BE" w:rsidP="003632BE">
      <w:r w:rsidRPr="003632BE">
        <w:t>Empirical evidence</w:t>
      </w:r>
    </w:p>
    <w:p w14:paraId="22F25D39" w14:textId="77777777" w:rsidR="003632BE" w:rsidRPr="003632BE" w:rsidRDefault="003632BE" w:rsidP="003632BE">
      <w:r w:rsidRPr="003632BE">
        <w:t>The previous model suggests that actual dollarization can be largely explained in terms of MVP dollarization. To test this hypothesis empirically, we compared actual and MVP dollarization ratios for a broad sample that includes all countries for which data on domestic deposits in foreign currency is available.</w:t>
      </w:r>
      <w:r w:rsidRPr="003632BE">
        <w:rPr>
          <w:vertAlign w:val="superscript"/>
        </w:rPr>
        <w:t>22</w:t>
      </w:r>
    </w:p>
    <w:p w14:paraId="46EF0D07" w14:textId="77777777" w:rsidR="003632BE" w:rsidRPr="003632BE" w:rsidRDefault="003632BE" w:rsidP="003632BE">
      <w:r w:rsidRPr="003632BE">
        <w:t>Policy implications</w:t>
      </w:r>
    </w:p>
    <w:p w14:paraId="5BD39DA8" w14:textId="77777777" w:rsidR="003632BE" w:rsidRPr="003632BE" w:rsidRDefault="003632BE" w:rsidP="003632BE">
      <w:r w:rsidRPr="003632BE">
        <w:t xml:space="preserve">From the discussion in Section 2, it follows that policy can affect dollarization by acting on either the second moments or the first moments of the distribution of expected returns. </w:t>
      </w:r>
      <w:r w:rsidRPr="003632BE">
        <w:lastRenderedPageBreak/>
        <w:t>Through the choice of the macroeconomic policy regime, the monetary authorities can change macroeconomic uncertainty and, hence, the volatility structure underlying the MVP allocations. Alternatively, they can affect, through monetary, public debt or tax policies, the interest rate differentials, causing actual</w:t>
      </w:r>
    </w:p>
    <w:p w14:paraId="6054273F" w14:textId="77777777" w:rsidR="003632BE" w:rsidRPr="003632BE" w:rsidRDefault="003632BE" w:rsidP="003632BE">
      <w:r w:rsidRPr="003632BE">
        <w:t>Concluding remarks</w:t>
      </w:r>
    </w:p>
    <w:p w14:paraId="17728756" w14:textId="77777777" w:rsidR="003632BE" w:rsidRPr="003632BE" w:rsidRDefault="003632BE" w:rsidP="003632BE">
      <w:r w:rsidRPr="003632BE">
        <w:t xml:space="preserve">We presented a portfolio model of dollarization in which agents hedge against macroeconomic risk on both sides of a bank’s balance sheet. Due to the symmetry of portfolio decisions, this interaction leads to MVP portfolio allocations in the absence of external, public debt or tax wedges. Thus, MVP dollarization provides an important benchmark to estimate the scope for financial dollarization and its </w:t>
      </w:r>
      <w:proofErr w:type="gramStart"/>
      <w:r w:rsidRPr="003632BE">
        <w:t>relation</w:t>
      </w:r>
      <w:proofErr w:type="gramEnd"/>
      <w:r w:rsidRPr="003632BE">
        <w:t xml:space="preserve"> with macroeconomic policies, a finding strongly supported by the empirical evidence. In </w:t>
      </w:r>
    </w:p>
    <w:p w14:paraId="1FBEB3DA" w14:textId="77777777" w:rsidR="003632BE" w:rsidRPr="003632BE" w:rsidRDefault="003632BE" w:rsidP="003632BE">
      <w:r w:rsidRPr="003632BE">
        <w:t>Acknowledgements</w:t>
      </w:r>
    </w:p>
    <w:p w14:paraId="72068237" w14:textId="77777777" w:rsidR="003632BE" w:rsidRPr="003632BE" w:rsidRDefault="003632BE" w:rsidP="003632BE">
      <w:r w:rsidRPr="003632BE">
        <w:t>We are indebted to Tomás J.T. Baliño, Mario Blejer, Guillermo Calvo, Tito Cordella, Peter Garber, Esteban Jadresic, Malcolm Knight, Carlos Vegh, seminar participants at the IMF, Universidad Torcuato Di Tella, and the 1998 Latin American Meeting of the Econometric Society, two anonymous referees and our editor, Andrés Velasco, for their helpful comments and suggestions, and to Kiran Sastry for his research assistance.</w:t>
      </w:r>
    </w:p>
    <w:p w14:paraId="7EBE77E1" w14:textId="77777777" w:rsidR="003632BE" w:rsidRPr="003632BE" w:rsidRDefault="003632BE" w:rsidP="003632BE">
      <w:r w:rsidRPr="003632BE">
        <w:t>References (24)</w:t>
      </w:r>
    </w:p>
    <w:p w14:paraId="6C09F556" w14:textId="77777777" w:rsidR="003632BE" w:rsidRPr="003632BE" w:rsidRDefault="003632BE" w:rsidP="003632BE">
      <w:pPr>
        <w:numPr>
          <w:ilvl w:val="0"/>
          <w:numId w:val="49"/>
        </w:numPr>
      </w:pPr>
      <w:r w:rsidRPr="003632BE">
        <w:t>F. Sturzenegger</w:t>
      </w:r>
    </w:p>
    <w:p w14:paraId="5515D528" w14:textId="77777777" w:rsidR="003632BE" w:rsidRPr="003632BE" w:rsidRDefault="003632BE" w:rsidP="003632BE">
      <w:hyperlink r:id="rId148" w:history="1">
        <w:r w:rsidRPr="003632BE">
          <w:rPr>
            <w:rStyle w:val="Hyperlink"/>
          </w:rPr>
          <w:t>Understanding the welfare implications of currency substitution</w:t>
        </w:r>
      </w:hyperlink>
    </w:p>
    <w:p w14:paraId="419F558B" w14:textId="77777777" w:rsidR="003632BE" w:rsidRPr="003632BE" w:rsidRDefault="003632BE" w:rsidP="003632BE">
      <w:r w:rsidRPr="003632BE">
        <w:t>Journal of Economics Dynamics and Control</w:t>
      </w:r>
    </w:p>
    <w:p w14:paraId="18A1928F" w14:textId="77777777" w:rsidR="003632BE" w:rsidRPr="003632BE" w:rsidRDefault="003632BE" w:rsidP="003632BE">
      <w:r w:rsidRPr="003632BE">
        <w:t>(1997)</w:t>
      </w:r>
    </w:p>
    <w:p w14:paraId="0980425B" w14:textId="77777777" w:rsidR="003632BE" w:rsidRPr="003632BE" w:rsidRDefault="003632BE" w:rsidP="003632BE">
      <w:pPr>
        <w:numPr>
          <w:ilvl w:val="0"/>
          <w:numId w:val="49"/>
        </w:numPr>
      </w:pPr>
      <w:r w:rsidRPr="003632BE">
        <w:t>J. Taylor</w:t>
      </w:r>
    </w:p>
    <w:p w14:paraId="187E5EB3" w14:textId="77777777" w:rsidR="003632BE" w:rsidRPr="003632BE" w:rsidRDefault="003632BE" w:rsidP="003632BE">
      <w:hyperlink r:id="rId149" w:history="1">
        <w:r w:rsidRPr="003632BE">
          <w:rPr>
            <w:rStyle w:val="Hyperlink"/>
          </w:rPr>
          <w:t>Low inflation, pass-through, and the pricing power of firms</w:t>
        </w:r>
      </w:hyperlink>
    </w:p>
    <w:p w14:paraId="4303B100" w14:textId="77777777" w:rsidR="003632BE" w:rsidRPr="003632BE" w:rsidRDefault="003632BE" w:rsidP="003632BE">
      <w:r w:rsidRPr="003632BE">
        <w:t>European Economic Review</w:t>
      </w:r>
    </w:p>
    <w:p w14:paraId="7FAA1AC6" w14:textId="77777777" w:rsidR="003632BE" w:rsidRPr="003632BE" w:rsidRDefault="003632BE" w:rsidP="003632BE">
      <w:r w:rsidRPr="003632BE">
        <w:t>(2000)</w:t>
      </w:r>
    </w:p>
    <w:p w14:paraId="3BD20C99" w14:textId="77777777" w:rsidR="003632BE" w:rsidRPr="003632BE" w:rsidRDefault="003632BE" w:rsidP="003632BE">
      <w:pPr>
        <w:numPr>
          <w:ilvl w:val="0"/>
          <w:numId w:val="49"/>
        </w:numPr>
      </w:pPr>
      <w:r w:rsidRPr="003632BE">
        <w:t xml:space="preserve">Aghion, P., </w:t>
      </w:r>
      <w:proofErr w:type="spellStart"/>
      <w:r w:rsidRPr="003632BE">
        <w:t>Bachetta</w:t>
      </w:r>
      <w:proofErr w:type="spellEnd"/>
      <w:r w:rsidRPr="003632BE">
        <w:t>, A., Banerjee, P., forthcoming. Monetary policy and currency crises in an economy with credit...</w:t>
      </w:r>
    </w:p>
    <w:p w14:paraId="043A2E5D" w14:textId="77777777" w:rsidR="003632BE" w:rsidRPr="003632BE" w:rsidRDefault="003632BE" w:rsidP="003632BE">
      <w:pPr>
        <w:numPr>
          <w:ilvl w:val="0"/>
          <w:numId w:val="49"/>
        </w:numPr>
      </w:pPr>
      <w:r w:rsidRPr="003632BE">
        <w:t>Burnside, C., Eichenbaum, M., Rebelo, S., forthcoming. Hedging and financial fragility in fixed exchange rate regimes....</w:t>
      </w:r>
    </w:p>
    <w:p w14:paraId="47116506" w14:textId="77777777" w:rsidR="003632BE" w:rsidRPr="003632BE" w:rsidRDefault="003632BE" w:rsidP="003632BE">
      <w:pPr>
        <w:numPr>
          <w:ilvl w:val="0"/>
          <w:numId w:val="49"/>
        </w:numPr>
      </w:pPr>
      <w:r w:rsidRPr="003632BE">
        <w:lastRenderedPageBreak/>
        <w:t>Calvo, G., 1999. Fixed versus flexible exchange rates: preliminaries of a turn-of-millennium rematch. Mimeo, University...</w:t>
      </w:r>
    </w:p>
    <w:p w14:paraId="015D7CB6" w14:textId="77777777" w:rsidR="003632BE" w:rsidRPr="003632BE" w:rsidRDefault="003632BE" w:rsidP="003632BE">
      <w:pPr>
        <w:numPr>
          <w:ilvl w:val="0"/>
          <w:numId w:val="49"/>
        </w:numPr>
      </w:pPr>
      <w:r w:rsidRPr="003632BE">
        <w:t xml:space="preserve">Calvo, G., 2000. Notes on price stickiness: with special reference to liability dollarization and credibility. </w:t>
      </w:r>
      <w:proofErr w:type="gramStart"/>
      <w:r w:rsidRPr="003632BE">
        <w:t>Mimeo,...</w:t>
      </w:r>
      <w:proofErr w:type="gramEnd"/>
    </w:p>
    <w:p w14:paraId="7A860A4F" w14:textId="77777777" w:rsidR="003632BE" w:rsidRPr="003632BE" w:rsidRDefault="003632BE" w:rsidP="003632BE">
      <w:pPr>
        <w:numPr>
          <w:ilvl w:val="0"/>
          <w:numId w:val="49"/>
        </w:numPr>
      </w:pPr>
      <w:r w:rsidRPr="003632BE">
        <w:t xml:space="preserve">Calvo, G., Reinhart, C., 1999. When capital flows come to a sudden stop: consequences and policy options. </w:t>
      </w:r>
      <w:proofErr w:type="gramStart"/>
      <w:r w:rsidRPr="003632BE">
        <w:t>Mimeo,...</w:t>
      </w:r>
      <w:proofErr w:type="gramEnd"/>
    </w:p>
    <w:p w14:paraId="034681C0" w14:textId="77777777" w:rsidR="003632BE" w:rsidRPr="003632BE" w:rsidRDefault="003632BE" w:rsidP="003632BE">
      <w:pPr>
        <w:numPr>
          <w:ilvl w:val="0"/>
          <w:numId w:val="49"/>
        </w:numPr>
      </w:pPr>
      <w:r w:rsidRPr="003632BE">
        <w:t>G. Calvo</w:t>
      </w:r>
      <w:r w:rsidRPr="003632BE">
        <w:rPr>
          <w:i/>
          <w:iCs/>
        </w:rPr>
        <w:t> et al.</w:t>
      </w:r>
    </w:p>
    <w:p w14:paraId="42EC43F2" w14:textId="77777777" w:rsidR="003632BE" w:rsidRPr="003632BE" w:rsidRDefault="003632BE" w:rsidP="003632BE">
      <w:r w:rsidRPr="003632BE">
        <w:t>Currency substitution in developing countries: an introduction</w:t>
      </w:r>
    </w:p>
    <w:p w14:paraId="7CF7604C" w14:textId="77777777" w:rsidR="003632BE" w:rsidRPr="003632BE" w:rsidRDefault="003632BE" w:rsidP="003632BE">
      <w:r w:rsidRPr="003632BE">
        <w:t xml:space="preserve">Revista de </w:t>
      </w:r>
      <w:proofErr w:type="spellStart"/>
      <w:r w:rsidRPr="003632BE">
        <w:t>Análisis</w:t>
      </w:r>
      <w:proofErr w:type="spellEnd"/>
      <w:r w:rsidRPr="003632BE">
        <w:t xml:space="preserve"> Económico</w:t>
      </w:r>
    </w:p>
    <w:p w14:paraId="39363C18" w14:textId="77777777" w:rsidR="003632BE" w:rsidRPr="003632BE" w:rsidRDefault="003632BE" w:rsidP="003632BE">
      <w:r w:rsidRPr="003632BE">
        <w:t>(1992)</w:t>
      </w:r>
    </w:p>
    <w:p w14:paraId="70AC418D" w14:textId="77777777" w:rsidR="003632BE" w:rsidRPr="003632BE" w:rsidRDefault="003632BE" w:rsidP="003632BE">
      <w:pPr>
        <w:numPr>
          <w:ilvl w:val="0"/>
          <w:numId w:val="49"/>
        </w:numPr>
      </w:pPr>
      <w:r w:rsidRPr="003632BE">
        <w:t>G. Calvo</w:t>
      </w:r>
      <w:r w:rsidRPr="003632BE">
        <w:rPr>
          <w:i/>
          <w:iCs/>
        </w:rPr>
        <w:t> et al.</w:t>
      </w:r>
    </w:p>
    <w:p w14:paraId="1B5BC073" w14:textId="77777777" w:rsidR="003632BE" w:rsidRPr="003632BE" w:rsidRDefault="003632BE" w:rsidP="003632BE">
      <w:r w:rsidRPr="003632BE">
        <w:t>From currency substitution to dollarization and beyond: analytical and policy issues</w:t>
      </w:r>
    </w:p>
    <w:p w14:paraId="29F2C9EE" w14:textId="77777777" w:rsidR="003632BE" w:rsidRPr="003632BE" w:rsidRDefault="003632BE" w:rsidP="003632BE">
      <w:pPr>
        <w:numPr>
          <w:ilvl w:val="0"/>
          <w:numId w:val="49"/>
        </w:numPr>
      </w:pPr>
      <w:r w:rsidRPr="003632BE">
        <w:t>Cespedes, L.F., Chang, R., Velasco, A., 2000. Balance sheet effects and exchange rate policy. NBER Working Paper No....</w:t>
      </w:r>
    </w:p>
    <w:p w14:paraId="6239743E" w14:textId="77777777" w:rsidR="003632BE" w:rsidRPr="003632BE" w:rsidRDefault="003632BE" w:rsidP="003632BE">
      <w:r w:rsidRPr="003632BE">
        <w:t>View more references</w:t>
      </w:r>
    </w:p>
    <w:p w14:paraId="512D64FC" w14:textId="77777777" w:rsidR="003632BE" w:rsidRPr="003632BE" w:rsidRDefault="003632BE" w:rsidP="003632BE">
      <w:r w:rsidRPr="003632BE">
        <w:t>Cited by (174)</w:t>
      </w:r>
    </w:p>
    <w:p w14:paraId="5587F80E" w14:textId="77777777" w:rsidR="003632BE" w:rsidRPr="003632BE" w:rsidRDefault="003632BE" w:rsidP="003632BE">
      <w:pPr>
        <w:numPr>
          <w:ilvl w:val="0"/>
          <w:numId w:val="50"/>
        </w:numPr>
      </w:pPr>
      <w:hyperlink r:id="rId150" w:history="1">
        <w:r w:rsidRPr="003632BE">
          <w:rPr>
            <w:rStyle w:val="Hyperlink"/>
          </w:rPr>
          <w:t>What drives credit dollarization in transition economies?</w:t>
        </w:r>
      </w:hyperlink>
    </w:p>
    <w:p w14:paraId="5C440920" w14:textId="77777777" w:rsidR="003632BE" w:rsidRPr="003632BE" w:rsidRDefault="003632BE" w:rsidP="003632BE">
      <w:r w:rsidRPr="003632BE">
        <w:t>2008, Journal of Banking and Finance</w:t>
      </w:r>
    </w:p>
    <w:p w14:paraId="391EFAE0" w14:textId="77777777" w:rsidR="003632BE" w:rsidRPr="003632BE" w:rsidRDefault="003632BE" w:rsidP="003632BE">
      <w:r w:rsidRPr="003632BE">
        <w:t>Show abstract</w:t>
      </w:r>
    </w:p>
    <w:p w14:paraId="748B2C94" w14:textId="77777777" w:rsidR="003632BE" w:rsidRPr="003632BE" w:rsidRDefault="003632BE" w:rsidP="003632BE">
      <w:pPr>
        <w:numPr>
          <w:ilvl w:val="0"/>
          <w:numId w:val="50"/>
        </w:numPr>
      </w:pPr>
      <w:hyperlink r:id="rId151" w:history="1">
        <w:r w:rsidRPr="003632BE">
          <w:rPr>
            <w:rStyle w:val="Hyperlink"/>
          </w:rPr>
          <w:t>Dollarization of bank deposits: Causes and consequences</w:t>
        </w:r>
      </w:hyperlink>
    </w:p>
    <w:p w14:paraId="1A3A155E" w14:textId="77777777" w:rsidR="003632BE" w:rsidRPr="003632BE" w:rsidRDefault="003632BE" w:rsidP="003632BE">
      <w:r w:rsidRPr="003632BE">
        <w:t>2005, Journal of Banking and Finance</w:t>
      </w:r>
    </w:p>
    <w:p w14:paraId="41526455" w14:textId="77777777" w:rsidR="003632BE" w:rsidRPr="003632BE" w:rsidRDefault="003632BE" w:rsidP="003632BE">
      <w:r w:rsidRPr="003632BE">
        <w:t>Show abstract</w:t>
      </w:r>
    </w:p>
    <w:p w14:paraId="10DFD8AA" w14:textId="77777777" w:rsidR="003632BE" w:rsidRPr="003632BE" w:rsidRDefault="003632BE" w:rsidP="003632BE">
      <w:pPr>
        <w:numPr>
          <w:ilvl w:val="0"/>
          <w:numId w:val="50"/>
        </w:numPr>
      </w:pPr>
      <w:hyperlink r:id="rId152" w:tgtFrame="_blank" w:history="1">
        <w:r w:rsidRPr="003632BE">
          <w:rPr>
            <w:rStyle w:val="Hyperlink"/>
          </w:rPr>
          <w:t>Exchange arrangements entering the twenty-first century: Which anchor will hold?</w:t>
        </w:r>
      </w:hyperlink>
    </w:p>
    <w:p w14:paraId="7687A5AE" w14:textId="77777777" w:rsidR="003632BE" w:rsidRPr="003632BE" w:rsidRDefault="003632BE" w:rsidP="003632BE">
      <w:r w:rsidRPr="003632BE">
        <w:t>2019, Quarterly Journal of Economics</w:t>
      </w:r>
    </w:p>
    <w:p w14:paraId="4CEBFFB1" w14:textId="77777777" w:rsidR="003632BE" w:rsidRPr="003632BE" w:rsidRDefault="003632BE" w:rsidP="003632BE">
      <w:pPr>
        <w:numPr>
          <w:ilvl w:val="0"/>
          <w:numId w:val="50"/>
        </w:numPr>
      </w:pPr>
      <w:hyperlink r:id="rId153" w:tgtFrame="_blank" w:history="1">
        <w:r w:rsidRPr="003632BE">
          <w:rPr>
            <w:rStyle w:val="Hyperlink"/>
          </w:rPr>
          <w:t>The next great globalization: How disadvantaged nations can harness their financial systems to get rich</w:t>
        </w:r>
      </w:hyperlink>
    </w:p>
    <w:p w14:paraId="14BD1055" w14:textId="77777777" w:rsidR="003632BE" w:rsidRPr="003632BE" w:rsidRDefault="003632BE" w:rsidP="003632BE">
      <w:r w:rsidRPr="003632BE">
        <w:t xml:space="preserve">2009, Next Great Globalization </w:t>
      </w:r>
      <w:proofErr w:type="gramStart"/>
      <w:r w:rsidRPr="003632BE">
        <w:t>how</w:t>
      </w:r>
      <w:proofErr w:type="gramEnd"/>
      <w:r w:rsidRPr="003632BE">
        <w:t xml:space="preserve"> Disadvantaged Nations </w:t>
      </w:r>
      <w:proofErr w:type="gramStart"/>
      <w:r w:rsidRPr="003632BE">
        <w:t>can</w:t>
      </w:r>
      <w:proofErr w:type="gramEnd"/>
      <w:r w:rsidRPr="003632BE">
        <w:t xml:space="preserve"> Harness </w:t>
      </w:r>
      <w:proofErr w:type="gramStart"/>
      <w:r w:rsidRPr="003632BE">
        <w:t>their</w:t>
      </w:r>
      <w:proofErr w:type="gramEnd"/>
      <w:r w:rsidRPr="003632BE">
        <w:t xml:space="preserve"> Financial Systems to Get Rich</w:t>
      </w:r>
    </w:p>
    <w:p w14:paraId="342836FD" w14:textId="77777777" w:rsidR="003632BE" w:rsidRPr="003632BE" w:rsidRDefault="003632BE" w:rsidP="003632BE">
      <w:pPr>
        <w:numPr>
          <w:ilvl w:val="0"/>
          <w:numId w:val="50"/>
        </w:numPr>
      </w:pPr>
      <w:hyperlink r:id="rId154" w:tgtFrame="_blank" w:history="1">
        <w:r w:rsidRPr="003632BE">
          <w:rPr>
            <w:rStyle w:val="Hyperlink"/>
          </w:rPr>
          <w:t>Government bonds in domestic and foreign currency: The role of institutional and macroeconomic factors</w:t>
        </w:r>
      </w:hyperlink>
    </w:p>
    <w:p w14:paraId="05D264E6" w14:textId="77777777" w:rsidR="003632BE" w:rsidRPr="003632BE" w:rsidRDefault="003632BE" w:rsidP="003632BE">
      <w:r w:rsidRPr="003632BE">
        <w:t>2007, Review of International Economics</w:t>
      </w:r>
    </w:p>
    <w:p w14:paraId="73758EFD" w14:textId="77777777" w:rsidR="003632BE" w:rsidRPr="003632BE" w:rsidRDefault="003632BE" w:rsidP="003632BE">
      <w:pPr>
        <w:numPr>
          <w:ilvl w:val="0"/>
          <w:numId w:val="50"/>
        </w:numPr>
      </w:pPr>
      <w:hyperlink r:id="rId155" w:tgtFrame="_blank" w:history="1">
        <w:r w:rsidRPr="003632BE">
          <w:rPr>
            <w:rStyle w:val="Hyperlink"/>
          </w:rPr>
          <w:t>Financial dollarization: Evaluating the consequences</w:t>
        </w:r>
      </w:hyperlink>
    </w:p>
    <w:p w14:paraId="7FFB6C07" w14:textId="77777777" w:rsidR="003632BE" w:rsidRPr="003632BE" w:rsidRDefault="003632BE" w:rsidP="003632BE">
      <w:r w:rsidRPr="003632BE">
        <w:t>2006, Economic Policy</w:t>
      </w:r>
    </w:p>
    <w:p w14:paraId="6B6C4CF0" w14:textId="77777777" w:rsidR="003632BE" w:rsidRPr="003632BE" w:rsidRDefault="003632BE" w:rsidP="003632BE">
      <w:hyperlink r:id="rId156" w:tgtFrame="_blank" w:history="1">
        <w:r w:rsidRPr="003632BE">
          <w:rPr>
            <w:rStyle w:val="Hyperlink"/>
          </w:rPr>
          <w:t>View all citing articles on Scopus</w:t>
        </w:r>
      </w:hyperlink>
    </w:p>
    <w:p w14:paraId="34D091E4" w14:textId="77777777" w:rsidR="003632BE" w:rsidRPr="003632BE" w:rsidRDefault="003632BE" w:rsidP="003632BE">
      <w:hyperlink r:id="rId157" w:history="1">
        <w:r w:rsidRPr="003632BE">
          <w:rPr>
            <w:rStyle w:val="Hyperlink"/>
          </w:rPr>
          <w:t>View full text</w:t>
        </w:r>
      </w:hyperlink>
    </w:p>
    <w:p w14:paraId="4079B7A9" w14:textId="77777777" w:rsidR="003632BE" w:rsidRPr="003632BE" w:rsidRDefault="003632BE" w:rsidP="003632BE">
      <w:r w:rsidRPr="003632BE">
        <w:t>Copyright © 2002 Elsevier Science B.V. All rights reserved.</w:t>
      </w:r>
    </w:p>
    <w:p w14:paraId="1887B473" w14:textId="77777777" w:rsidR="003632BE" w:rsidRPr="003632BE" w:rsidRDefault="003632BE" w:rsidP="003632BE">
      <w:r w:rsidRPr="003632BE">
        <w:t>Recommended articles</w:t>
      </w:r>
    </w:p>
    <w:p w14:paraId="29226264" w14:textId="77777777" w:rsidR="003632BE" w:rsidRPr="003632BE" w:rsidRDefault="003632BE" w:rsidP="003632BE">
      <w:pPr>
        <w:numPr>
          <w:ilvl w:val="0"/>
          <w:numId w:val="51"/>
        </w:numPr>
      </w:pPr>
      <w:hyperlink r:id="rId158" w:tooltip="A one-line proof for complementary symmetry" w:history="1">
        <w:r w:rsidRPr="003632BE">
          <w:rPr>
            <w:rStyle w:val="Hyperlink"/>
          </w:rPr>
          <w:t>A one-line proof for complementary symmetry</w:t>
        </w:r>
      </w:hyperlink>
    </w:p>
    <w:p w14:paraId="27255C2A" w14:textId="77777777" w:rsidR="003632BE" w:rsidRPr="003632BE" w:rsidRDefault="003632BE" w:rsidP="003632BE">
      <w:r w:rsidRPr="003632BE">
        <w:t>Journal of Mathematical Psychology, Volume 98, 2020, Article 102406</w:t>
      </w:r>
    </w:p>
    <w:p w14:paraId="5F4D75D2" w14:textId="77777777" w:rsidR="003632BE" w:rsidRPr="003632BE" w:rsidRDefault="003632BE" w:rsidP="003632BE">
      <w:r w:rsidRPr="003632BE">
        <w:t>Peter P. Wakker</w:t>
      </w:r>
    </w:p>
    <w:p w14:paraId="39ADECD4" w14:textId="77777777" w:rsidR="003632BE" w:rsidRPr="003632BE" w:rsidRDefault="003632BE" w:rsidP="003632BE">
      <w:pPr>
        <w:numPr>
          <w:ilvl w:val="0"/>
          <w:numId w:val="51"/>
        </w:numPr>
      </w:pPr>
      <w:hyperlink r:id="rId159" w:tooltip="A Correct Response Model in knowledge structure theory" w:history="1">
        <w:r w:rsidRPr="003632BE">
          <w:rPr>
            <w:rStyle w:val="Hyperlink"/>
          </w:rPr>
          <w:t>A Correct Response Model in knowledge structure theory</w:t>
        </w:r>
      </w:hyperlink>
    </w:p>
    <w:p w14:paraId="60635E4D" w14:textId="77777777" w:rsidR="003632BE" w:rsidRPr="003632BE" w:rsidRDefault="003632BE" w:rsidP="003632BE">
      <w:r w:rsidRPr="003632BE">
        <w:t>Journal of Mathematical Psychology, Volume 102, 2021, Article 102519</w:t>
      </w:r>
    </w:p>
    <w:p w14:paraId="5F258F48" w14:textId="77777777" w:rsidR="003632BE" w:rsidRPr="003632BE" w:rsidRDefault="003632BE" w:rsidP="003632BE">
      <w:r w:rsidRPr="003632BE">
        <w:t>Jean-Paul Doignon</w:t>
      </w:r>
    </w:p>
    <w:p w14:paraId="3EF698CB" w14:textId="77777777" w:rsidR="003632BE" w:rsidRPr="003632BE" w:rsidRDefault="003632BE" w:rsidP="003632BE">
      <w:pPr>
        <w:numPr>
          <w:ilvl w:val="0"/>
          <w:numId w:val="51"/>
        </w:numPr>
      </w:pPr>
      <w:hyperlink r:id="rId160" w:tooltip="Adjacencies on random ordering polytopes and flow polytopes" w:history="1">
        <w:r w:rsidRPr="003632BE">
          <w:rPr>
            <w:rStyle w:val="Hyperlink"/>
          </w:rPr>
          <w:t>Adjacencies on random ordering </w:t>
        </w:r>
      </w:hyperlink>
    </w:p>
    <w:p w14:paraId="51EB69F7" w14:textId="77777777" w:rsidR="003632BE" w:rsidRDefault="003632BE" w:rsidP="003632BE">
      <w:pPr>
        <w:pStyle w:val="Heading1"/>
        <w:spacing w:before="0" w:after="0" w:line="630" w:lineRule="atLeast"/>
        <w:rPr>
          <w:rFonts w:ascii="Georgia" w:hAnsi="Georgia"/>
          <w:color w:val="1F1F1F"/>
        </w:rPr>
      </w:pPr>
      <w:r>
        <w:rPr>
          <w:rStyle w:val="title-text"/>
          <w:rFonts w:ascii="Georgia" w:hAnsi="Georgia"/>
          <w:b/>
          <w:bCs/>
          <w:color w:val="1F1F1F"/>
        </w:rPr>
        <w:t>Financial dollarization: Short-run determinants in transition economies</w:t>
      </w:r>
    </w:p>
    <w:p w14:paraId="4F4CFC20" w14:textId="77777777" w:rsidR="003632BE" w:rsidRDefault="003632BE" w:rsidP="003632BE">
      <w:pPr>
        <w:rPr>
          <w:rFonts w:ascii="Arial" w:hAnsi="Arial" w:cs="Arial"/>
          <w:color w:val="1F1F1F"/>
        </w:rPr>
      </w:pPr>
      <w:r>
        <w:rPr>
          <w:rStyle w:val="sr-only"/>
          <w:rFonts w:ascii="Arial" w:hAnsi="Arial" w:cs="Arial"/>
          <w:color w:val="1F1F1F"/>
          <w:bdr w:val="none" w:sz="0" w:space="0" w:color="auto" w:frame="1"/>
        </w:rPr>
        <w:t xml:space="preserve">Author links open overlay </w:t>
      </w:r>
      <w:proofErr w:type="spellStart"/>
      <w:r>
        <w:rPr>
          <w:rStyle w:val="sr-only"/>
          <w:rFonts w:ascii="Arial" w:hAnsi="Arial" w:cs="Arial"/>
          <w:color w:val="1F1F1F"/>
          <w:bdr w:val="none" w:sz="0" w:space="0" w:color="auto" w:frame="1"/>
        </w:rPr>
        <w:t>panel</w:t>
      </w:r>
      <w:r>
        <w:rPr>
          <w:rStyle w:val="given-name"/>
          <w:rFonts w:ascii="Arial" w:hAnsi="Arial" w:cs="Arial"/>
          <w:color w:val="1F1F1F"/>
        </w:rPr>
        <w:t>Kyriakos</w:t>
      </w:r>
      <w:proofErr w:type="spellEnd"/>
      <w:r>
        <w:rPr>
          <w:rStyle w:val="given-name"/>
          <w:rFonts w:ascii="Arial" w:hAnsi="Arial" w:cs="Arial"/>
          <w:color w:val="1F1F1F"/>
        </w:rPr>
        <w:t xml:space="preserve"> C.</w:t>
      </w:r>
      <w:r>
        <w:rPr>
          <w:rStyle w:val="react-xocs-alternative-link"/>
          <w:rFonts w:ascii="Arial" w:hAnsi="Arial" w:cs="Arial"/>
          <w:color w:val="1F1F1F"/>
        </w:rPr>
        <w:t> </w:t>
      </w:r>
      <w:proofErr w:type="spellStart"/>
      <w:r>
        <w:rPr>
          <w:rStyle w:val="text"/>
          <w:rFonts w:ascii="Arial" w:hAnsi="Arial" w:cs="Arial"/>
          <w:color w:val="1F1F1F"/>
        </w:rPr>
        <w:t>Neanidis</w:t>
      </w:r>
      <w:proofErr w:type="spellEnd"/>
      <w:r>
        <w:rPr>
          <w:rStyle w:val="react-xocs-alternative-link"/>
          <w:rFonts w:ascii="Arial" w:hAnsi="Arial" w:cs="Arial"/>
          <w:color w:val="1F1F1F"/>
        </w:rPr>
        <w:t> </w:t>
      </w:r>
      <w:r>
        <w:rPr>
          <w:rStyle w:val="author-ref"/>
          <w:rFonts w:ascii="Arial" w:hAnsi="Arial" w:cs="Arial"/>
          <w:color w:val="1F1F1F"/>
          <w:sz w:val="18"/>
          <w:szCs w:val="18"/>
          <w:vertAlign w:val="superscript"/>
        </w:rPr>
        <w:t>a</w:t>
      </w:r>
      <w:r>
        <w:rPr>
          <w:rFonts w:ascii="Arial" w:hAnsi="Arial" w:cs="Arial"/>
          <w:color w:val="1F1F1F"/>
        </w:rPr>
        <w:t>, </w:t>
      </w:r>
      <w:bookmarkStart w:id="3" w:name="baep-author-id6-profile"/>
      <w:r>
        <w:rPr>
          <w:rFonts w:ascii="Arial" w:hAnsi="Arial" w:cs="Arial"/>
          <w:color w:val="1F1F1F"/>
        </w:rPr>
        <w:fldChar w:fldCharType="begin"/>
      </w:r>
      <w:r>
        <w:rPr>
          <w:rFonts w:ascii="Arial" w:hAnsi="Arial" w:cs="Arial"/>
          <w:color w:val="1F1F1F"/>
        </w:rPr>
        <w:instrText>HYPERLINK "https://www.sciencedirect.com/author/26634388100/christos-s-savva"</w:instrText>
      </w:r>
      <w:r>
        <w:rPr>
          <w:rFonts w:ascii="Arial" w:hAnsi="Arial" w:cs="Arial"/>
          <w:color w:val="1F1F1F"/>
        </w:rPr>
      </w:r>
      <w:r>
        <w:rPr>
          <w:rFonts w:ascii="Arial" w:hAnsi="Arial" w:cs="Arial"/>
          <w:color w:val="1F1F1F"/>
        </w:rPr>
        <w:fldChar w:fldCharType="separate"/>
      </w:r>
      <w:r>
        <w:rPr>
          <w:rStyle w:val="given-name"/>
          <w:rFonts w:ascii="Arial" w:hAnsi="Arial" w:cs="Arial"/>
          <w:color w:val="1F1F1F"/>
        </w:rPr>
        <w:t>Christos S.</w:t>
      </w:r>
      <w:r>
        <w:rPr>
          <w:rStyle w:val="react-xocs-alternative-link"/>
          <w:rFonts w:ascii="Arial" w:hAnsi="Arial" w:cs="Arial"/>
          <w:color w:val="1F1F1F"/>
        </w:rPr>
        <w:t> </w:t>
      </w:r>
      <w:r>
        <w:rPr>
          <w:rStyle w:val="text"/>
          <w:rFonts w:ascii="Arial" w:hAnsi="Arial" w:cs="Arial"/>
          <w:color w:val="1F1F1F"/>
        </w:rPr>
        <w:t>Savva</w:t>
      </w:r>
      <w:r>
        <w:rPr>
          <w:rStyle w:val="react-xocs-alternative-link"/>
          <w:rFonts w:ascii="Arial" w:hAnsi="Arial" w:cs="Arial"/>
          <w:color w:val="1F1F1F"/>
        </w:rPr>
        <w:t> </w:t>
      </w:r>
      <w:r>
        <w:rPr>
          <w:rStyle w:val="author-ref"/>
          <w:rFonts w:ascii="Arial" w:hAnsi="Arial" w:cs="Arial"/>
          <w:color w:val="1F1F1F"/>
          <w:sz w:val="18"/>
          <w:szCs w:val="18"/>
          <w:vertAlign w:val="superscript"/>
        </w:rPr>
        <w:t>b</w:t>
      </w:r>
      <w:r>
        <w:rPr>
          <w:rFonts w:ascii="Arial" w:hAnsi="Arial" w:cs="Arial"/>
          <w:color w:val="1F1F1F"/>
        </w:rPr>
        <w:fldChar w:fldCharType="end"/>
      </w:r>
      <w:bookmarkEnd w:id="3"/>
    </w:p>
    <w:p w14:paraId="577137D5" w14:textId="77777777" w:rsidR="003632BE" w:rsidRDefault="003632BE" w:rsidP="003632BE">
      <w:pPr>
        <w:rPr>
          <w:rFonts w:ascii="Arial" w:hAnsi="Arial" w:cs="Arial"/>
          <w:color w:val="1F1F1F"/>
        </w:rPr>
      </w:pPr>
      <w:r>
        <w:rPr>
          <w:rStyle w:val="button-link-text"/>
          <w:rFonts w:ascii="Arial" w:hAnsi="Arial" w:cs="Arial"/>
          <w:color w:val="1F1F1F"/>
        </w:rPr>
        <w:t>Show more</w:t>
      </w:r>
    </w:p>
    <w:p w14:paraId="2D77C8E9" w14:textId="77777777" w:rsidR="003632BE" w:rsidRDefault="003632BE" w:rsidP="003632BE">
      <w:pPr>
        <w:rPr>
          <w:rFonts w:ascii="Arial" w:hAnsi="Arial" w:cs="Arial"/>
          <w:color w:val="1F1F1F"/>
        </w:rPr>
      </w:pPr>
      <w:r>
        <w:rPr>
          <w:rStyle w:val="button-link-text"/>
          <w:rFonts w:ascii="Arial" w:hAnsi="Arial" w:cs="Arial"/>
          <w:color w:val="1F1F1F"/>
        </w:rPr>
        <w:t>Add to Mendeley</w:t>
      </w:r>
    </w:p>
    <w:p w14:paraId="67636703" w14:textId="77777777" w:rsidR="003632BE" w:rsidRDefault="003632BE" w:rsidP="003632BE">
      <w:pPr>
        <w:rPr>
          <w:rFonts w:ascii="Arial" w:hAnsi="Arial" w:cs="Arial"/>
          <w:color w:val="1F1F1F"/>
        </w:rPr>
      </w:pPr>
      <w:r>
        <w:rPr>
          <w:rStyle w:val="button-link-text"/>
          <w:rFonts w:ascii="Arial" w:hAnsi="Arial" w:cs="Arial"/>
          <w:color w:val="1F1F1F"/>
        </w:rPr>
        <w:t>Share</w:t>
      </w:r>
    </w:p>
    <w:p w14:paraId="6B73CC28" w14:textId="77777777" w:rsidR="003632BE" w:rsidRDefault="003632BE" w:rsidP="003632BE">
      <w:pPr>
        <w:rPr>
          <w:rFonts w:ascii="Arial" w:hAnsi="Arial" w:cs="Arial"/>
          <w:color w:val="1F1F1F"/>
        </w:rPr>
      </w:pPr>
      <w:r>
        <w:rPr>
          <w:rStyle w:val="button-link-text"/>
          <w:rFonts w:ascii="Arial" w:hAnsi="Arial" w:cs="Arial"/>
          <w:color w:val="1F1F1F"/>
        </w:rPr>
        <w:t>Cite</w:t>
      </w:r>
    </w:p>
    <w:p w14:paraId="546C1437" w14:textId="77777777" w:rsidR="003632BE" w:rsidRDefault="003632BE" w:rsidP="003632BE">
      <w:pPr>
        <w:spacing w:line="330" w:lineRule="atLeast"/>
        <w:rPr>
          <w:rFonts w:ascii="Arial" w:hAnsi="Arial" w:cs="Arial"/>
          <w:color w:val="1F1F1F"/>
          <w:sz w:val="21"/>
          <w:szCs w:val="21"/>
        </w:rPr>
      </w:pPr>
      <w:hyperlink r:id="rId161" w:tgtFrame="_blank" w:tooltip="Persistent link using digital object identifier" w:history="1">
        <w:r>
          <w:rPr>
            <w:rStyle w:val="anchor-text"/>
            <w:rFonts w:ascii="Arial" w:hAnsi="Arial" w:cs="Arial"/>
            <w:color w:val="0272B1"/>
            <w:sz w:val="21"/>
            <w:szCs w:val="21"/>
          </w:rPr>
          <w:t>https://doi.org/10.1016/j.jbankfin.2009.04.017</w:t>
        </w:r>
      </w:hyperlink>
      <w:hyperlink r:id="rId162" w:tgtFrame="_blank" w:history="1">
        <w:r>
          <w:rPr>
            <w:rStyle w:val="anchor-text"/>
            <w:rFonts w:ascii="Arial" w:hAnsi="Arial" w:cs="Arial"/>
            <w:color w:val="0272B1"/>
            <w:sz w:val="21"/>
            <w:szCs w:val="21"/>
          </w:rPr>
          <w:t>Get rights and content</w:t>
        </w:r>
      </w:hyperlink>
    </w:p>
    <w:p w14:paraId="51505B38" w14:textId="77777777" w:rsidR="003632BE" w:rsidRDefault="003632BE" w:rsidP="003632BE">
      <w:pPr>
        <w:pStyle w:val="Heading2"/>
        <w:spacing w:before="480" w:after="240" w:line="450" w:lineRule="atLeast"/>
        <w:rPr>
          <w:rFonts w:ascii="Georgia" w:hAnsi="Georgia" w:cs="Arial"/>
          <w:color w:val="1F1F1F"/>
          <w:sz w:val="30"/>
          <w:szCs w:val="30"/>
          <w:lang w:val="en"/>
        </w:rPr>
      </w:pPr>
      <w:r>
        <w:rPr>
          <w:rFonts w:ascii="Georgia" w:hAnsi="Georgia" w:cs="Arial"/>
          <w:b/>
          <w:bCs/>
          <w:color w:val="1F1F1F"/>
          <w:sz w:val="30"/>
          <w:szCs w:val="30"/>
          <w:lang w:val="en"/>
        </w:rPr>
        <w:lastRenderedPageBreak/>
        <w:t>Abstract</w:t>
      </w:r>
    </w:p>
    <w:p w14:paraId="12C85A00" w14:textId="77777777" w:rsidR="003632BE" w:rsidRDefault="003632BE" w:rsidP="003632BE">
      <w:pPr>
        <w:spacing w:line="390" w:lineRule="atLeast"/>
        <w:rPr>
          <w:rFonts w:ascii="Georgia" w:hAnsi="Georgia" w:cs="Arial"/>
          <w:color w:val="1F1F1F"/>
          <w:lang w:val="en"/>
        </w:rPr>
      </w:pPr>
      <w:r>
        <w:rPr>
          <w:rFonts w:ascii="Georgia" w:hAnsi="Georgia" w:cs="Arial"/>
          <w:color w:val="1F1F1F"/>
          <w:lang w:val="en"/>
        </w:rPr>
        <w:t>This paper examines the determinants of financial dollarization in transition economies from a short-run perspective. Using aggregate monthly data of deposit and loan dollarization we study the drivers of short-term fluctuations in dollarization and test their importance at different levels of dollarization. The results provide evidence that (a) the positive (negative) short-run effects of depreciation (monetary expansion) on deposit dollarization are exacerbated in high-dollarization countries; (b) short-run loan dollarization is mainly driven by banks matching of domestic loans and deposits, currency matching of assets and liabilities, </w:t>
      </w:r>
      <w:hyperlink r:id="rId163" w:history="1">
        <w:r>
          <w:rPr>
            <w:rStyle w:val="Hyperlink"/>
            <w:rFonts w:ascii="Georgia" w:hAnsi="Georgia" w:cs="Arial"/>
            <w:color w:val="1F1F1F"/>
            <w:lang w:val="en"/>
          </w:rPr>
          <w:t>international financial integration</w:t>
        </w:r>
      </w:hyperlink>
      <w:r>
        <w:rPr>
          <w:rFonts w:ascii="Georgia" w:hAnsi="Georgia" w:cs="Arial"/>
          <w:color w:val="1F1F1F"/>
          <w:lang w:val="en"/>
        </w:rPr>
        <w:t>, and institutional quality; and (c) both types of short-run dollarization are affected by interest rate differentials and deviations from desired dollarization.</w:t>
      </w:r>
    </w:p>
    <w:p w14:paraId="2B315FA2" w14:textId="77777777" w:rsidR="003632BE" w:rsidRDefault="003632BE" w:rsidP="003632BE">
      <w:pPr>
        <w:pStyle w:val="Heading2"/>
        <w:spacing w:before="0" w:after="240" w:line="450" w:lineRule="atLeast"/>
        <w:rPr>
          <w:rFonts w:ascii="Georgia" w:hAnsi="Georgia" w:cs="Arial"/>
          <w:color w:val="1F1F1F"/>
          <w:sz w:val="30"/>
          <w:szCs w:val="30"/>
        </w:rPr>
      </w:pPr>
      <w:r>
        <w:rPr>
          <w:rFonts w:ascii="Georgia" w:hAnsi="Georgia" w:cs="Arial"/>
          <w:b/>
          <w:bCs/>
          <w:color w:val="1F1F1F"/>
          <w:sz w:val="30"/>
          <w:szCs w:val="30"/>
        </w:rPr>
        <w:t>Introduction</w:t>
      </w:r>
    </w:p>
    <w:p w14:paraId="202E9515" w14:textId="77777777" w:rsidR="003632BE" w:rsidRDefault="003632BE" w:rsidP="003632BE">
      <w:pPr>
        <w:spacing w:line="390" w:lineRule="atLeast"/>
        <w:rPr>
          <w:rFonts w:ascii="Georgia" w:hAnsi="Georgia" w:cs="Arial"/>
          <w:color w:val="1F1F1F"/>
        </w:rPr>
      </w:pPr>
      <w:r>
        <w:rPr>
          <w:rFonts w:ascii="Georgia" w:hAnsi="Georgia" w:cs="Arial"/>
          <w:color w:val="1F1F1F"/>
        </w:rPr>
        <w:t xml:space="preserve">Financial dollarization (FD) has been the subject of considerable research over the past two decades. This research has led to the broad consensus that financial dollarization in the presence of large exchange rate fluctuations can become a potential source of balance of payments and financial </w:t>
      </w:r>
      <w:proofErr w:type="gramStart"/>
      <w:r>
        <w:rPr>
          <w:rFonts w:ascii="Georgia" w:hAnsi="Georgia" w:cs="Arial"/>
          <w:color w:val="1F1F1F"/>
        </w:rPr>
        <w:t>crises, and</w:t>
      </w:r>
      <w:proofErr w:type="gramEnd"/>
      <w:r>
        <w:rPr>
          <w:rFonts w:ascii="Georgia" w:hAnsi="Georgia" w:cs="Arial"/>
          <w:color w:val="1F1F1F"/>
        </w:rPr>
        <w:t xml:space="preserve"> pose a serious threat to macroeconomic and financial stability. These reasons have led to the examination of the determinants of financial dollarization as a way of improving our understanding of its development. In this paper we contribute to the literature by providing an empirical analysis of the drivers of </w:t>
      </w:r>
      <w:r>
        <w:rPr>
          <w:rStyle w:val="Emphasis"/>
          <w:rFonts w:ascii="Georgia" w:hAnsi="Georgia" w:cs="Arial"/>
          <w:color w:val="1F1F1F"/>
        </w:rPr>
        <w:t>short-term</w:t>
      </w:r>
      <w:r>
        <w:rPr>
          <w:rFonts w:ascii="Georgia" w:hAnsi="Georgia" w:cs="Arial"/>
          <w:color w:val="1F1F1F"/>
        </w:rPr>
        <w:t> variations in both deposit (DD) and loan dollarization (LD) in transition economies.</w:t>
      </w:r>
      <w:r>
        <w:rPr>
          <w:rFonts w:ascii="Georgia" w:hAnsi="Georgia" w:cs="Arial"/>
          <w:color w:val="1F1F1F"/>
          <w:sz w:val="18"/>
          <w:szCs w:val="18"/>
          <w:vertAlign w:val="superscript"/>
        </w:rPr>
        <w:t>1</w:t>
      </w:r>
    </w:p>
    <w:p w14:paraId="361A0831" w14:textId="77777777" w:rsidR="003632BE" w:rsidRDefault="003632BE" w:rsidP="003632BE">
      <w:pPr>
        <w:spacing w:line="390" w:lineRule="atLeast"/>
        <w:rPr>
          <w:rFonts w:ascii="Georgia" w:hAnsi="Georgia" w:cs="Arial"/>
          <w:color w:val="1F1F1F"/>
        </w:rPr>
      </w:pPr>
      <w:proofErr w:type="gramStart"/>
      <w:r>
        <w:rPr>
          <w:rFonts w:ascii="Georgia" w:hAnsi="Georgia" w:cs="Arial"/>
          <w:color w:val="1F1F1F"/>
        </w:rPr>
        <w:t>The majority of</w:t>
      </w:r>
      <w:proofErr w:type="gramEnd"/>
      <w:r>
        <w:rPr>
          <w:rFonts w:ascii="Georgia" w:hAnsi="Georgia" w:cs="Arial"/>
          <w:color w:val="1F1F1F"/>
        </w:rPr>
        <w:t xml:space="preserve"> the studies conducted in the literature have had as a goal to investigate the determinants of long-run dollarization by mostly focusing on foreign currency-denominated deposits. In a recent survey of the literature, De Nicoló et al., 2003, Levy-</w:t>
      </w:r>
      <w:proofErr w:type="spellStart"/>
      <w:r>
        <w:rPr>
          <w:rFonts w:ascii="Georgia" w:hAnsi="Georgia" w:cs="Arial"/>
          <w:color w:val="1F1F1F"/>
        </w:rPr>
        <w:t>Yeyati</w:t>
      </w:r>
      <w:proofErr w:type="spellEnd"/>
      <w:r>
        <w:rPr>
          <w:rFonts w:ascii="Georgia" w:hAnsi="Georgia" w:cs="Arial"/>
          <w:color w:val="1F1F1F"/>
        </w:rPr>
        <w:t>, 2006 summarize the main drivers of deposit dollarization. These are the past rate of inflation according to the currency substitution view (e.g., Savastano, 1996, Sahay and Vegh, 1996), the minimum variance portfolio (</w:t>
      </w:r>
      <w:proofErr w:type="spellStart"/>
      <w:r>
        <w:rPr>
          <w:rFonts w:ascii="Georgia" w:hAnsi="Georgia" w:cs="Arial"/>
          <w:color w:val="1F1F1F"/>
        </w:rPr>
        <w:t>mvp</w:t>
      </w:r>
      <w:proofErr w:type="spellEnd"/>
      <w:r>
        <w:rPr>
          <w:rFonts w:ascii="Georgia" w:hAnsi="Georgia" w:cs="Arial"/>
          <w:color w:val="1F1F1F"/>
        </w:rPr>
        <w:t>) dollarization share according to the portfolio view (e.g., Ize and Levy-</w:t>
      </w:r>
      <w:proofErr w:type="spellStart"/>
      <w:r>
        <w:rPr>
          <w:rFonts w:ascii="Georgia" w:hAnsi="Georgia" w:cs="Arial"/>
          <w:color w:val="1F1F1F"/>
        </w:rPr>
        <w:t>Yeyati</w:t>
      </w:r>
      <w:proofErr w:type="spellEnd"/>
      <w:r>
        <w:rPr>
          <w:rFonts w:ascii="Georgia" w:hAnsi="Georgia" w:cs="Arial"/>
          <w:color w:val="1F1F1F"/>
        </w:rPr>
        <w:t>, 2003), and the quality of institutions and the exchange rate pegs according to the institutional view (e.g., De Nicoló et al., 2005, Rennhack and Nozaki, 2006).</w:t>
      </w:r>
    </w:p>
    <w:p w14:paraId="1FB9172B" w14:textId="77777777" w:rsidR="003632BE" w:rsidRDefault="003632BE" w:rsidP="003632BE">
      <w:pPr>
        <w:spacing w:line="390" w:lineRule="atLeast"/>
        <w:rPr>
          <w:rFonts w:ascii="Georgia" w:hAnsi="Georgia" w:cs="Arial"/>
          <w:color w:val="1F1F1F"/>
        </w:rPr>
      </w:pPr>
      <w:r>
        <w:rPr>
          <w:rFonts w:ascii="Georgia" w:hAnsi="Georgia" w:cs="Arial"/>
          <w:color w:val="1F1F1F"/>
        </w:rPr>
        <w:lastRenderedPageBreak/>
        <w:t xml:space="preserve">Only recently researchers have re-oriented their attention on the causal factors of loan dollarization or jointly examined both types of dollarization, again within a long-run perspective. Catão and Terrones (2000) represent an early work that develops a theoretical model of FD with a focus on the banking side while Barajas and Morales, 2003, Arteta, 2005 evaluate the effects of exchange rate policy on FD. Of the last two studies, the first finds that DD greatly influences LD as banks shift currency risk to their borrowers in Latin America. It also shows that central bank intervention in the foreign exchange market increases loan dollarization. The latter finding </w:t>
      </w:r>
      <w:proofErr w:type="gramStart"/>
      <w:r>
        <w:rPr>
          <w:rFonts w:ascii="Georgia" w:hAnsi="Georgia" w:cs="Arial"/>
          <w:color w:val="1F1F1F"/>
        </w:rPr>
        <w:t>is in contrast to</w:t>
      </w:r>
      <w:proofErr w:type="gramEnd"/>
      <w:r>
        <w:rPr>
          <w:rFonts w:ascii="Georgia" w:hAnsi="Georgia" w:cs="Arial"/>
          <w:color w:val="1F1F1F"/>
        </w:rPr>
        <w:t xml:space="preserve"> Arteta (2005) who shows that floating exchange rate regimes encourage both DD and LD but more strongly DD so that bank currency mismatches are the overall outcome. More recently Luca and Petrova (2008) have produced evidence of banks’ desire for currency matched portfolios beyond regulatory requirements, as Barajas and Morales (2003) did but, for a set of transition economies. They also show that increases in banks’ net foreign assets adversely influence loan dollarization. Finally, Basso et al. (2007) represents a study that examines both types of dollarization. By developing a theory model that is tested for transition economies, the authors unveil the importance of interest rate differentials and of the presence of foreign banks in the local financial sector.</w:t>
      </w:r>
      <w:r>
        <w:rPr>
          <w:rFonts w:ascii="Georgia" w:hAnsi="Georgia" w:cs="Arial"/>
          <w:color w:val="1F1F1F"/>
          <w:sz w:val="18"/>
          <w:szCs w:val="18"/>
          <w:vertAlign w:val="superscript"/>
        </w:rPr>
        <w:t>2</w:t>
      </w:r>
    </w:p>
    <w:p w14:paraId="1ABA9E85" w14:textId="77777777" w:rsidR="003632BE" w:rsidRDefault="003632BE" w:rsidP="003632BE">
      <w:pPr>
        <w:spacing w:line="390" w:lineRule="atLeast"/>
        <w:rPr>
          <w:rFonts w:ascii="Georgia" w:hAnsi="Georgia" w:cs="Arial"/>
          <w:color w:val="1F1F1F"/>
        </w:rPr>
      </w:pPr>
      <w:r>
        <w:rPr>
          <w:rFonts w:ascii="Georgia" w:hAnsi="Georgia" w:cs="Arial"/>
          <w:color w:val="1F1F1F"/>
        </w:rPr>
        <w:t>Our paper differs from the existing literature in an essential way. We examine the drivers of </w:t>
      </w:r>
      <w:r>
        <w:rPr>
          <w:rStyle w:val="Emphasis"/>
          <w:rFonts w:ascii="Georgia" w:hAnsi="Georgia" w:cs="Arial"/>
          <w:color w:val="1F1F1F"/>
        </w:rPr>
        <w:t>short-run</w:t>
      </w:r>
      <w:r>
        <w:rPr>
          <w:rFonts w:ascii="Georgia" w:hAnsi="Georgia" w:cs="Arial"/>
          <w:color w:val="1F1F1F"/>
        </w:rPr>
        <w:t> variations in </w:t>
      </w:r>
      <w:r>
        <w:rPr>
          <w:rStyle w:val="Emphasis"/>
          <w:rFonts w:ascii="Georgia" w:hAnsi="Georgia" w:cs="Arial"/>
          <w:color w:val="1F1F1F"/>
        </w:rPr>
        <w:t>both</w:t>
      </w:r>
      <w:r>
        <w:rPr>
          <w:rFonts w:ascii="Georgia" w:hAnsi="Georgia" w:cs="Arial"/>
          <w:color w:val="1F1F1F"/>
        </w:rPr>
        <w:t> deposit and loan dollarization. We are particularly interested in the response of dollarization to exchange rate changes, changes in monetary expansion and the banks’ short-run currency matching behavior of loans and deposits, while controlling for the most important drivers found in the long-run literature. Most importantly, the investigation takes account of differences in the determinants of short-run deposit and loan dollarization at different degrees of dollarization. In this way we can examine the extent to which the effects of depreciation and monetary expansion on both short-run DD and LD differ in countries with different levels of dollarization. At the same time, the analysis allows us to consider the potentially asymmetric response of depositors and banks at high-dollarization environments due to the different portfolio instruments available to them.</w:t>
      </w:r>
    </w:p>
    <w:p w14:paraId="04601C40" w14:textId="77777777" w:rsidR="003632BE" w:rsidRDefault="003632BE" w:rsidP="003632BE">
      <w:pPr>
        <w:spacing w:line="390" w:lineRule="atLeast"/>
        <w:rPr>
          <w:rFonts w:ascii="Georgia" w:hAnsi="Georgia" w:cs="Arial"/>
          <w:color w:val="1F1F1F"/>
        </w:rPr>
      </w:pPr>
      <w:r>
        <w:rPr>
          <w:rStyle w:val="Emphasis"/>
          <w:rFonts w:ascii="Georgia" w:hAnsi="Georgia" w:cs="Arial"/>
          <w:color w:val="1F1F1F"/>
        </w:rPr>
        <w:t>A priori</w:t>
      </w:r>
      <w:r>
        <w:rPr>
          <w:rFonts w:ascii="Georgia" w:hAnsi="Georgia" w:cs="Arial"/>
          <w:color w:val="1F1F1F"/>
        </w:rPr>
        <w:t xml:space="preserve">, domestic currency depreciation (or monetary expansion) of a given size is expected to have a different marginal impact on short-run DD in conditions of high dollarization compared to a low-dollarization environment. Depositors, in the presence </w:t>
      </w:r>
      <w:r>
        <w:rPr>
          <w:rFonts w:ascii="Georgia" w:hAnsi="Georgia" w:cs="Arial"/>
          <w:color w:val="1F1F1F"/>
        </w:rPr>
        <w:lastRenderedPageBreak/>
        <w:t xml:space="preserve">of high dollarization, all else the same, would be inclined to hedge more heavily against inflation and exchange rate risks because in such circumstances (of low domestic currency value) the cost of depreciation rises nonlinearly. In addition, high dollarization is associated with fear of future depreciation promoting DD even further in the </w:t>
      </w:r>
      <w:proofErr w:type="gramStart"/>
      <w:r>
        <w:rPr>
          <w:rFonts w:ascii="Georgia" w:hAnsi="Georgia" w:cs="Arial"/>
          <w:color w:val="1F1F1F"/>
        </w:rPr>
        <w:t>short-run</w:t>
      </w:r>
      <w:proofErr w:type="gramEnd"/>
      <w:r>
        <w:rPr>
          <w:rFonts w:ascii="Georgia" w:hAnsi="Georgia" w:cs="Arial"/>
          <w:color w:val="1F1F1F"/>
        </w:rPr>
        <w:t xml:space="preserve">. Furthermore, if a highly dollarized banking system coexists with a non-flexible exchange rate regime – a typical combination – pressure on the exchange rate can cause a “fear of floating” that will further boost DD as a way of preserving the value of monetary holdings. Such behavior, however, may not be observed </w:t>
      </w:r>
      <w:proofErr w:type="gramStart"/>
      <w:r>
        <w:rPr>
          <w:rFonts w:ascii="Georgia" w:hAnsi="Georgia" w:cs="Arial"/>
          <w:color w:val="1F1F1F"/>
        </w:rPr>
        <w:t>with regard to</w:t>
      </w:r>
      <w:proofErr w:type="gramEnd"/>
      <w:r>
        <w:rPr>
          <w:rFonts w:ascii="Georgia" w:hAnsi="Georgia" w:cs="Arial"/>
          <w:color w:val="1F1F1F"/>
        </w:rPr>
        <w:t xml:space="preserve"> LD of the banking system given that banks may have greater accessibility to foreign financial markets and instruments of diversifying currency risk in their asset portfolios compared to depositors. This, in turn, would reflect a similar marginal impact of a given depreciation on the changes in LD for both low- and high-dollarization situations. These hypotheses related to both sides of banks’ balance sheets are formally investigated in this paper.</w:t>
      </w:r>
    </w:p>
    <w:p w14:paraId="7628851C" w14:textId="77777777" w:rsidR="003632BE" w:rsidRDefault="003632BE" w:rsidP="003632BE">
      <w:pPr>
        <w:spacing w:line="390" w:lineRule="atLeast"/>
        <w:rPr>
          <w:rFonts w:ascii="Georgia" w:hAnsi="Georgia" w:cs="Arial"/>
          <w:color w:val="1F1F1F"/>
        </w:rPr>
      </w:pPr>
      <w:r>
        <w:rPr>
          <w:rFonts w:ascii="Georgia" w:hAnsi="Georgia" w:cs="Arial"/>
          <w:color w:val="1F1F1F"/>
        </w:rPr>
        <w:t xml:space="preserve">Our analysis complements and is most closely related to Honohan (2007) who examines the determinants of short-run fluctuations in deposit dollarization for a set of developing countries by paying particular attention to the effects of currency depreciation. He, however, ignores the examination of the short-run drivers of LD and avoids testing whether the effects of these factors differ in situations of high-dollarization. Accounting for these considerations allows us to provide new information about the short-run behavior of banks </w:t>
      </w:r>
      <w:proofErr w:type="gramStart"/>
      <w:r>
        <w:rPr>
          <w:rFonts w:ascii="Georgia" w:hAnsi="Georgia" w:cs="Arial"/>
          <w:color w:val="1F1F1F"/>
        </w:rPr>
        <w:t>and also</w:t>
      </w:r>
      <w:proofErr w:type="gramEnd"/>
      <w:r>
        <w:rPr>
          <w:rFonts w:ascii="Georgia" w:hAnsi="Georgia" w:cs="Arial"/>
          <w:color w:val="1F1F1F"/>
        </w:rPr>
        <w:t xml:space="preserve"> test the response of depositors and banks when dollarization rises. As Luca and Petrova, 2008, Basso et al., 2007, we limit our interest to transition economies as the circulation of foreign currency has been increasing in importance in these countries – over 1993–2006 foreign currency-denominated deposits averaged 40% and loans 48%.</w:t>
      </w:r>
    </w:p>
    <w:p w14:paraId="0B87766A" w14:textId="77777777" w:rsidR="003632BE" w:rsidRDefault="003632BE" w:rsidP="003632BE">
      <w:pPr>
        <w:spacing w:line="390" w:lineRule="atLeast"/>
        <w:rPr>
          <w:rFonts w:ascii="Georgia" w:hAnsi="Georgia" w:cs="Arial"/>
          <w:color w:val="1F1F1F"/>
        </w:rPr>
      </w:pPr>
      <w:r>
        <w:rPr>
          <w:rFonts w:ascii="Georgia" w:hAnsi="Georgia" w:cs="Arial"/>
          <w:color w:val="1F1F1F"/>
        </w:rPr>
        <w:t xml:space="preserve">The empirical evidence we obtain echoes our expectations not only as to the determinants of short-run DD and LD, but also as to the importance of distinguishing the effects between different levels of dollarization. First, the positive (negative) short-run effects of depreciation (monetary expansion) on deposit dollarization are exacerbated in countries with high deposit dollarization, while such a phenomenon is absent in the case of loan dollarization. Second, short-run loan dollarization is mainly driven by banks </w:t>
      </w:r>
      <w:proofErr w:type="gramStart"/>
      <w:r>
        <w:rPr>
          <w:rFonts w:ascii="Georgia" w:hAnsi="Georgia" w:cs="Arial"/>
          <w:color w:val="1F1F1F"/>
        </w:rPr>
        <w:t>matching of</w:t>
      </w:r>
      <w:proofErr w:type="gramEnd"/>
      <w:r>
        <w:rPr>
          <w:rFonts w:ascii="Georgia" w:hAnsi="Georgia" w:cs="Arial"/>
          <w:color w:val="1F1F1F"/>
        </w:rPr>
        <w:t xml:space="preserve"> domestic loans and deposits. This means that loan </w:t>
      </w:r>
      <w:r>
        <w:rPr>
          <w:rFonts w:ascii="Georgia" w:hAnsi="Georgia" w:cs="Arial"/>
          <w:color w:val="1F1F1F"/>
        </w:rPr>
        <w:lastRenderedPageBreak/>
        <w:t>dollarization is positively correlated with deposit dollarization. Third, short-run loan dollarization is also, but to a smaller extent, diminished by international financial integration and institutional quality, and finally, both short-run deposit and loan dollarization are affected by interest rate differentials and deviations from desired dollarization. These findings are robust to a wide range of sensitivity tests, including the use of alternative estimation techniques, regression specifications, instrumentation strategies, and measurement approaches.</w:t>
      </w:r>
    </w:p>
    <w:p w14:paraId="66D68211" w14:textId="77777777" w:rsidR="003632BE" w:rsidRDefault="003632BE" w:rsidP="003632BE">
      <w:pPr>
        <w:spacing w:line="390" w:lineRule="atLeast"/>
        <w:rPr>
          <w:rFonts w:ascii="Georgia" w:hAnsi="Georgia" w:cs="Arial"/>
          <w:color w:val="1F1F1F"/>
        </w:rPr>
      </w:pPr>
      <w:r>
        <w:rPr>
          <w:rFonts w:ascii="Georgia" w:hAnsi="Georgia" w:cs="Arial"/>
          <w:color w:val="1F1F1F"/>
        </w:rPr>
        <w:t>The remainder of the paper is organized as follows. Section 2 describes the estimation methodology and the data set. Section 3 presents the main findings of the analysis, while Section 4 reports on the results of extensive robustness tests. Finally, Section 5 concludes.</w:t>
      </w:r>
    </w:p>
    <w:p w14:paraId="4E48C3E8" w14:textId="77777777" w:rsidR="003632BE" w:rsidRDefault="003632BE" w:rsidP="003632BE">
      <w:pPr>
        <w:pStyle w:val="Heading2"/>
        <w:spacing w:before="0" w:after="0" w:line="480" w:lineRule="atLeast"/>
        <w:jc w:val="center"/>
        <w:rPr>
          <w:rFonts w:ascii="Arial" w:hAnsi="Arial" w:cs="Arial"/>
          <w:color w:val="1F1F1F"/>
        </w:rPr>
      </w:pPr>
      <w:r>
        <w:rPr>
          <w:rFonts w:ascii="Arial" w:hAnsi="Arial" w:cs="Arial"/>
          <w:b/>
          <w:bCs/>
          <w:color w:val="1F1F1F"/>
        </w:rPr>
        <w:t>Access through your organization</w:t>
      </w:r>
    </w:p>
    <w:p w14:paraId="58906D2D" w14:textId="77777777" w:rsidR="003632BE" w:rsidRDefault="003632BE" w:rsidP="003632BE">
      <w:pPr>
        <w:pStyle w:val="u-margin-s-bottom"/>
        <w:spacing w:before="0" w:beforeAutospacing="0" w:after="240" w:afterAutospacing="0"/>
        <w:jc w:val="center"/>
        <w:rPr>
          <w:rFonts w:ascii="Arial" w:hAnsi="Arial" w:cs="Arial"/>
          <w:color w:val="1F1F1F"/>
        </w:rPr>
      </w:pPr>
      <w:r>
        <w:rPr>
          <w:rFonts w:ascii="Arial" w:hAnsi="Arial" w:cs="Arial"/>
          <w:color w:val="1F1F1F"/>
        </w:rPr>
        <w:t>Check access to the full text by signing in through your organization.</w:t>
      </w:r>
    </w:p>
    <w:p w14:paraId="37B945A5" w14:textId="77777777" w:rsidR="003632BE" w:rsidRDefault="003632BE" w:rsidP="003632BE">
      <w:pPr>
        <w:pStyle w:val="Heading2"/>
        <w:spacing w:before="480" w:after="480" w:line="450" w:lineRule="atLeast"/>
        <w:rPr>
          <w:rFonts w:ascii="Georgia" w:hAnsi="Georgia" w:cs="Arial"/>
          <w:color w:val="1F1F1F"/>
          <w:sz w:val="30"/>
          <w:szCs w:val="30"/>
        </w:rPr>
      </w:pPr>
      <w:r>
        <w:rPr>
          <w:rFonts w:ascii="Georgia" w:hAnsi="Georgia" w:cs="Arial"/>
          <w:b/>
          <w:bCs/>
          <w:color w:val="1F1F1F"/>
          <w:sz w:val="30"/>
          <w:szCs w:val="30"/>
        </w:rPr>
        <w:t>Section snippets</w:t>
      </w:r>
    </w:p>
    <w:p w14:paraId="59B18CCD" w14:textId="77777777" w:rsidR="003632BE" w:rsidRDefault="003632BE" w:rsidP="003632BE">
      <w:pPr>
        <w:pStyle w:val="Heading2"/>
        <w:spacing w:before="240" w:after="240" w:line="450" w:lineRule="atLeast"/>
        <w:rPr>
          <w:rFonts w:ascii="Georgia" w:hAnsi="Georgia" w:cs="Arial"/>
          <w:b/>
          <w:bCs/>
          <w:color w:val="1F1F1F"/>
          <w:sz w:val="30"/>
          <w:szCs w:val="30"/>
        </w:rPr>
      </w:pPr>
      <w:r>
        <w:rPr>
          <w:rFonts w:ascii="Georgia" w:hAnsi="Georgia" w:cs="Arial"/>
          <w:b/>
          <w:bCs/>
          <w:color w:val="1F1F1F"/>
          <w:sz w:val="30"/>
          <w:szCs w:val="30"/>
        </w:rPr>
        <w:t>Methodology and data</w:t>
      </w:r>
    </w:p>
    <w:p w14:paraId="0B7387B7" w14:textId="77777777" w:rsidR="003632BE" w:rsidRDefault="003632BE" w:rsidP="003632BE">
      <w:pPr>
        <w:spacing w:line="390" w:lineRule="atLeast"/>
        <w:rPr>
          <w:rFonts w:ascii="Georgia" w:hAnsi="Georgia" w:cs="Arial"/>
          <w:color w:val="1F1F1F"/>
        </w:rPr>
      </w:pPr>
      <w:r>
        <w:rPr>
          <w:rFonts w:ascii="Georgia" w:hAnsi="Georgia" w:cs="Arial"/>
          <w:color w:val="1F1F1F"/>
        </w:rPr>
        <w:t>Our main objective is to examine the short-run determinants of FD in transition economies. We take a broad view by evaluating both sides of the financial intermediaries’ balance sheet, and, thereby, examine independently the determinants of both DD and LD.</w:t>
      </w:r>
    </w:p>
    <w:p w14:paraId="6A2A38E4" w14:textId="77777777" w:rsidR="003632BE" w:rsidRDefault="003632BE" w:rsidP="003632BE">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Empirical findings</w:t>
      </w:r>
    </w:p>
    <w:p w14:paraId="70D5729E" w14:textId="77777777" w:rsidR="003632BE" w:rsidRDefault="003632BE" w:rsidP="003632BE">
      <w:pPr>
        <w:spacing w:line="390" w:lineRule="atLeast"/>
        <w:rPr>
          <w:rFonts w:ascii="Georgia" w:hAnsi="Georgia" w:cs="Arial"/>
          <w:color w:val="1F1F1F"/>
        </w:rPr>
      </w:pPr>
      <w:r>
        <w:rPr>
          <w:rFonts w:ascii="Georgia" w:hAnsi="Georgia" w:cs="Arial"/>
          <w:color w:val="1F1F1F"/>
        </w:rPr>
        <w:t xml:space="preserve">We begin our investigation by estimating the benchmark and </w:t>
      </w:r>
      <w:proofErr w:type="gramStart"/>
      <w:r>
        <w:rPr>
          <w:rFonts w:ascii="Georgia" w:hAnsi="Georgia" w:cs="Arial"/>
          <w:color w:val="1F1F1F"/>
        </w:rPr>
        <w:t>extended</w:t>
      </w:r>
      <w:proofErr w:type="gramEnd"/>
      <w:r>
        <w:rPr>
          <w:rFonts w:ascii="Georgia" w:hAnsi="Georgia" w:cs="Arial"/>
          <w:color w:val="1F1F1F"/>
        </w:rPr>
        <w:t xml:space="preserve"> </w:t>
      </w:r>
      <w:proofErr w:type="spellStart"/>
      <w:r>
        <w:rPr>
          <w:rFonts w:ascii="Georgia" w:hAnsi="Georgia" w:cs="Arial"/>
          <w:color w:val="1F1F1F"/>
        </w:rPr>
        <w:t>Eqs</w:t>
      </w:r>
      <w:proofErr w:type="spellEnd"/>
      <w:r>
        <w:rPr>
          <w:rFonts w:ascii="Georgia" w:hAnsi="Georgia" w:cs="Arial"/>
          <w:color w:val="1F1F1F"/>
        </w:rPr>
        <w:t xml:space="preserve">. (1), (3) for the short-run determinants of DD with OLS, FE, RE, and FGLS using the set of control variables described above. We then follow a similar structure of estimations for </w:t>
      </w:r>
      <w:proofErr w:type="spellStart"/>
      <w:r>
        <w:rPr>
          <w:rFonts w:ascii="Georgia" w:hAnsi="Georgia" w:cs="Arial"/>
          <w:color w:val="1F1F1F"/>
        </w:rPr>
        <w:t>Eqs</w:t>
      </w:r>
      <w:proofErr w:type="spellEnd"/>
      <w:r>
        <w:rPr>
          <w:rFonts w:ascii="Georgia" w:hAnsi="Georgia" w:cs="Arial"/>
          <w:color w:val="1F1F1F"/>
        </w:rPr>
        <w:t>. (2), (4) to examine the short-run determinants of LD.</w:t>
      </w:r>
    </w:p>
    <w:p w14:paraId="479B17E6" w14:textId="77777777" w:rsidR="003632BE" w:rsidRDefault="003632BE" w:rsidP="003632BE">
      <w:pPr>
        <w:pStyle w:val="Heading2"/>
        <w:spacing w:before="240" w:after="240" w:line="450" w:lineRule="atLeast"/>
        <w:rPr>
          <w:rFonts w:ascii="Georgia" w:hAnsi="Georgia" w:cs="Arial"/>
          <w:color w:val="1F1F1F"/>
          <w:sz w:val="30"/>
          <w:szCs w:val="30"/>
        </w:rPr>
      </w:pPr>
      <w:proofErr w:type="gramStart"/>
      <w:r>
        <w:rPr>
          <w:rFonts w:ascii="Georgia" w:hAnsi="Georgia" w:cs="Arial"/>
          <w:b/>
          <w:bCs/>
          <w:color w:val="1F1F1F"/>
          <w:sz w:val="30"/>
          <w:szCs w:val="30"/>
        </w:rPr>
        <w:lastRenderedPageBreak/>
        <w:t>Robustness</w:t>
      </w:r>
      <w:proofErr w:type="gramEnd"/>
      <w:r>
        <w:rPr>
          <w:rFonts w:ascii="Georgia" w:hAnsi="Georgia" w:cs="Arial"/>
          <w:b/>
          <w:bCs/>
          <w:color w:val="1F1F1F"/>
          <w:sz w:val="30"/>
          <w:szCs w:val="30"/>
        </w:rPr>
        <w:t xml:space="preserve"> tests</w:t>
      </w:r>
    </w:p>
    <w:p w14:paraId="23F0C02D" w14:textId="77777777" w:rsidR="003632BE" w:rsidRDefault="003632BE" w:rsidP="003632BE">
      <w:pPr>
        <w:spacing w:line="390" w:lineRule="atLeast"/>
        <w:rPr>
          <w:rFonts w:ascii="Georgia" w:hAnsi="Georgia" w:cs="Arial"/>
          <w:color w:val="1F1F1F"/>
        </w:rPr>
      </w:pPr>
      <w:r>
        <w:rPr>
          <w:rFonts w:ascii="Georgia" w:hAnsi="Georgia" w:cs="Arial"/>
          <w:color w:val="1F1F1F"/>
        </w:rPr>
        <w:t xml:space="preserve">We examine the sensitivity of our results by conducting the following exercises. First, we consider the possible endogeneity of explanatory variables. Second, we modify the definitions of the high-dollarization dummy, the minimum variance portfolio, and the error-correction term. Third, we allow for a different sample period. Fourth, we </w:t>
      </w:r>
      <w:proofErr w:type="gramStart"/>
      <w:r>
        <w:rPr>
          <w:rFonts w:ascii="Georgia" w:hAnsi="Georgia" w:cs="Arial"/>
          <w:color w:val="1F1F1F"/>
        </w:rPr>
        <w:t>control for</w:t>
      </w:r>
      <w:proofErr w:type="gramEnd"/>
      <w:r>
        <w:rPr>
          <w:rFonts w:ascii="Georgia" w:hAnsi="Georgia" w:cs="Arial"/>
          <w:color w:val="1F1F1F"/>
        </w:rPr>
        <w:t xml:space="preserve"> additional right-hand-side variables, and, finally, briefly discuss some additional sensitivity checks.</w:t>
      </w:r>
    </w:p>
    <w:p w14:paraId="66094E38" w14:textId="77777777" w:rsidR="003632BE" w:rsidRDefault="003632BE" w:rsidP="003632BE">
      <w:pPr>
        <w:spacing w:line="390" w:lineRule="atLeast"/>
        <w:rPr>
          <w:rFonts w:ascii="Georgia" w:hAnsi="Georgia" w:cs="Arial"/>
          <w:color w:val="1F1F1F"/>
        </w:rPr>
      </w:pPr>
      <w:r>
        <w:rPr>
          <w:rFonts w:ascii="Georgia" w:hAnsi="Georgia" w:cs="Arial"/>
          <w:color w:val="1F1F1F"/>
        </w:rPr>
        <w:t>Our estimations have so far been based on the </w:t>
      </w:r>
    </w:p>
    <w:p w14:paraId="0E0AAC50" w14:textId="77777777" w:rsidR="003632BE" w:rsidRDefault="003632BE" w:rsidP="003632BE">
      <w:pPr>
        <w:pStyle w:val="Heading2"/>
        <w:spacing w:before="240" w:after="240" w:line="450" w:lineRule="atLeast"/>
        <w:rPr>
          <w:rFonts w:ascii="Georgia" w:hAnsi="Georgia" w:cs="Arial"/>
          <w:color w:val="1F1F1F"/>
          <w:sz w:val="30"/>
          <w:szCs w:val="30"/>
        </w:rPr>
      </w:pPr>
      <w:r>
        <w:rPr>
          <w:rFonts w:ascii="Georgia" w:hAnsi="Georgia" w:cs="Arial"/>
          <w:b/>
          <w:bCs/>
          <w:color w:val="1F1F1F"/>
          <w:sz w:val="30"/>
          <w:szCs w:val="30"/>
        </w:rPr>
        <w:t>Conclusions</w:t>
      </w:r>
    </w:p>
    <w:p w14:paraId="4A81371A" w14:textId="77777777" w:rsidR="003632BE" w:rsidRDefault="003632BE" w:rsidP="003632BE">
      <w:pPr>
        <w:spacing w:line="390" w:lineRule="atLeast"/>
        <w:rPr>
          <w:rFonts w:ascii="Georgia" w:hAnsi="Georgia" w:cs="Arial"/>
          <w:color w:val="1F1F1F"/>
        </w:rPr>
      </w:pPr>
      <w:r>
        <w:rPr>
          <w:rFonts w:ascii="Georgia" w:hAnsi="Georgia" w:cs="Arial"/>
          <w:color w:val="1F1F1F"/>
        </w:rPr>
        <w:t xml:space="preserve">Depositors and financial institutions in transition economies hold deposits and issue loans, respectively, in foreign currencies as a way of minimizing their portfolio risk as they shield themselves against exchange rate fluctuations and </w:t>
      </w:r>
      <w:proofErr w:type="gramStart"/>
      <w:r>
        <w:rPr>
          <w:rFonts w:ascii="Georgia" w:hAnsi="Georgia" w:cs="Arial"/>
          <w:color w:val="1F1F1F"/>
        </w:rPr>
        <w:t>seek for</w:t>
      </w:r>
      <w:proofErr w:type="gramEnd"/>
      <w:r>
        <w:rPr>
          <w:rFonts w:ascii="Georgia" w:hAnsi="Georgia" w:cs="Arial"/>
          <w:color w:val="1F1F1F"/>
        </w:rPr>
        <w:t xml:space="preserve"> the highest expected rates of asset return. The behavior of the two types of agents may be driven, however, by different forces as these are reflected by the different set of options available to them. To shed light on this issue, this paper examines</w:t>
      </w:r>
    </w:p>
    <w:p w14:paraId="5A2BC992" w14:textId="77777777" w:rsidR="003632BE" w:rsidRDefault="003632BE" w:rsidP="003632BE">
      <w:pPr>
        <w:pStyle w:val="Heading2"/>
        <w:spacing w:before="480" w:after="120" w:line="450" w:lineRule="atLeast"/>
        <w:rPr>
          <w:rFonts w:ascii="Georgia" w:hAnsi="Georgia" w:cs="Arial"/>
          <w:color w:val="1F1F1F"/>
          <w:sz w:val="30"/>
          <w:szCs w:val="30"/>
        </w:rPr>
      </w:pPr>
      <w:r>
        <w:rPr>
          <w:rFonts w:ascii="Georgia" w:hAnsi="Georgia" w:cs="Arial"/>
          <w:b/>
          <w:bCs/>
          <w:color w:val="1F1F1F"/>
          <w:sz w:val="30"/>
          <w:szCs w:val="30"/>
        </w:rPr>
        <w:t>Acknowledgements</w:t>
      </w:r>
    </w:p>
    <w:p w14:paraId="5CE0B9CF" w14:textId="77777777" w:rsidR="003632BE" w:rsidRDefault="003632BE" w:rsidP="003632BE">
      <w:pPr>
        <w:spacing w:line="390" w:lineRule="atLeast"/>
        <w:rPr>
          <w:rFonts w:ascii="Georgia" w:hAnsi="Georgia" w:cs="Arial"/>
          <w:color w:val="1F1F1F"/>
        </w:rPr>
      </w:pPr>
      <w:r>
        <w:rPr>
          <w:rFonts w:ascii="Georgia" w:hAnsi="Georgia" w:cs="Arial"/>
          <w:color w:val="1F1F1F"/>
        </w:rPr>
        <w:t>We are grateful to Pierre-Richard Agénor for helpful discussions and comments on a preliminary draft. As usual, we bear sole responsibility for the views expressed here.</w:t>
      </w:r>
    </w:p>
    <w:p w14:paraId="1865B284" w14:textId="77777777" w:rsidR="003632BE" w:rsidRPr="003632BE" w:rsidRDefault="003632BE" w:rsidP="003632BE">
      <w:r w:rsidRPr="003632BE">
        <w:t>Dollarization of bank deposits: Causes and consequences</w:t>
      </w:r>
      <w:hyperlink r:id="rId164" w:anchor="aep-article-footnote-id1" w:history="1">
        <w:r w:rsidRPr="003632BE">
          <w:rPr>
            <w:rStyle w:val="Hyperlink"/>
            <w:rFonts w:ascii="Segoe UI Symbol" w:hAnsi="Segoe UI Symbol" w:cs="Segoe UI Symbol"/>
          </w:rPr>
          <w:t>☆</w:t>
        </w:r>
      </w:hyperlink>
    </w:p>
    <w:p w14:paraId="107E3AB6" w14:textId="77777777" w:rsidR="003632BE" w:rsidRPr="003632BE" w:rsidRDefault="003632BE" w:rsidP="003632BE">
      <w:r w:rsidRPr="003632BE">
        <w:t xml:space="preserve">Author links open overlay </w:t>
      </w:r>
      <w:proofErr w:type="spellStart"/>
      <w:r w:rsidRPr="003632BE">
        <w:t>panelGianni</w:t>
      </w:r>
      <w:proofErr w:type="spellEnd"/>
      <w:r w:rsidRPr="003632BE">
        <w:t xml:space="preserve"> De Nicoló </w:t>
      </w:r>
      <w:r w:rsidRPr="003632BE">
        <w:rPr>
          <w:vertAlign w:val="superscript"/>
        </w:rPr>
        <w:t>a</w:t>
      </w:r>
      <w:r w:rsidRPr="003632BE">
        <w:t>, </w:t>
      </w:r>
      <w:bookmarkStart w:id="4" w:name="baep-author-id3-profile"/>
      <w:r w:rsidRPr="003632BE">
        <w:fldChar w:fldCharType="begin"/>
      </w:r>
      <w:r w:rsidRPr="003632BE">
        <w:instrText>HYPERLINK "https://www.sciencedirect.com/author/6701809726/patrick-honohan"</w:instrText>
      </w:r>
      <w:r w:rsidRPr="003632BE">
        <w:fldChar w:fldCharType="separate"/>
      </w:r>
      <w:r w:rsidRPr="003632BE">
        <w:rPr>
          <w:rStyle w:val="Hyperlink"/>
        </w:rPr>
        <w:t>Patrick Honohan </w:t>
      </w:r>
      <w:r w:rsidRPr="003632BE">
        <w:rPr>
          <w:rStyle w:val="Hyperlink"/>
          <w:vertAlign w:val="superscript"/>
        </w:rPr>
        <w:t>b</w:t>
      </w:r>
      <w:r w:rsidRPr="003632BE">
        <w:fldChar w:fldCharType="end"/>
      </w:r>
      <w:bookmarkEnd w:id="4"/>
      <w:r w:rsidRPr="003632BE">
        <w:t>, Alain Ize </w:t>
      </w:r>
      <w:r w:rsidRPr="003632BE">
        <w:rPr>
          <w:vertAlign w:val="superscript"/>
        </w:rPr>
        <w:t>a</w:t>
      </w:r>
    </w:p>
    <w:p w14:paraId="559F19E7" w14:textId="77777777" w:rsidR="003632BE" w:rsidRPr="003632BE" w:rsidRDefault="003632BE" w:rsidP="003632BE">
      <w:r w:rsidRPr="003632BE">
        <w:t>Show more</w:t>
      </w:r>
    </w:p>
    <w:p w14:paraId="53B19F30" w14:textId="77777777" w:rsidR="003632BE" w:rsidRPr="003632BE" w:rsidRDefault="003632BE" w:rsidP="003632BE">
      <w:r w:rsidRPr="003632BE">
        <w:t>Add to Mendeley</w:t>
      </w:r>
    </w:p>
    <w:p w14:paraId="6034E055" w14:textId="77777777" w:rsidR="003632BE" w:rsidRPr="003632BE" w:rsidRDefault="003632BE" w:rsidP="003632BE">
      <w:r w:rsidRPr="003632BE">
        <w:t>Share</w:t>
      </w:r>
    </w:p>
    <w:p w14:paraId="678F0C4C" w14:textId="77777777" w:rsidR="003632BE" w:rsidRPr="003632BE" w:rsidRDefault="003632BE" w:rsidP="003632BE">
      <w:r w:rsidRPr="003632BE">
        <w:t>Cite</w:t>
      </w:r>
    </w:p>
    <w:p w14:paraId="75D79D44" w14:textId="77777777" w:rsidR="003632BE" w:rsidRPr="003632BE" w:rsidRDefault="003632BE" w:rsidP="003632BE">
      <w:hyperlink r:id="rId165" w:tgtFrame="_blank" w:tooltip="Persistent link using digital object identifier" w:history="1">
        <w:r w:rsidRPr="003632BE">
          <w:rPr>
            <w:rStyle w:val="Hyperlink"/>
          </w:rPr>
          <w:t>https://doi.org/10.1016/j.jbankfin.2004.06.033</w:t>
        </w:r>
      </w:hyperlink>
      <w:hyperlink r:id="rId166" w:tgtFrame="_blank" w:history="1">
        <w:r w:rsidRPr="003632BE">
          <w:rPr>
            <w:rStyle w:val="Hyperlink"/>
          </w:rPr>
          <w:t>Get rights and content</w:t>
        </w:r>
      </w:hyperlink>
    </w:p>
    <w:p w14:paraId="6BB93BDA" w14:textId="77777777" w:rsidR="003632BE" w:rsidRPr="003632BE" w:rsidRDefault="003632BE" w:rsidP="003632BE">
      <w:pPr>
        <w:rPr>
          <w:lang w:val="en"/>
        </w:rPr>
      </w:pPr>
      <w:r w:rsidRPr="003632BE">
        <w:rPr>
          <w:lang w:val="en"/>
        </w:rPr>
        <w:t>Abstract</w:t>
      </w:r>
    </w:p>
    <w:p w14:paraId="3C3A07AB" w14:textId="77777777" w:rsidR="003632BE" w:rsidRPr="003632BE" w:rsidRDefault="003632BE" w:rsidP="003632BE">
      <w:pPr>
        <w:rPr>
          <w:lang w:val="en"/>
        </w:rPr>
      </w:pPr>
      <w:r w:rsidRPr="003632BE">
        <w:rPr>
          <w:lang w:val="en"/>
        </w:rPr>
        <w:lastRenderedPageBreak/>
        <w:t>This paper assesses the benefits and risks associated with dollarization of bank deposits. We provide novel empirical evidence on the determinants of deposit dollarization, its role in promoting financial development, and on whether dollarization is associated with financial instability. We find that: (a) the credibility of macroeconomic policy and the quality of institutions are both key determinants of cross-country variations in dollarization; (b) dollarization is likely to promote financial deepening only in a high </w:t>
      </w:r>
      <w:hyperlink r:id="rId167" w:history="1">
        <w:r w:rsidRPr="003632BE">
          <w:rPr>
            <w:rStyle w:val="Hyperlink"/>
            <w:lang w:val="en"/>
          </w:rPr>
          <w:t>inflation</w:t>
        </w:r>
      </w:hyperlink>
      <w:r w:rsidRPr="003632BE">
        <w:rPr>
          <w:lang w:val="en"/>
        </w:rPr>
        <w:t> environment; and (c) financial instability is likely higher in dollarized economies. The implications of these findings for financial sector and </w:t>
      </w:r>
      <w:hyperlink r:id="rId168" w:history="1">
        <w:r w:rsidRPr="003632BE">
          <w:rPr>
            <w:rStyle w:val="Hyperlink"/>
            <w:lang w:val="en"/>
          </w:rPr>
          <w:t>monetary policies</w:t>
        </w:r>
      </w:hyperlink>
      <w:r w:rsidRPr="003632BE">
        <w:rPr>
          <w:lang w:val="en"/>
        </w:rPr>
        <w:t> are briefly discussed.</w:t>
      </w:r>
    </w:p>
    <w:p w14:paraId="1944ED23" w14:textId="77777777" w:rsidR="003632BE" w:rsidRPr="003632BE" w:rsidRDefault="003632BE" w:rsidP="003632BE">
      <w:r w:rsidRPr="003632BE">
        <w:t>Introduction</w:t>
      </w:r>
    </w:p>
    <w:p w14:paraId="044A0C2B" w14:textId="77777777" w:rsidR="003632BE" w:rsidRPr="003632BE" w:rsidRDefault="003632BE" w:rsidP="003632BE">
      <w:r w:rsidRPr="003632BE">
        <w:t>Increasing awareness of the phenomenon of dollarization of bank deposits – as well as a general upward trend in the incidence and extent of this phenomenon – has presented policymakers with several puzzles. On the one hand they naturally fear loss of control or heightened risk, given the direct or indirect currency mismatches that could result from increased deposit dollarization. On the other hand, it may seem that deposit dollarization is simply an aspect of globalization, which cannot, or perhaps should not be tackled at the national level?</w:t>
      </w:r>
    </w:p>
    <w:p w14:paraId="27C186CB" w14:textId="77777777" w:rsidR="003632BE" w:rsidRPr="003632BE" w:rsidRDefault="003632BE" w:rsidP="003632BE">
      <w:r w:rsidRPr="003632BE">
        <w:t xml:space="preserve">This paper presents an empirical assessment of the three key questions that arise. First, what are the causes of deposit dollarization and </w:t>
      </w:r>
      <w:proofErr w:type="gramStart"/>
      <w:r w:rsidRPr="003632BE">
        <w:t>in particular are</w:t>
      </w:r>
      <w:proofErr w:type="gramEnd"/>
      <w:r w:rsidRPr="003632BE">
        <w:t xml:space="preserve"> any of them susceptible to policy action? Second, is the expansion of dollar deposits associated with deeper onshore financial systems, as depositors keep their money at home instead of placing it offshore? Third, is dollarization a source of banking risk?</w:t>
      </w:r>
    </w:p>
    <w:p w14:paraId="465CE3ED" w14:textId="77777777" w:rsidR="003632BE" w:rsidRPr="003632BE" w:rsidRDefault="003632BE" w:rsidP="003632BE">
      <w:r w:rsidRPr="003632BE">
        <w:t xml:space="preserve">Using a large sample of about one hundred economies, we provide clear empirical evidence on all three points. First, it is true that permitting deposit dollarization can support a deeper financial system, but only in inflationary economies. Second, absolute pessimism </w:t>
      </w:r>
      <w:proofErr w:type="gramStart"/>
      <w:r w:rsidRPr="003632BE">
        <w:t>with regard to</w:t>
      </w:r>
      <w:proofErr w:type="gramEnd"/>
      <w:r w:rsidRPr="003632BE">
        <w:t xml:space="preserve"> the degree to which such dollarization can be influenced by policy is not warranted: we show that policy does matter. Finally, we present evidence that intermediaries in dollarized financial systems seem prone to higher risk.</w:t>
      </w:r>
    </w:p>
    <w:p w14:paraId="74A0CE31" w14:textId="77777777" w:rsidR="003632BE" w:rsidRPr="003632BE" w:rsidRDefault="003632BE" w:rsidP="003632BE">
      <w:r w:rsidRPr="003632BE">
        <w:t xml:space="preserve">The empirical analysis begins with the determinants of deposit dollarization, building on the work of Ize and Levy </w:t>
      </w:r>
      <w:proofErr w:type="spellStart"/>
      <w:r w:rsidRPr="003632BE">
        <w:t>Yeyati</w:t>
      </w:r>
      <w:proofErr w:type="spellEnd"/>
      <w:r w:rsidRPr="003632BE">
        <w:t xml:space="preserve"> (2003), which showed that the share of dollars in the variance-minimizing portfolio depended on the stability of the real exchange rate and of the domestic price level and their correlation. Controlling for the impact of relevant regulations, we find that, in addition to macroeconomic policy, the institutional structure are both key determinants of cross-country variations in dollarization.</w:t>
      </w:r>
    </w:p>
    <w:p w14:paraId="5813187F" w14:textId="77777777" w:rsidR="003632BE" w:rsidRPr="003632BE" w:rsidRDefault="003632BE" w:rsidP="003632BE">
      <w:r w:rsidRPr="003632BE">
        <w:lastRenderedPageBreak/>
        <w:t xml:space="preserve">Turning to the consequences of deposit dollarization, we extend the work of Honohan and Shi (2003) to find that allowing de facto dollarization has in practice promoted a deeper domestic financial system, but only in inflationary </w:t>
      </w:r>
      <w:proofErr w:type="gramStart"/>
      <w:r w:rsidRPr="003632BE">
        <w:t>economies;</w:t>
      </w:r>
      <w:proofErr w:type="gramEnd"/>
      <w:r w:rsidRPr="003632BE">
        <w:t xml:space="preserve"> i.e., dollarization has the effect of moderating the adverse effect of inflation on financial depth.</w:t>
      </w:r>
    </w:p>
    <w:p w14:paraId="6F9FB326" w14:textId="77777777" w:rsidR="003632BE" w:rsidRPr="003632BE" w:rsidRDefault="003632BE" w:rsidP="003632BE">
      <w:r w:rsidRPr="003632BE">
        <w:t>The third empirical component addresses the contribution of deposit dollarization to risk in the banking system. Whether we measure this risk by the mean ratio of nonperforming loans, the volatility of deposits, or a proxy aggregate measure for a bank’s “distance-to-default”, we find that risk is heightened in dollarized economies.</w:t>
      </w:r>
    </w:p>
    <w:p w14:paraId="5CA8B20A" w14:textId="77777777" w:rsidR="003632BE" w:rsidRPr="003632BE" w:rsidRDefault="003632BE" w:rsidP="003632BE">
      <w:r w:rsidRPr="003632BE">
        <w:t xml:space="preserve">Taken together, these results point to a first-best policy of reducing dollarization’s attractions through improved macroeconomic and institutional policies. Central banks wishing to reverse or contain the growth of dollarization face the same challenge any producer of goods and services </w:t>
      </w:r>
      <w:proofErr w:type="gramStart"/>
      <w:r w:rsidRPr="003632BE">
        <w:t>faces:</w:t>
      </w:r>
      <w:proofErr w:type="gramEnd"/>
      <w:r w:rsidRPr="003632BE">
        <w:t xml:space="preserve"> only products whose quality is reliable will sell. The experience of the few countries that have succeeded in reversing (or at least containing) financial dollarization by means of credible monetary policies and sound institutional frameworks supports this view.</w:t>
      </w:r>
    </w:p>
    <w:p w14:paraId="4EC2FF93" w14:textId="77777777" w:rsidR="003632BE" w:rsidRPr="003632BE" w:rsidRDefault="003632BE" w:rsidP="003632BE">
      <w:r w:rsidRPr="003632BE">
        <w:t>Although there is a large and growing body of literature on related issues such as the contributory role of currency mismatches in balance sheets to banking crises (cf. Goldstein and Turner, 2002), currency boards and full (de jure) dollarization,</w:t>
      </w:r>
      <w:r w:rsidRPr="003632BE">
        <w:rPr>
          <w:vertAlign w:val="superscript"/>
        </w:rPr>
        <w:t>1</w:t>
      </w:r>
      <w:r w:rsidRPr="003632BE">
        <w:t> home bias effects in portfolio selection (cf. for example Tesar and Werner, 1994), and foreign borrowing, the focus on dollarization has been largely from the perspective of foreign investors. The empirical literature on domestic dollarization (i.e., from the viewpoint of domestic investors) has until very recently been comparatively sparse. Recent empirical papers include Arteta (2002), Arteta (2003), Luca and Petrova (2003) covering data from Eastern Europe; Barajas and Morales (2003) and Honig (2003) covering data for Latin America. Honohan and Shi (2003) cite earlier papers. Note that both Barajas and Morales and Luca and Petrova aim to explain liability dollarization, i.e. the assumption by nonbank residents of dollar liabilities: they take the deposit dollarization as an explanatory variable. As is noted below, Arteta (2002) and Honig (2003) address the first of our three questions; Arteta (2003) addresses the third.</w:t>
      </w:r>
    </w:p>
    <w:p w14:paraId="29D3915B" w14:textId="77777777" w:rsidR="003632BE" w:rsidRPr="003632BE" w:rsidRDefault="003632BE" w:rsidP="003632BE">
      <w:r w:rsidRPr="003632BE">
        <w:t>Three empirical sections follow: Section 2 deals with the determinants of deposit dollarization; Section 3 provides empirical evidence on the potential benefits of dollarization for financial development, and Section 4 addresses the risks. Section 5 concludes by briefly evoking some of the potential policy implications of our results.</w:t>
      </w:r>
    </w:p>
    <w:p w14:paraId="347C1990" w14:textId="77777777" w:rsidR="003632BE" w:rsidRPr="003632BE" w:rsidRDefault="003632BE" w:rsidP="003632BE">
      <w:r w:rsidRPr="003632BE">
        <w:t>Access through your organization</w:t>
      </w:r>
    </w:p>
    <w:p w14:paraId="17ED8A6C" w14:textId="77777777" w:rsidR="003632BE" w:rsidRPr="003632BE" w:rsidRDefault="003632BE" w:rsidP="003632BE">
      <w:r w:rsidRPr="003632BE">
        <w:t>Check access to the full text by signing in through your organization.</w:t>
      </w:r>
    </w:p>
    <w:p w14:paraId="0EE4144C" w14:textId="77777777" w:rsidR="003632BE" w:rsidRPr="003632BE" w:rsidRDefault="003632BE" w:rsidP="003632BE">
      <w:r w:rsidRPr="003632BE">
        <w:lastRenderedPageBreak/>
        <w:t>Section snippets</w:t>
      </w:r>
    </w:p>
    <w:p w14:paraId="5EEB70E3" w14:textId="77777777" w:rsidR="003632BE" w:rsidRPr="003632BE" w:rsidRDefault="003632BE" w:rsidP="003632BE">
      <w:r w:rsidRPr="003632BE">
        <w:t>What causes domestic dollarization?</w:t>
      </w:r>
    </w:p>
    <w:p w14:paraId="0956A709" w14:textId="77777777" w:rsidR="003632BE" w:rsidRPr="003632BE" w:rsidRDefault="003632BE" w:rsidP="003632BE">
      <w:r w:rsidRPr="003632BE">
        <w:t>The aspect of domestic financial dollarization being examined in this paper is deposit dollarization measured as the ratio of onshore foreign currency deposits to total onshore bank deposits.</w:t>
      </w:r>
    </w:p>
    <w:p w14:paraId="5C52AD54" w14:textId="77777777" w:rsidR="003632BE" w:rsidRPr="003632BE" w:rsidRDefault="003632BE" w:rsidP="003632BE">
      <w:r w:rsidRPr="003632BE">
        <w:t>Has dollarization promoted financial deepening?</w:t>
      </w:r>
    </w:p>
    <w:p w14:paraId="6AD05E08" w14:textId="77777777" w:rsidR="003632BE" w:rsidRPr="003632BE" w:rsidRDefault="003632BE" w:rsidP="003632BE">
      <w:r w:rsidRPr="003632BE">
        <w:t>No study has so far attempted to assess directly the impact of dollarization on financial deepening, nor are we aware of any formal theoretical analysis.</w:t>
      </w:r>
      <w:r w:rsidRPr="003632BE">
        <w:rPr>
          <w:vertAlign w:val="superscript"/>
        </w:rPr>
        <w:t>12</w:t>
      </w:r>
      <w:r w:rsidRPr="003632BE">
        <w:t> Intuitively, it seems that allowing dollarization should help keep more of financial intermediation onshore, by offering depositors an inflationary hedge. After all, the empirical evidence that inflation damages monetary depth </w:t>
      </w:r>
    </w:p>
    <w:p w14:paraId="56B45609" w14:textId="77777777" w:rsidR="003632BE" w:rsidRPr="003632BE" w:rsidRDefault="003632BE" w:rsidP="003632BE">
      <w:r w:rsidRPr="003632BE">
        <w:t>Are dollarized financial systems inherently fragile?</w:t>
      </w:r>
    </w:p>
    <w:p w14:paraId="5F557E4B" w14:textId="77777777" w:rsidR="003632BE" w:rsidRPr="003632BE" w:rsidRDefault="003632BE" w:rsidP="003632BE">
      <w:r w:rsidRPr="003632BE">
        <w:t>Financially dollarized systems have been conspicuous among recent high-profile financial crises. The Mexican 1982 “</w:t>
      </w:r>
      <w:proofErr w:type="spellStart"/>
      <w:r w:rsidRPr="003632BE">
        <w:t>mex</w:t>
      </w:r>
      <w:proofErr w:type="spellEnd"/>
      <w:r w:rsidRPr="003632BE">
        <w:t>-dollar” crisis was an early illustration of such events.</w:t>
      </w:r>
    </w:p>
    <w:p w14:paraId="6DDAFA14" w14:textId="77777777" w:rsidR="003632BE" w:rsidRPr="003632BE" w:rsidRDefault="003632BE" w:rsidP="003632BE">
      <w:r w:rsidRPr="003632BE">
        <w:t>Concluding remarks</w:t>
      </w:r>
    </w:p>
    <w:p w14:paraId="04B8D49E" w14:textId="77777777" w:rsidR="003632BE" w:rsidRPr="003632BE" w:rsidRDefault="003632BE" w:rsidP="003632BE">
      <w:r w:rsidRPr="003632BE">
        <w:t xml:space="preserve">Whether financial authorities like it or not, foreign-currency-denominated deposits represent an alternative liquid asset that is to some </w:t>
      </w:r>
      <w:proofErr w:type="gramStart"/>
      <w:r w:rsidRPr="003632BE">
        <w:t>degree everywhere</w:t>
      </w:r>
      <w:proofErr w:type="gramEnd"/>
      <w:r w:rsidRPr="003632BE">
        <w:t xml:space="preserve"> attractive to investors and bound to acquire increased relevance with globalization. Some countries have outlawed the holding of foreign currency deposits in onshore </w:t>
      </w:r>
      <w:proofErr w:type="gramStart"/>
      <w:r w:rsidRPr="003632BE">
        <w:t>banks</w:t>
      </w:r>
      <w:proofErr w:type="gramEnd"/>
      <w:r w:rsidRPr="003632BE">
        <w:t xml:space="preserve"> granting local currency an effective monopoly, at least for onshore finance. Such a strategy is especially unattractive for a country unable to deliver macroeconomic</w:t>
      </w:r>
    </w:p>
    <w:p w14:paraId="0CCBEC8C" w14:textId="77777777" w:rsidR="003632BE" w:rsidRPr="003632BE" w:rsidRDefault="003632BE" w:rsidP="003632BE">
      <w:r w:rsidRPr="003632BE">
        <w:t>Cross-sectional determinants of bank performance under deposit dollarization in emerging markets</w:t>
      </w:r>
    </w:p>
    <w:p w14:paraId="063E7355" w14:textId="77777777" w:rsidR="003632BE" w:rsidRPr="003632BE" w:rsidRDefault="003632BE" w:rsidP="003632BE">
      <w:r w:rsidRPr="003632BE">
        <w:t xml:space="preserve">Author links open overlay </w:t>
      </w:r>
      <w:proofErr w:type="spellStart"/>
      <w:r w:rsidRPr="003632BE">
        <w:t>panel</w:t>
      </w:r>
      <w:bookmarkStart w:id="5" w:name="baep-author-id1-profile"/>
      <w:r w:rsidRPr="003632BE">
        <w:fldChar w:fldCharType="begin"/>
      </w:r>
      <w:r w:rsidRPr="003632BE">
        <w:instrText>HYPERLINK "https://www.sciencedirect.com/author/6603729640/ali-m-kutan"</w:instrText>
      </w:r>
      <w:r w:rsidRPr="003632BE">
        <w:fldChar w:fldCharType="separate"/>
      </w:r>
      <w:r w:rsidRPr="003632BE">
        <w:rPr>
          <w:rStyle w:val="Hyperlink"/>
        </w:rPr>
        <w:t>Ali</w:t>
      </w:r>
      <w:proofErr w:type="spellEnd"/>
      <w:r w:rsidRPr="003632BE">
        <w:rPr>
          <w:rStyle w:val="Hyperlink"/>
        </w:rPr>
        <w:t xml:space="preserve"> M. </w:t>
      </w:r>
      <w:proofErr w:type="spellStart"/>
      <w:r w:rsidRPr="003632BE">
        <w:rPr>
          <w:rStyle w:val="Hyperlink"/>
        </w:rPr>
        <w:t>Kutan</w:t>
      </w:r>
      <w:proofErr w:type="spellEnd"/>
      <w:r w:rsidRPr="003632BE">
        <w:rPr>
          <w:rStyle w:val="Hyperlink"/>
        </w:rPr>
        <w:t> </w:t>
      </w:r>
      <w:r w:rsidRPr="003632BE">
        <w:rPr>
          <w:rStyle w:val="Hyperlink"/>
          <w:vertAlign w:val="superscript"/>
        </w:rPr>
        <w:t>a</w:t>
      </w:r>
      <w:r w:rsidRPr="003632BE">
        <w:fldChar w:fldCharType="end"/>
      </w:r>
      <w:bookmarkEnd w:id="5"/>
      <w:r w:rsidRPr="003632BE">
        <w:t>, Emre </w:t>
      </w:r>
      <w:proofErr w:type="spellStart"/>
      <w:r w:rsidRPr="003632BE">
        <w:t>Ozsoz</w:t>
      </w:r>
      <w:proofErr w:type="spellEnd"/>
      <w:r w:rsidRPr="003632BE">
        <w:t> </w:t>
      </w:r>
      <w:r w:rsidRPr="003632BE">
        <w:rPr>
          <w:vertAlign w:val="superscript"/>
        </w:rPr>
        <w:t>b</w:t>
      </w:r>
      <w:r w:rsidRPr="003632BE">
        <w:t>, Erick W. Rengifo </w:t>
      </w:r>
      <w:r w:rsidRPr="003632BE">
        <w:rPr>
          <w:vertAlign w:val="superscript"/>
        </w:rPr>
        <w:t>b</w:t>
      </w:r>
    </w:p>
    <w:p w14:paraId="24DB2766" w14:textId="77777777" w:rsidR="003632BE" w:rsidRPr="003632BE" w:rsidRDefault="003632BE" w:rsidP="003632BE">
      <w:r w:rsidRPr="003632BE">
        <w:t>Show more</w:t>
      </w:r>
    </w:p>
    <w:p w14:paraId="06832B48" w14:textId="77777777" w:rsidR="003632BE" w:rsidRPr="003632BE" w:rsidRDefault="003632BE" w:rsidP="003632BE">
      <w:r w:rsidRPr="003632BE">
        <w:t>Add to Mendeley</w:t>
      </w:r>
    </w:p>
    <w:p w14:paraId="7120179C" w14:textId="77777777" w:rsidR="003632BE" w:rsidRPr="003632BE" w:rsidRDefault="003632BE" w:rsidP="003632BE">
      <w:r w:rsidRPr="003632BE">
        <w:t>Share</w:t>
      </w:r>
    </w:p>
    <w:p w14:paraId="7736AD2F" w14:textId="77777777" w:rsidR="003632BE" w:rsidRPr="003632BE" w:rsidRDefault="003632BE" w:rsidP="003632BE">
      <w:r w:rsidRPr="003632BE">
        <w:t>Cite</w:t>
      </w:r>
    </w:p>
    <w:p w14:paraId="079EEB79" w14:textId="77777777" w:rsidR="003632BE" w:rsidRPr="003632BE" w:rsidRDefault="003632BE" w:rsidP="003632BE">
      <w:hyperlink r:id="rId169" w:tgtFrame="_blank" w:tooltip="Persistent link using digital object identifier" w:history="1">
        <w:r w:rsidRPr="003632BE">
          <w:rPr>
            <w:rStyle w:val="Hyperlink"/>
          </w:rPr>
          <w:t>https://doi.org/10.1016/j.ememar.2012.07.003</w:t>
        </w:r>
      </w:hyperlink>
      <w:hyperlink r:id="rId170" w:tgtFrame="_blank" w:history="1">
        <w:r w:rsidRPr="003632BE">
          <w:rPr>
            <w:rStyle w:val="Hyperlink"/>
          </w:rPr>
          <w:t>Get rights and content</w:t>
        </w:r>
      </w:hyperlink>
    </w:p>
    <w:p w14:paraId="76BC3D1F" w14:textId="77777777" w:rsidR="003632BE" w:rsidRPr="003632BE" w:rsidRDefault="003632BE" w:rsidP="003632BE">
      <w:r w:rsidRPr="003632BE">
        <w:t>Abstract</w:t>
      </w:r>
    </w:p>
    <w:p w14:paraId="2E81C8FF" w14:textId="77777777" w:rsidR="003632BE" w:rsidRPr="003632BE" w:rsidRDefault="003632BE" w:rsidP="003632BE">
      <w:r w:rsidRPr="003632BE">
        <w:lastRenderedPageBreak/>
        <w:t>Dollar-denominated deposits and loans could increase </w:t>
      </w:r>
      <w:hyperlink r:id="rId171" w:history="1">
        <w:r w:rsidRPr="003632BE">
          <w:rPr>
            <w:rStyle w:val="Hyperlink"/>
          </w:rPr>
          <w:t>financial fragility</w:t>
        </w:r>
      </w:hyperlink>
      <w:r w:rsidRPr="003632BE">
        <w:t> in emerging market banking systems. This currency mismatch does not only increase banks' </w:t>
      </w:r>
      <w:hyperlink r:id="rId172" w:history="1">
        <w:r w:rsidRPr="003632BE">
          <w:rPr>
            <w:rStyle w:val="Hyperlink"/>
          </w:rPr>
          <w:t>currency risk</w:t>
        </w:r>
      </w:hyperlink>
      <w:r w:rsidRPr="003632BE">
        <w:t> when the proportion of dollar-denominated loans with respect to local-denominated loans increases but also it increases their clients' default risk if depreciation occurs. This paper investigates the profitability of 36 dollarized banking systems. Results suggest that after controlling for some </w:t>
      </w:r>
      <w:hyperlink r:id="rId173" w:history="1">
        <w:r w:rsidRPr="003632BE">
          <w:rPr>
            <w:rStyle w:val="Hyperlink"/>
          </w:rPr>
          <w:t>macroeconomic</w:t>
        </w:r>
      </w:hyperlink>
      <w:r w:rsidRPr="003632BE">
        <w:t> and institutional variables, dollarization, as the currency mismatch hypothesis suggests, depresses </w:t>
      </w:r>
      <w:hyperlink r:id="rId174" w:history="1">
        <w:r w:rsidRPr="003632BE">
          <w:rPr>
            <w:rStyle w:val="Hyperlink"/>
          </w:rPr>
          <w:t>bank performance</w:t>
        </w:r>
      </w:hyperlink>
      <w:r w:rsidRPr="003632BE">
        <w:t> and lowers </w:t>
      </w:r>
      <w:hyperlink r:id="rId175" w:history="1">
        <w:r w:rsidRPr="003632BE">
          <w:rPr>
            <w:rStyle w:val="Hyperlink"/>
          </w:rPr>
          <w:t>bank profitability</w:t>
        </w:r>
      </w:hyperlink>
      <w:r w:rsidRPr="003632BE">
        <w:t>. Results also show that the effect of institutions more than offsets the negative impact of dollarization on banks' profitability.</w:t>
      </w:r>
    </w:p>
    <w:p w14:paraId="4408A67E" w14:textId="77777777" w:rsidR="003632BE" w:rsidRPr="003632BE" w:rsidRDefault="003632BE" w:rsidP="003632BE">
      <w:r w:rsidRPr="003632BE">
        <w:t>Introduction</w:t>
      </w:r>
    </w:p>
    <w:p w14:paraId="1AE81108" w14:textId="77777777" w:rsidR="003632BE" w:rsidRPr="003632BE" w:rsidRDefault="003632BE" w:rsidP="003632BE">
      <w:r w:rsidRPr="003632BE">
        <w:t xml:space="preserve">Banks serve as financial intermediaries accepting commercial and individual deposits (savings) and transferring them in the form of loans. Access to money from a centralized organization (the banks) increases efficiency and reduces transaction costs. Moreover, having a </w:t>
      </w:r>
      <w:proofErr w:type="spellStart"/>
      <w:proofErr w:type="gramStart"/>
      <w:r w:rsidRPr="003632BE">
        <w:t>well developed</w:t>
      </w:r>
      <w:proofErr w:type="spellEnd"/>
      <w:proofErr w:type="gramEnd"/>
      <w:r w:rsidRPr="003632BE">
        <w:t xml:space="preserve"> banking system allows for competition that impacts interest rates and has an undoubtedly positive effect on investment activities that generate growth in the economy. </w:t>
      </w:r>
      <w:proofErr w:type="gramStart"/>
      <w:r w:rsidRPr="003632BE">
        <w:t>Additionally</w:t>
      </w:r>
      <w:proofErr w:type="gramEnd"/>
      <w:r w:rsidRPr="003632BE">
        <w:t xml:space="preserve"> current literature has stressed the importance of banking systems, in particular, bank performance and profitability in contributing to economic development (Levine, 1997).</w:t>
      </w:r>
    </w:p>
    <w:p w14:paraId="53E230E7" w14:textId="77777777" w:rsidR="003632BE" w:rsidRPr="003632BE" w:rsidRDefault="003632BE" w:rsidP="003632BE">
      <w:r w:rsidRPr="003632BE">
        <w:t xml:space="preserve">Bank performance is determined by </w:t>
      </w:r>
      <w:proofErr w:type="gramStart"/>
      <w:r w:rsidRPr="003632BE">
        <w:t>the adequate</w:t>
      </w:r>
      <w:proofErr w:type="gramEnd"/>
      <w:r w:rsidRPr="003632BE">
        <w:t xml:space="preserve"> management of the relationship between risk and profitability. In this paper, we are interested in the risks related to the dollarization of liabilities in the banking system. Our aim is to explore the way in which </w:t>
      </w:r>
      <w:proofErr w:type="gramStart"/>
      <w:r w:rsidRPr="003632BE">
        <w:t>this variable influences</w:t>
      </w:r>
      <w:proofErr w:type="gramEnd"/>
      <w:r w:rsidRPr="003632BE">
        <w:t xml:space="preserve"> bank profitability.</w:t>
      </w:r>
    </w:p>
    <w:p w14:paraId="277AF552" w14:textId="77777777" w:rsidR="003632BE" w:rsidRPr="003632BE" w:rsidRDefault="003632BE" w:rsidP="003632BE">
      <w:r w:rsidRPr="003632BE">
        <w:t xml:space="preserve">As mentioned earlier, bank profitability is a basic condition not only for the development of the banking systems and their stability but also for economic growth. However, the understanding </w:t>
      </w:r>
      <w:proofErr w:type="gramStart"/>
      <w:r w:rsidRPr="003632BE">
        <w:t>on</w:t>
      </w:r>
      <w:proofErr w:type="gramEnd"/>
      <w:r w:rsidRPr="003632BE">
        <w:t xml:space="preserve"> drivers of bank profitability in dollarized economies</w:t>
      </w:r>
      <w:r w:rsidRPr="003632BE">
        <w:rPr>
          <w:vertAlign w:val="superscript"/>
        </w:rPr>
        <w:t>1</w:t>
      </w:r>
      <w:r w:rsidRPr="003632BE">
        <w:t> has not been covered in detail in the literature. In particular, the evaluation of bank performance in emerging market economies with high dollar-denominated deposits should recognize the effect of these deposits on their overall performance. In this paper we aim to contribute to the literature by incorporating the effect of deposit dollarization into the existing models on bank performance evaluation using a relatively large sample of emerging market economies.</w:t>
      </w:r>
    </w:p>
    <w:p w14:paraId="332217BE" w14:textId="77777777" w:rsidR="003632BE" w:rsidRPr="003632BE" w:rsidRDefault="003632BE" w:rsidP="003632BE">
      <w:r w:rsidRPr="003632BE">
        <w:t>The main goal in this paper is to study the way in which financial dollarization, also known as asset substitution,</w:t>
      </w:r>
      <w:r w:rsidRPr="003632BE">
        <w:rPr>
          <w:vertAlign w:val="superscript"/>
        </w:rPr>
        <w:t>2</w:t>
      </w:r>
      <w:r w:rsidRPr="003632BE">
        <w:t xml:space="preserve"> affects bank profitability. We analyze the impact of dollar-denominated deposits </w:t>
      </w:r>
      <w:proofErr w:type="gramStart"/>
      <w:r w:rsidRPr="003632BE">
        <w:t>in</w:t>
      </w:r>
      <w:proofErr w:type="gramEnd"/>
      <w:r w:rsidRPr="003632BE">
        <w:t xml:space="preserve"> the banking system on the profitability of commercial banks. We measure dollarization by the ratio of foreign currency deposits in the system to the overall </w:t>
      </w:r>
      <w:r w:rsidRPr="003632BE">
        <w:lastRenderedPageBreak/>
        <w:t>money supply in the economy, i.e., we use the level of foreign currency deposits in a country's banking system to the M2 money base.</w:t>
      </w:r>
      <w:r w:rsidRPr="003632BE">
        <w:rPr>
          <w:vertAlign w:val="superscript"/>
        </w:rPr>
        <w:t>3</w:t>
      </w:r>
    </w:p>
    <w:p w14:paraId="3DF59C68" w14:textId="77777777" w:rsidR="003632BE" w:rsidRPr="003632BE" w:rsidRDefault="003632BE" w:rsidP="003632BE">
      <w:r w:rsidRPr="003632BE">
        <w:t>In order to isolate the effects of deposit dollarization on bank profitability, we use several macroeconomic (changes in GDP and inflation), financial (the interest rate spread, and the ratio of loan-loss-provisions to loans and the ratio of equity to total asset</w:t>
      </w:r>
      <w:r w:rsidRPr="003632BE">
        <w:rPr>
          <w:rFonts w:ascii="Cambria Math" w:hAnsi="Cambria Math" w:cs="Cambria Math"/>
        </w:rPr>
        <w:t>‐</w:t>
      </w:r>
      <w:r w:rsidRPr="003632BE">
        <w:t>proxies for credit and capital risk) and institutional variables (government efficiency, political stability, regulatory quality, rule of law, voice and quality).</w:t>
      </w:r>
    </w:p>
    <w:p w14:paraId="127E0718" w14:textId="77777777" w:rsidR="003632BE" w:rsidRPr="003632BE" w:rsidRDefault="003632BE" w:rsidP="003632BE">
      <w:r w:rsidRPr="003632BE">
        <w:t xml:space="preserve">Using data from 36 dollarized countries we show that, as expected, interest rate </w:t>
      </w:r>
      <w:proofErr w:type="gramStart"/>
      <w:r w:rsidRPr="003632BE">
        <w:t>spreads</w:t>
      </w:r>
      <w:proofErr w:type="gramEnd"/>
      <w:r w:rsidRPr="003632BE">
        <w:t xml:space="preserve"> have a positive and significant effect on bank profitability. However, the magnitude of these effects is smaller than those of other explanatory variables. This is also true with the effect of GDP on bank profitability.</w:t>
      </w:r>
    </w:p>
    <w:p w14:paraId="07E2D7DF" w14:textId="77777777" w:rsidR="003632BE" w:rsidRPr="003632BE" w:rsidRDefault="003632BE" w:rsidP="003632BE">
      <w:r w:rsidRPr="003632BE">
        <w:t xml:space="preserve">Under different econometric specifications and after controlling for the effect of macroeconomic, financial and institutional variables, we find that dollarization of deposits </w:t>
      </w:r>
      <w:proofErr w:type="gramStart"/>
      <w:r w:rsidRPr="003632BE">
        <w:t>exert</w:t>
      </w:r>
      <w:proofErr w:type="gramEnd"/>
      <w:r w:rsidRPr="003632BE">
        <w:t xml:space="preserve"> a negative and statistically significant impact on bank profitability with a one-period lag meaning that dollarization of the banking system has a pervasive effect on bank profitability. There are two possible explanations for this last result: First, bank managers in dollarized economies consider the previous period's dollarization ratios in determining current period holdings of cash and other assets, i.e. liquidity and asset management. This explanation also confirms the findings of De Nicolo et al. (2005) who showed that financial instability is higher in dollarized </w:t>
      </w:r>
      <w:proofErr w:type="gramStart"/>
      <w:r w:rsidRPr="003632BE">
        <w:t>economies</w:t>
      </w:r>
      <w:proofErr w:type="gramEnd"/>
      <w:r w:rsidRPr="003632BE">
        <w:t xml:space="preserve"> meaning that banks will consider their positions in foreign currency to construct their forecasted financial statements that will serve their liquidity and loan positions. This explanation also goes in hand with the findings of Rengifo et al. (2010) who demonstrate that deposit dollarization consistently and significantly exerts a negative impact on financial deepening, even in countries with moderate inflationary processes. In the context of this paper, this implies that during periods of high dollarization banks restrict credit to the private sector (decreasing the financial depth of the economy) preferring to hold more liquid positions or to fund less-risky projects (due to expected increasing financial instability in the future), which decreases their profitability.</w:t>
      </w:r>
    </w:p>
    <w:p w14:paraId="248049AD" w14:textId="77777777" w:rsidR="003632BE" w:rsidRPr="003632BE" w:rsidRDefault="003632BE" w:rsidP="003632BE">
      <w:r w:rsidRPr="003632BE">
        <w:t>Second, as Currency Mismatch literature suggests there is a transfer from exchange risk into default risk in dollarized banking systems</w:t>
      </w:r>
      <w:r w:rsidRPr="003632BE">
        <w:rPr>
          <w:vertAlign w:val="superscript"/>
        </w:rPr>
        <w:t>4</w:t>
      </w:r>
      <w:r w:rsidRPr="003632BE">
        <w:t xml:space="preserve"> i.e. as banks increase their lending in foreign currency to compensate for increases in foreign currency deposits, they increase credit default risk. Thus, observing previous </w:t>
      </w:r>
      <w:proofErr w:type="gramStart"/>
      <w:r w:rsidRPr="003632BE">
        <w:t>year</w:t>
      </w:r>
      <w:proofErr w:type="gramEnd"/>
      <w:r w:rsidRPr="003632BE">
        <w:t xml:space="preserve"> dollarization in their accounts, bankers would likely increase reserves for possible loan losses </w:t>
      </w:r>
      <w:proofErr w:type="gramStart"/>
      <w:r w:rsidRPr="003632BE">
        <w:t>next-year</w:t>
      </w:r>
      <w:proofErr w:type="gramEnd"/>
      <w:r w:rsidRPr="003632BE">
        <w:t xml:space="preserve"> which could potentially reduce their profitability.</w:t>
      </w:r>
    </w:p>
    <w:p w14:paraId="68972625" w14:textId="77777777" w:rsidR="003632BE" w:rsidRPr="003632BE" w:rsidRDefault="003632BE" w:rsidP="003632BE">
      <w:r w:rsidRPr="003632BE">
        <w:lastRenderedPageBreak/>
        <w:t xml:space="preserve">Finally, it is important to note that having strong institutions appears to have a significant, positive and stronger effect on bank profitability than the macroeconomic and dollarization variables mentioned </w:t>
      </w:r>
      <w:proofErr w:type="gramStart"/>
      <w:r w:rsidRPr="003632BE">
        <w:t>before</w:t>
      </w:r>
      <w:proofErr w:type="gramEnd"/>
      <w:r w:rsidRPr="003632BE">
        <w:t>.</w:t>
      </w:r>
      <w:r w:rsidRPr="003632BE">
        <w:rPr>
          <w:vertAlign w:val="superscript"/>
        </w:rPr>
        <w:t>5</w:t>
      </w:r>
    </w:p>
    <w:p w14:paraId="099F5168" w14:textId="77777777" w:rsidR="003632BE" w:rsidRPr="003632BE" w:rsidRDefault="003632BE" w:rsidP="003632BE">
      <w:r w:rsidRPr="003632BE">
        <w:t xml:space="preserve">The remainder of this paper is organized as follows. Section 2 presents a brief literature review on previous studies about dollarization and bank profitability; Section 3 describes the methodology and the data used in this paper. Section 4 presents the results </w:t>
      </w:r>
      <w:proofErr w:type="gramStart"/>
      <w:r w:rsidRPr="003632BE">
        <w:t>and,</w:t>
      </w:r>
      <w:proofErr w:type="gramEnd"/>
      <w:r w:rsidRPr="003632BE">
        <w:t xml:space="preserve"> Section 5 concludes and presents future areas of research.</w:t>
      </w:r>
    </w:p>
    <w:p w14:paraId="4002AED7" w14:textId="77777777" w:rsidR="003632BE" w:rsidRPr="003632BE" w:rsidRDefault="003632BE" w:rsidP="003632BE">
      <w:r w:rsidRPr="003632BE">
        <w:t>Access through your organization</w:t>
      </w:r>
    </w:p>
    <w:p w14:paraId="41FA4074" w14:textId="77777777" w:rsidR="003632BE" w:rsidRPr="003632BE" w:rsidRDefault="003632BE" w:rsidP="003632BE">
      <w:r w:rsidRPr="003632BE">
        <w:t>Check access to the full text by signing in through your organization.</w:t>
      </w:r>
    </w:p>
    <w:p w14:paraId="38876D85" w14:textId="77777777" w:rsidR="003632BE" w:rsidRPr="003632BE" w:rsidRDefault="003632BE" w:rsidP="003632BE">
      <w:r w:rsidRPr="003632BE">
        <w:t>Section snippets</w:t>
      </w:r>
    </w:p>
    <w:p w14:paraId="3E8156D1" w14:textId="77777777" w:rsidR="003632BE" w:rsidRPr="003632BE" w:rsidRDefault="003632BE" w:rsidP="003632BE">
      <w:r w:rsidRPr="003632BE">
        <w:t>Literature review</w:t>
      </w:r>
    </w:p>
    <w:p w14:paraId="02EC5F0E" w14:textId="77777777" w:rsidR="003632BE" w:rsidRPr="003632BE" w:rsidRDefault="003632BE" w:rsidP="003632BE">
      <w:r w:rsidRPr="003632BE">
        <w:t xml:space="preserve">Banks operating in economies where part of their deposits are denominated in dollars face </w:t>
      </w:r>
      <w:proofErr w:type="gramStart"/>
      <w:r w:rsidRPr="003632BE">
        <w:t>particular challenges</w:t>
      </w:r>
      <w:proofErr w:type="gramEnd"/>
      <w:r w:rsidRPr="003632BE">
        <w:t>: they face what is known in the literature as currency mismatch risk. A good number of studies have focused on this type of risk to explain some of the recent financial crises (i.e. Goldstein and Turner, 2004). Proponents of this hypothesis</w:t>
      </w:r>
      <w:r w:rsidRPr="003632BE">
        <w:rPr>
          <w:vertAlign w:val="superscript"/>
        </w:rPr>
        <w:t>6</w:t>
      </w:r>
      <w:r w:rsidRPr="003632BE">
        <w:t> argue that the existence of foreign currency denominated or indexed deposit accounts in a</w:t>
      </w:r>
    </w:p>
    <w:p w14:paraId="4107485E" w14:textId="77777777" w:rsidR="003632BE" w:rsidRPr="003632BE" w:rsidRDefault="003632BE" w:rsidP="003632BE">
      <w:r w:rsidRPr="003632BE">
        <w:t>Methodology and data</w:t>
      </w:r>
    </w:p>
    <w:p w14:paraId="4F702567" w14:textId="77777777" w:rsidR="003632BE" w:rsidRPr="003632BE" w:rsidRDefault="003632BE" w:rsidP="003632BE">
      <w:r w:rsidRPr="003632BE">
        <w:t xml:space="preserve">Our empirical model constructs on the works of Berger (1995), </w:t>
      </w:r>
      <w:proofErr w:type="spellStart"/>
      <w:r w:rsidRPr="003632BE">
        <w:t>Demirguc</w:t>
      </w:r>
      <w:proofErr w:type="spellEnd"/>
      <w:r w:rsidRPr="003632BE">
        <w:t xml:space="preserve">-Kunt and Huizinga (1999), Quispe-Agnoli and Whistler (2006) and </w:t>
      </w:r>
      <w:proofErr w:type="spellStart"/>
      <w:r w:rsidRPr="003632BE">
        <w:t>Athanasoglou</w:t>
      </w:r>
      <w:proofErr w:type="spellEnd"/>
      <w:r w:rsidRPr="003632BE">
        <w:t xml:space="preserve"> et al. (2008). We measure bank performance mainly from the perspective of profitability rather than from a cost efficiency perspective. As illustrated by Olson and </w:t>
      </w:r>
      <w:proofErr w:type="spellStart"/>
      <w:r w:rsidRPr="003632BE">
        <w:t>Zoubi</w:t>
      </w:r>
      <w:proofErr w:type="spellEnd"/>
      <w:r w:rsidRPr="003632BE">
        <w:t xml:space="preserve"> (2011) for emerging market </w:t>
      </w:r>
      <w:proofErr w:type="gramStart"/>
      <w:r w:rsidRPr="003632BE">
        <w:t>banks</w:t>
      </w:r>
      <w:proofErr w:type="gramEnd"/>
      <w:r w:rsidRPr="003632BE">
        <w:t xml:space="preserve"> cost efficiency has little impact on profitability and profit efficiency.</w:t>
      </w:r>
      <w:r w:rsidRPr="003632BE">
        <w:rPr>
          <w:vertAlign w:val="superscript"/>
        </w:rPr>
        <w:t>12</w:t>
      </w:r>
    </w:p>
    <w:p w14:paraId="1C57B670" w14:textId="77777777" w:rsidR="003632BE" w:rsidRPr="003632BE" w:rsidRDefault="003632BE" w:rsidP="003632BE">
      <w:r w:rsidRPr="003632BE">
        <w:t>Estimation results</w:t>
      </w:r>
    </w:p>
    <w:p w14:paraId="6BFEAE3E" w14:textId="77777777" w:rsidR="003632BE" w:rsidRPr="003632BE" w:rsidRDefault="003632BE" w:rsidP="003632BE">
      <w:r w:rsidRPr="003632BE">
        <w:t xml:space="preserve">In this section we present the way in which we analyze the data using </w:t>
      </w:r>
      <w:proofErr w:type="spellStart"/>
      <w:r w:rsidRPr="003632BE">
        <w:t>Eqs</w:t>
      </w:r>
      <w:proofErr w:type="spellEnd"/>
      <w:r w:rsidRPr="003632BE">
        <w:t xml:space="preserve">. (1), (2). </w:t>
      </w:r>
      <w:proofErr w:type="gramStart"/>
      <w:r w:rsidRPr="003632BE">
        <w:t>First of all</w:t>
      </w:r>
      <w:proofErr w:type="gramEnd"/>
      <w:r w:rsidRPr="003632BE">
        <w:t xml:space="preserve"> we checked for the stationarity of the data using a unit root test for unbalanced panels (Fisher test). The results show that the null of non-stationarity is rejected at 5 % for </w:t>
      </w:r>
      <w:proofErr w:type="gramStart"/>
      <w:r w:rsidRPr="003632BE">
        <w:t>all the</w:t>
      </w:r>
      <w:proofErr w:type="gramEnd"/>
      <w:r w:rsidRPr="003632BE">
        <w:t xml:space="preserve"> variables. Secondly, for the static model as presented in Eq. (1), we use the Hausmann test to test the validity of the Fixed Effects model. The </w:t>
      </w:r>
      <w:r w:rsidRPr="003632BE">
        <w:rPr>
          <w:i/>
          <w:iCs/>
        </w:rPr>
        <w:t>χ</w:t>
      </w:r>
      <w:r w:rsidRPr="003632BE">
        <w:rPr>
          <w:vertAlign w:val="superscript"/>
        </w:rPr>
        <w:t>2</w:t>
      </w:r>
      <w:r w:rsidRPr="003632BE">
        <w:t>(8) = 142.29 and the </w:t>
      </w:r>
      <w:r w:rsidRPr="003632BE">
        <w:rPr>
          <w:i/>
          <w:iCs/>
        </w:rPr>
        <w:t>p</w:t>
      </w:r>
      <w:r w:rsidRPr="003632BE">
        <w:t> = 0.00 showed that the differences in the</w:t>
      </w:r>
    </w:p>
    <w:p w14:paraId="246F6C46" w14:textId="77777777" w:rsidR="003632BE" w:rsidRPr="003632BE" w:rsidRDefault="003632BE" w:rsidP="003632BE">
      <w:r w:rsidRPr="003632BE">
        <w:t>Conclusion</w:t>
      </w:r>
    </w:p>
    <w:p w14:paraId="619974B2" w14:textId="77777777" w:rsidR="003632BE" w:rsidRPr="003632BE" w:rsidRDefault="003632BE" w:rsidP="003632BE">
      <w:r w:rsidRPr="003632BE">
        <w:t xml:space="preserve">Financial institutions in dollarized economies accept foreign currency deposits and usually make loans in foreign currencies </w:t>
      </w:r>
      <w:proofErr w:type="gramStart"/>
      <w:r w:rsidRPr="003632BE">
        <w:t>in an attempt to</w:t>
      </w:r>
      <w:proofErr w:type="gramEnd"/>
      <w:r w:rsidRPr="003632BE">
        <w:t xml:space="preserve"> protect themselves from the exchange </w:t>
      </w:r>
      <w:r w:rsidRPr="003632BE">
        <w:lastRenderedPageBreak/>
        <w:t xml:space="preserve">rate risk they are exposed to. This practice however does not provide a hedge against exchange rate fluctuations; it only </w:t>
      </w:r>
      <w:proofErr w:type="gramStart"/>
      <w:r w:rsidRPr="003632BE">
        <w:t>substitutes</w:t>
      </w:r>
      <w:proofErr w:type="gramEnd"/>
      <w:r w:rsidRPr="003632BE">
        <w:t xml:space="preserve"> loan default risk in place of exchange rate </w:t>
      </w:r>
      <w:proofErr w:type="gramStart"/>
      <w:r w:rsidRPr="003632BE">
        <w:t>risk</w:t>
      </w:r>
      <w:proofErr w:type="gramEnd"/>
      <w:r w:rsidRPr="003632BE">
        <w:t xml:space="preserve"> leaving banks still vulnerable to fluctuations in the value of foreign currency. Moving from this assumption, we have set out to study</w:t>
      </w:r>
    </w:p>
    <w:p w14:paraId="571EC481" w14:textId="77777777" w:rsidR="003632BE" w:rsidRPr="003632BE" w:rsidRDefault="003632BE" w:rsidP="003632BE">
      <w:r w:rsidRPr="003632BE">
        <w:t>Acknowledgments</w:t>
      </w:r>
    </w:p>
    <w:p w14:paraId="52655BA9" w14:textId="77777777" w:rsidR="003632BE" w:rsidRPr="003632BE" w:rsidRDefault="003632BE" w:rsidP="003632BE">
      <w:r w:rsidRPr="003632BE">
        <w:t xml:space="preserve">The authors would like to thank the anonymous referee as well as Adam Honig of Amherst College, </w:t>
      </w:r>
      <w:proofErr w:type="spellStart"/>
      <w:r w:rsidRPr="003632BE">
        <w:t>Uluc</w:t>
      </w:r>
      <w:proofErr w:type="spellEnd"/>
      <w:r w:rsidRPr="003632BE">
        <w:t xml:space="preserve"> Aysun of University of Connecticut, Ahmet Faruk Aysan of </w:t>
      </w:r>
      <w:proofErr w:type="spellStart"/>
      <w:r w:rsidRPr="003632BE">
        <w:t>Bogazici</w:t>
      </w:r>
      <w:proofErr w:type="spellEnd"/>
      <w:r w:rsidRPr="003632BE">
        <w:t xml:space="preserve"> University and Dominick Salvatore of Fordham University as well as participants of the 2010 </w:t>
      </w:r>
      <w:proofErr w:type="spellStart"/>
      <w:r w:rsidRPr="003632BE">
        <w:t>Euroconference</w:t>
      </w:r>
      <w:proofErr w:type="spellEnd"/>
      <w:r w:rsidRPr="003632BE">
        <w:t xml:space="preserve"> organized by the Society for the Study of Emerging Markets for their valuable comments and for the help in the writing of this paper.</w:t>
      </w:r>
    </w:p>
    <w:p w14:paraId="262229A5" w14:textId="77777777" w:rsidR="00C23DDF" w:rsidRDefault="00C23DDF"/>
    <w:sectPr w:rsidR="00C23D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980"/>
    <w:multiLevelType w:val="multilevel"/>
    <w:tmpl w:val="D09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4595C"/>
    <w:multiLevelType w:val="multilevel"/>
    <w:tmpl w:val="F448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B710B"/>
    <w:multiLevelType w:val="multilevel"/>
    <w:tmpl w:val="2222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C5171"/>
    <w:multiLevelType w:val="multilevel"/>
    <w:tmpl w:val="2FD6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84FA0"/>
    <w:multiLevelType w:val="multilevel"/>
    <w:tmpl w:val="FE8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75225"/>
    <w:multiLevelType w:val="multilevel"/>
    <w:tmpl w:val="24FC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AD09B8"/>
    <w:multiLevelType w:val="multilevel"/>
    <w:tmpl w:val="2438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42A47"/>
    <w:multiLevelType w:val="multilevel"/>
    <w:tmpl w:val="2C5E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866565">
    <w:abstractNumId w:val="0"/>
  </w:num>
  <w:num w:numId="2" w16cid:durableId="838351912">
    <w:abstractNumId w:val="5"/>
  </w:num>
  <w:num w:numId="3" w16cid:durableId="18363926">
    <w:abstractNumId w:val="3"/>
  </w:num>
  <w:num w:numId="4" w16cid:durableId="1462729832">
    <w:abstractNumId w:val="4"/>
  </w:num>
  <w:num w:numId="5" w16cid:durableId="602542057">
    <w:abstractNumId w:val="7"/>
    <w:lvlOverride w:ilvl="0">
      <w:startOverride w:val="1"/>
    </w:lvlOverride>
  </w:num>
  <w:num w:numId="6" w16cid:durableId="1641881864">
    <w:abstractNumId w:val="7"/>
    <w:lvlOverride w:ilvl="0">
      <w:startOverride w:val="2"/>
    </w:lvlOverride>
  </w:num>
  <w:num w:numId="7" w16cid:durableId="604113331">
    <w:abstractNumId w:val="7"/>
    <w:lvlOverride w:ilvl="0">
      <w:startOverride w:val="3"/>
    </w:lvlOverride>
  </w:num>
  <w:num w:numId="8" w16cid:durableId="7997539">
    <w:abstractNumId w:val="7"/>
    <w:lvlOverride w:ilvl="0">
      <w:startOverride w:val="4"/>
    </w:lvlOverride>
  </w:num>
  <w:num w:numId="9" w16cid:durableId="1855261132">
    <w:abstractNumId w:val="7"/>
    <w:lvlOverride w:ilvl="0">
      <w:startOverride w:val="5"/>
    </w:lvlOverride>
  </w:num>
  <w:num w:numId="10" w16cid:durableId="2104253631">
    <w:abstractNumId w:val="7"/>
    <w:lvlOverride w:ilvl="0">
      <w:startOverride w:val="6"/>
    </w:lvlOverride>
  </w:num>
  <w:num w:numId="11" w16cid:durableId="718238534">
    <w:abstractNumId w:val="7"/>
    <w:lvlOverride w:ilvl="0">
      <w:startOverride w:val="7"/>
    </w:lvlOverride>
  </w:num>
  <w:num w:numId="12" w16cid:durableId="25717989">
    <w:abstractNumId w:val="7"/>
    <w:lvlOverride w:ilvl="0">
      <w:startOverride w:val="8"/>
    </w:lvlOverride>
  </w:num>
  <w:num w:numId="13" w16cid:durableId="1998729370">
    <w:abstractNumId w:val="7"/>
    <w:lvlOverride w:ilvl="0">
      <w:startOverride w:val="9"/>
    </w:lvlOverride>
  </w:num>
  <w:num w:numId="14" w16cid:durableId="583146205">
    <w:abstractNumId w:val="7"/>
    <w:lvlOverride w:ilvl="0">
      <w:startOverride w:val="10"/>
    </w:lvlOverride>
  </w:num>
  <w:num w:numId="15" w16cid:durableId="1483035449">
    <w:abstractNumId w:val="7"/>
    <w:lvlOverride w:ilvl="0">
      <w:startOverride w:val="11"/>
    </w:lvlOverride>
  </w:num>
  <w:num w:numId="16" w16cid:durableId="1330139590">
    <w:abstractNumId w:val="7"/>
    <w:lvlOverride w:ilvl="0">
      <w:startOverride w:val="12"/>
    </w:lvlOverride>
  </w:num>
  <w:num w:numId="17" w16cid:durableId="324164954">
    <w:abstractNumId w:val="7"/>
    <w:lvlOverride w:ilvl="0">
      <w:startOverride w:val="13"/>
    </w:lvlOverride>
  </w:num>
  <w:num w:numId="18" w16cid:durableId="1250192712">
    <w:abstractNumId w:val="7"/>
    <w:lvlOverride w:ilvl="0">
      <w:startOverride w:val="14"/>
    </w:lvlOverride>
  </w:num>
  <w:num w:numId="19" w16cid:durableId="231892760">
    <w:abstractNumId w:val="7"/>
    <w:lvlOverride w:ilvl="0">
      <w:startOverride w:val="15"/>
    </w:lvlOverride>
  </w:num>
  <w:num w:numId="20" w16cid:durableId="733544875">
    <w:abstractNumId w:val="7"/>
    <w:lvlOverride w:ilvl="0">
      <w:startOverride w:val="16"/>
    </w:lvlOverride>
  </w:num>
  <w:num w:numId="21" w16cid:durableId="1848983920">
    <w:abstractNumId w:val="7"/>
    <w:lvlOverride w:ilvl="0">
      <w:startOverride w:val="17"/>
    </w:lvlOverride>
  </w:num>
  <w:num w:numId="22" w16cid:durableId="1168398066">
    <w:abstractNumId w:val="7"/>
    <w:lvlOverride w:ilvl="0">
      <w:startOverride w:val="18"/>
    </w:lvlOverride>
  </w:num>
  <w:num w:numId="23" w16cid:durableId="406079976">
    <w:abstractNumId w:val="7"/>
    <w:lvlOverride w:ilvl="0">
      <w:startOverride w:val="19"/>
    </w:lvlOverride>
  </w:num>
  <w:num w:numId="24" w16cid:durableId="1781677163">
    <w:abstractNumId w:val="7"/>
    <w:lvlOverride w:ilvl="0">
      <w:startOverride w:val="20"/>
    </w:lvlOverride>
  </w:num>
  <w:num w:numId="25" w16cid:durableId="463541677">
    <w:abstractNumId w:val="7"/>
    <w:lvlOverride w:ilvl="0">
      <w:startOverride w:val="21"/>
    </w:lvlOverride>
  </w:num>
  <w:num w:numId="26" w16cid:durableId="197596671">
    <w:abstractNumId w:val="7"/>
    <w:lvlOverride w:ilvl="0">
      <w:startOverride w:val="22"/>
    </w:lvlOverride>
  </w:num>
  <w:num w:numId="27" w16cid:durableId="1151674713">
    <w:abstractNumId w:val="7"/>
    <w:lvlOverride w:ilvl="0">
      <w:startOverride w:val="23"/>
    </w:lvlOverride>
  </w:num>
  <w:num w:numId="28" w16cid:durableId="1866406044">
    <w:abstractNumId w:val="7"/>
    <w:lvlOverride w:ilvl="0">
      <w:startOverride w:val="24"/>
    </w:lvlOverride>
  </w:num>
  <w:num w:numId="29" w16cid:durableId="1168445408">
    <w:abstractNumId w:val="7"/>
    <w:lvlOverride w:ilvl="0">
      <w:startOverride w:val="25"/>
    </w:lvlOverride>
  </w:num>
  <w:num w:numId="30" w16cid:durableId="589123549">
    <w:abstractNumId w:val="7"/>
    <w:lvlOverride w:ilvl="0">
      <w:startOverride w:val="26"/>
    </w:lvlOverride>
  </w:num>
  <w:num w:numId="31" w16cid:durableId="1819764284">
    <w:abstractNumId w:val="7"/>
    <w:lvlOverride w:ilvl="0">
      <w:startOverride w:val="27"/>
    </w:lvlOverride>
  </w:num>
  <w:num w:numId="32" w16cid:durableId="282230574">
    <w:abstractNumId w:val="7"/>
    <w:lvlOverride w:ilvl="0">
      <w:startOverride w:val="28"/>
    </w:lvlOverride>
  </w:num>
  <w:num w:numId="33" w16cid:durableId="684672003">
    <w:abstractNumId w:val="7"/>
    <w:lvlOverride w:ilvl="0">
      <w:startOverride w:val="29"/>
    </w:lvlOverride>
  </w:num>
  <w:num w:numId="34" w16cid:durableId="1421414362">
    <w:abstractNumId w:val="7"/>
    <w:lvlOverride w:ilvl="0">
      <w:startOverride w:val="30"/>
    </w:lvlOverride>
  </w:num>
  <w:num w:numId="35" w16cid:durableId="1477995059">
    <w:abstractNumId w:val="7"/>
    <w:lvlOverride w:ilvl="0">
      <w:startOverride w:val="31"/>
    </w:lvlOverride>
  </w:num>
  <w:num w:numId="36" w16cid:durableId="729502506">
    <w:abstractNumId w:val="7"/>
    <w:lvlOverride w:ilvl="0">
      <w:startOverride w:val="32"/>
    </w:lvlOverride>
  </w:num>
  <w:num w:numId="37" w16cid:durableId="2035686473">
    <w:abstractNumId w:val="7"/>
    <w:lvlOverride w:ilvl="0">
      <w:startOverride w:val="33"/>
    </w:lvlOverride>
  </w:num>
  <w:num w:numId="38" w16cid:durableId="1943799837">
    <w:abstractNumId w:val="7"/>
    <w:lvlOverride w:ilvl="0">
      <w:startOverride w:val="34"/>
    </w:lvlOverride>
  </w:num>
  <w:num w:numId="39" w16cid:durableId="571745276">
    <w:abstractNumId w:val="7"/>
    <w:lvlOverride w:ilvl="0">
      <w:startOverride w:val="35"/>
    </w:lvlOverride>
  </w:num>
  <w:num w:numId="40" w16cid:durableId="1976057937">
    <w:abstractNumId w:val="7"/>
    <w:lvlOverride w:ilvl="0">
      <w:startOverride w:val="36"/>
    </w:lvlOverride>
  </w:num>
  <w:num w:numId="41" w16cid:durableId="1363362148">
    <w:abstractNumId w:val="7"/>
    <w:lvlOverride w:ilvl="0">
      <w:startOverride w:val="37"/>
    </w:lvlOverride>
  </w:num>
  <w:num w:numId="42" w16cid:durableId="44066820">
    <w:abstractNumId w:val="7"/>
    <w:lvlOverride w:ilvl="0">
      <w:startOverride w:val="38"/>
    </w:lvlOverride>
  </w:num>
  <w:num w:numId="43" w16cid:durableId="1059864839">
    <w:abstractNumId w:val="7"/>
    <w:lvlOverride w:ilvl="0">
      <w:startOverride w:val="39"/>
    </w:lvlOverride>
  </w:num>
  <w:num w:numId="44" w16cid:durableId="1375541869">
    <w:abstractNumId w:val="7"/>
    <w:lvlOverride w:ilvl="0">
      <w:startOverride w:val="40"/>
    </w:lvlOverride>
  </w:num>
  <w:num w:numId="45" w16cid:durableId="942492487">
    <w:abstractNumId w:val="7"/>
    <w:lvlOverride w:ilvl="0">
      <w:startOverride w:val="41"/>
    </w:lvlOverride>
  </w:num>
  <w:num w:numId="46" w16cid:durableId="1848859458">
    <w:abstractNumId w:val="7"/>
    <w:lvlOverride w:ilvl="0">
      <w:startOverride w:val="42"/>
    </w:lvlOverride>
  </w:num>
  <w:num w:numId="47" w16cid:durableId="1883252306">
    <w:abstractNumId w:val="7"/>
    <w:lvlOverride w:ilvl="0">
      <w:startOverride w:val="43"/>
    </w:lvlOverride>
  </w:num>
  <w:num w:numId="48" w16cid:durableId="178858913">
    <w:abstractNumId w:val="7"/>
    <w:lvlOverride w:ilvl="0">
      <w:startOverride w:val="44"/>
    </w:lvlOverride>
  </w:num>
  <w:num w:numId="49" w16cid:durableId="1994792034">
    <w:abstractNumId w:val="6"/>
  </w:num>
  <w:num w:numId="50" w16cid:durableId="130055958">
    <w:abstractNumId w:val="1"/>
  </w:num>
  <w:num w:numId="51" w16cid:durableId="1043676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7F3"/>
    <w:rsid w:val="00021B28"/>
    <w:rsid w:val="000D7A99"/>
    <w:rsid w:val="00173758"/>
    <w:rsid w:val="003052D0"/>
    <w:rsid w:val="003632BE"/>
    <w:rsid w:val="00866BEE"/>
    <w:rsid w:val="00A447F3"/>
    <w:rsid w:val="00B02320"/>
    <w:rsid w:val="00B14C16"/>
    <w:rsid w:val="00C23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D90088-6A1E-441A-857A-4E5520DAC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4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4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4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4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7F3"/>
    <w:rPr>
      <w:rFonts w:eastAsiaTheme="majorEastAsia" w:cstheme="majorBidi"/>
      <w:color w:val="272727" w:themeColor="text1" w:themeTint="D8"/>
    </w:rPr>
  </w:style>
  <w:style w:type="paragraph" w:styleId="Title">
    <w:name w:val="Title"/>
    <w:basedOn w:val="Normal"/>
    <w:next w:val="Normal"/>
    <w:link w:val="TitleChar"/>
    <w:uiPriority w:val="10"/>
    <w:qFormat/>
    <w:rsid w:val="00A44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7F3"/>
    <w:pPr>
      <w:spacing w:before="160"/>
      <w:jc w:val="center"/>
    </w:pPr>
    <w:rPr>
      <w:i/>
      <w:iCs/>
      <w:color w:val="404040" w:themeColor="text1" w:themeTint="BF"/>
    </w:rPr>
  </w:style>
  <w:style w:type="character" w:customStyle="1" w:styleId="QuoteChar">
    <w:name w:val="Quote Char"/>
    <w:basedOn w:val="DefaultParagraphFont"/>
    <w:link w:val="Quote"/>
    <w:uiPriority w:val="29"/>
    <w:rsid w:val="00A447F3"/>
    <w:rPr>
      <w:i/>
      <w:iCs/>
      <w:color w:val="404040" w:themeColor="text1" w:themeTint="BF"/>
    </w:rPr>
  </w:style>
  <w:style w:type="paragraph" w:styleId="ListParagraph">
    <w:name w:val="List Paragraph"/>
    <w:basedOn w:val="Normal"/>
    <w:uiPriority w:val="34"/>
    <w:qFormat/>
    <w:rsid w:val="00A447F3"/>
    <w:pPr>
      <w:ind w:left="720"/>
      <w:contextualSpacing/>
    </w:pPr>
  </w:style>
  <w:style w:type="character" w:styleId="IntenseEmphasis">
    <w:name w:val="Intense Emphasis"/>
    <w:basedOn w:val="DefaultParagraphFont"/>
    <w:uiPriority w:val="21"/>
    <w:qFormat/>
    <w:rsid w:val="00A447F3"/>
    <w:rPr>
      <w:i/>
      <w:iCs/>
      <w:color w:val="0F4761" w:themeColor="accent1" w:themeShade="BF"/>
    </w:rPr>
  </w:style>
  <w:style w:type="paragraph" w:styleId="IntenseQuote">
    <w:name w:val="Intense Quote"/>
    <w:basedOn w:val="Normal"/>
    <w:next w:val="Normal"/>
    <w:link w:val="IntenseQuoteChar"/>
    <w:uiPriority w:val="30"/>
    <w:qFormat/>
    <w:rsid w:val="00A44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7F3"/>
    <w:rPr>
      <w:i/>
      <w:iCs/>
      <w:color w:val="0F4761" w:themeColor="accent1" w:themeShade="BF"/>
    </w:rPr>
  </w:style>
  <w:style w:type="character" w:styleId="IntenseReference">
    <w:name w:val="Intense Reference"/>
    <w:basedOn w:val="DefaultParagraphFont"/>
    <w:uiPriority w:val="32"/>
    <w:qFormat/>
    <w:rsid w:val="00A447F3"/>
    <w:rPr>
      <w:b/>
      <w:bCs/>
      <w:smallCaps/>
      <w:color w:val="0F4761" w:themeColor="accent1" w:themeShade="BF"/>
      <w:spacing w:val="5"/>
    </w:rPr>
  </w:style>
  <w:style w:type="character" w:styleId="Hyperlink">
    <w:name w:val="Hyperlink"/>
    <w:basedOn w:val="DefaultParagraphFont"/>
    <w:uiPriority w:val="99"/>
    <w:unhideWhenUsed/>
    <w:rsid w:val="00B02320"/>
    <w:rPr>
      <w:color w:val="467886" w:themeColor="hyperlink"/>
      <w:u w:val="single"/>
    </w:rPr>
  </w:style>
  <w:style w:type="character" w:styleId="UnresolvedMention">
    <w:name w:val="Unresolved Mention"/>
    <w:basedOn w:val="DefaultParagraphFont"/>
    <w:uiPriority w:val="99"/>
    <w:semiHidden/>
    <w:unhideWhenUsed/>
    <w:rsid w:val="00B02320"/>
    <w:rPr>
      <w:color w:val="605E5C"/>
      <w:shd w:val="clear" w:color="auto" w:fill="E1DFDD"/>
    </w:rPr>
  </w:style>
  <w:style w:type="paragraph" w:customStyle="1" w:styleId="msonormal0">
    <w:name w:val="msonormal"/>
    <w:basedOn w:val="Normal"/>
    <w:rsid w:val="003632B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tle0">
    <w:name w:val="title"/>
    <w:basedOn w:val="DefaultParagraphFont"/>
    <w:rsid w:val="003632BE"/>
  </w:style>
  <w:style w:type="character" w:customStyle="1" w:styleId="subtitle0">
    <w:name w:val="subtitle"/>
    <w:basedOn w:val="DefaultParagraphFont"/>
    <w:rsid w:val="003632BE"/>
  </w:style>
  <w:style w:type="character" w:styleId="FollowedHyperlink">
    <w:name w:val="FollowedHyperlink"/>
    <w:basedOn w:val="DefaultParagraphFont"/>
    <w:uiPriority w:val="99"/>
    <w:semiHidden/>
    <w:unhideWhenUsed/>
    <w:rsid w:val="003632BE"/>
    <w:rPr>
      <w:color w:val="800080"/>
      <w:u w:val="single"/>
    </w:rPr>
  </w:style>
  <w:style w:type="character" w:customStyle="1" w:styleId="givenname">
    <w:name w:val="givenname"/>
    <w:basedOn w:val="DefaultParagraphFont"/>
    <w:rsid w:val="003632BE"/>
  </w:style>
  <w:style w:type="character" w:customStyle="1" w:styleId="surname">
    <w:name w:val="surname"/>
    <w:basedOn w:val="DefaultParagraphFont"/>
    <w:rsid w:val="003632BE"/>
  </w:style>
  <w:style w:type="paragraph" w:styleId="NormalWeb">
    <w:name w:val="Normal (Web)"/>
    <w:basedOn w:val="Normal"/>
    <w:uiPriority w:val="99"/>
    <w:semiHidden/>
    <w:unhideWhenUsed/>
    <w:rsid w:val="003632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32BE"/>
    <w:rPr>
      <w:b/>
      <w:bCs/>
    </w:rPr>
  </w:style>
  <w:style w:type="character" w:customStyle="1" w:styleId="keyword">
    <w:name w:val="keyword"/>
    <w:basedOn w:val="DefaultParagraphFont"/>
    <w:rsid w:val="003632BE"/>
  </w:style>
  <w:style w:type="character" w:styleId="Emphasis">
    <w:name w:val="Emphasis"/>
    <w:basedOn w:val="DefaultParagraphFont"/>
    <w:uiPriority w:val="20"/>
    <w:qFormat/>
    <w:rsid w:val="003632BE"/>
    <w:rPr>
      <w:i/>
      <w:iCs/>
    </w:rPr>
  </w:style>
  <w:style w:type="character" w:customStyle="1" w:styleId="section-number">
    <w:name w:val="section-number"/>
    <w:basedOn w:val="DefaultParagraphFont"/>
    <w:rsid w:val="003632BE"/>
  </w:style>
  <w:style w:type="character" w:customStyle="1" w:styleId="nav-open">
    <w:name w:val="nav-open"/>
    <w:basedOn w:val="DefaultParagraphFont"/>
    <w:rsid w:val="003632BE"/>
  </w:style>
  <w:style w:type="character" w:customStyle="1" w:styleId="figure-number">
    <w:name w:val="figure-number"/>
    <w:basedOn w:val="DefaultParagraphFont"/>
    <w:rsid w:val="003632BE"/>
  </w:style>
  <w:style w:type="character" w:customStyle="1" w:styleId="figure-title">
    <w:name w:val="figure-title"/>
    <w:basedOn w:val="DefaultParagraphFont"/>
    <w:rsid w:val="003632BE"/>
  </w:style>
  <w:style w:type="character" w:customStyle="1" w:styleId="table-number">
    <w:name w:val="table-number"/>
    <w:basedOn w:val="DefaultParagraphFont"/>
    <w:rsid w:val="003632BE"/>
  </w:style>
  <w:style w:type="character" w:customStyle="1" w:styleId="table-title">
    <w:name w:val="table-title"/>
    <w:basedOn w:val="DefaultParagraphFont"/>
    <w:rsid w:val="003632BE"/>
  </w:style>
  <w:style w:type="character" w:customStyle="1" w:styleId="link-das">
    <w:name w:val="link-das"/>
    <w:basedOn w:val="DefaultParagraphFont"/>
    <w:rsid w:val="003632BE"/>
  </w:style>
  <w:style w:type="character" w:customStyle="1" w:styleId="inline-equation">
    <w:name w:val="inline-equation"/>
    <w:basedOn w:val="DefaultParagraphFont"/>
    <w:rsid w:val="003632BE"/>
  </w:style>
  <w:style w:type="character" w:customStyle="1" w:styleId="title-text">
    <w:name w:val="title-text"/>
    <w:basedOn w:val="DefaultParagraphFont"/>
    <w:rsid w:val="003632BE"/>
  </w:style>
  <w:style w:type="character" w:customStyle="1" w:styleId="sr-only">
    <w:name w:val="sr-only"/>
    <w:basedOn w:val="DefaultParagraphFont"/>
    <w:rsid w:val="003632BE"/>
  </w:style>
  <w:style w:type="character" w:customStyle="1" w:styleId="button-link-text">
    <w:name w:val="button-link-text"/>
    <w:basedOn w:val="DefaultParagraphFont"/>
    <w:rsid w:val="003632BE"/>
  </w:style>
  <w:style w:type="character" w:customStyle="1" w:styleId="react-xocs-alternative-link">
    <w:name w:val="react-xocs-alternative-link"/>
    <w:basedOn w:val="DefaultParagraphFont"/>
    <w:rsid w:val="003632BE"/>
  </w:style>
  <w:style w:type="character" w:customStyle="1" w:styleId="given-name">
    <w:name w:val="given-name"/>
    <w:basedOn w:val="DefaultParagraphFont"/>
    <w:rsid w:val="003632BE"/>
  </w:style>
  <w:style w:type="character" w:customStyle="1" w:styleId="text">
    <w:name w:val="text"/>
    <w:basedOn w:val="DefaultParagraphFont"/>
    <w:rsid w:val="003632BE"/>
  </w:style>
  <w:style w:type="character" w:customStyle="1" w:styleId="author-ref">
    <w:name w:val="author-ref"/>
    <w:basedOn w:val="DefaultParagraphFont"/>
    <w:rsid w:val="003632BE"/>
  </w:style>
  <w:style w:type="character" w:customStyle="1" w:styleId="anchor-text">
    <w:name w:val="anchor-text"/>
    <w:basedOn w:val="DefaultParagraphFont"/>
    <w:rsid w:val="003632BE"/>
  </w:style>
  <w:style w:type="paragraph" w:customStyle="1" w:styleId="u-margin-s-bottom">
    <w:name w:val="u-margin-s-bottom"/>
    <w:basedOn w:val="Normal"/>
    <w:rsid w:val="003632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45/3677052.3698675" TargetMode="External"/><Relationship Id="rId117" Type="http://schemas.openxmlformats.org/officeDocument/2006/relationships/hyperlink" Target="https://huggingface.co/datasets/janspoerer/fomc" TargetMode="External"/><Relationship Id="rId21" Type="http://schemas.openxmlformats.org/officeDocument/2006/relationships/hyperlink" Target="https://orcid.org/0000-0002-6195-9034" TargetMode="External"/><Relationship Id="rId42" Type="http://schemas.openxmlformats.org/officeDocument/2006/relationships/hyperlink" Target="https://dl.acm.org/doi/fullHtml/10.1145/3677052.3698675" TargetMode="External"/><Relationship Id="rId47" Type="http://schemas.openxmlformats.org/officeDocument/2006/relationships/hyperlink" Target="https://dl.acm.org/doi/fullHtml/10.1145/3677052.3698675" TargetMode="External"/><Relationship Id="rId63" Type="http://schemas.openxmlformats.org/officeDocument/2006/relationships/hyperlink" Target="https://dl.acm.org/doi/fullHtml/10.1145/3677052.3698675" TargetMode="External"/><Relationship Id="rId68" Type="http://schemas.openxmlformats.org/officeDocument/2006/relationships/hyperlink" Target="https://dl.acm.org/doi/fullHtml/10.1145/3677052.3698675" TargetMode="External"/><Relationship Id="rId84" Type="http://schemas.openxmlformats.org/officeDocument/2006/relationships/hyperlink" Target="https://dl.acm.org/doi/fullHtml/10.1145/3677052.3698675" TargetMode="External"/><Relationship Id="rId89" Type="http://schemas.openxmlformats.org/officeDocument/2006/relationships/hyperlink" Target="https://dl.acm.org/doi/fullHtml/10.1145/3677052.3698675" TargetMode="External"/><Relationship Id="rId112" Type="http://schemas.openxmlformats.org/officeDocument/2006/relationships/hyperlink" Target="https://dl.acm.org/doi/fullHtml/10.1145/3677052.3698675" TargetMode="External"/><Relationship Id="rId133" Type="http://schemas.openxmlformats.org/officeDocument/2006/relationships/image" Target="media/image8.png"/><Relationship Id="rId138" Type="http://schemas.openxmlformats.org/officeDocument/2006/relationships/hyperlink" Target="https://real-statistics.com/wp-content/uploads/2018/01/hln-test.png" TargetMode="External"/><Relationship Id="rId154" Type="http://schemas.openxmlformats.org/officeDocument/2006/relationships/hyperlink" Target="https://doi.org/10.1111/j.1467-9396.2007.00682.x" TargetMode="External"/><Relationship Id="rId159" Type="http://schemas.openxmlformats.org/officeDocument/2006/relationships/hyperlink" Target="https://www.sciencedirect.com/science/article/pii/S0022249621000171" TargetMode="External"/><Relationship Id="rId175" Type="http://schemas.openxmlformats.org/officeDocument/2006/relationships/hyperlink" Target="https://www.sciencedirect.com/topics/economics-econometrics-and-finance/bank-profitability" TargetMode="External"/><Relationship Id="rId170" Type="http://schemas.openxmlformats.org/officeDocument/2006/relationships/hyperlink" Target="https://s100.copyright.com/AppDispatchServlet?publisherName=ELS&amp;contentID=S1566014112000465&amp;orderBeanReset=true" TargetMode="External"/><Relationship Id="rId16" Type="http://schemas.openxmlformats.org/officeDocument/2006/relationships/hyperlink" Target="mailto:wonseongkim@korea.ac.kr" TargetMode="External"/><Relationship Id="rId107" Type="http://schemas.openxmlformats.org/officeDocument/2006/relationships/hyperlink" Target="https://dl.acm.org/doi/fullHtml/10.1145/3677052.3698675" TargetMode="External"/><Relationship Id="rId11" Type="http://schemas.openxmlformats.org/officeDocument/2006/relationships/hyperlink" Target="http://www.princeton.edu/~mwatson/publi.html" TargetMode="External"/><Relationship Id="rId32" Type="http://schemas.openxmlformats.org/officeDocument/2006/relationships/hyperlink" Target="https://dl.acm.org/doi/fullHtml/10.1145/3677052.3698675" TargetMode="External"/><Relationship Id="rId37" Type="http://schemas.openxmlformats.org/officeDocument/2006/relationships/hyperlink" Target="https://dl.acm.org/doi/fullHtml/10.1145/3677052.3698675" TargetMode="External"/><Relationship Id="rId53" Type="http://schemas.openxmlformats.org/officeDocument/2006/relationships/hyperlink" Target="https://dl.acm.org/doi/fullHtml/10.1145/3677052.3698675" TargetMode="External"/><Relationship Id="rId58" Type="http://schemas.openxmlformats.org/officeDocument/2006/relationships/hyperlink" Target="https://dl.acm.org/doi/fullHtml/10.1145/3677052.3698675" TargetMode="External"/><Relationship Id="rId74" Type="http://schemas.openxmlformats.org/officeDocument/2006/relationships/hyperlink" Target="https://dl.acm.org/doi/fullHtml/10.1145/3677052.3698675" TargetMode="External"/><Relationship Id="rId79" Type="http://schemas.openxmlformats.org/officeDocument/2006/relationships/hyperlink" Target="https://dl.acm.org/doi/fullHtml/10.1145/3677052.3698675" TargetMode="External"/><Relationship Id="rId102" Type="http://schemas.openxmlformats.org/officeDocument/2006/relationships/hyperlink" Target="https://dl.acm.org/doi/fullHtml/10.1145/3677052.3698675" TargetMode="External"/><Relationship Id="rId123" Type="http://schemas.openxmlformats.org/officeDocument/2006/relationships/image" Target="media/image4.png"/><Relationship Id="rId128" Type="http://schemas.openxmlformats.org/officeDocument/2006/relationships/hyperlink" Target="https://real-statistics.com/time-series-analysis/stochastic-processes/autocorrelation-function/" TargetMode="External"/><Relationship Id="rId144" Type="http://schemas.openxmlformats.org/officeDocument/2006/relationships/hyperlink" Target="https://doi.org/10.1016/S0022-1996(02)00017-X" TargetMode="External"/><Relationship Id="rId149" Type="http://schemas.openxmlformats.org/officeDocument/2006/relationships/hyperlink" Target="https://www.sciencedirect.com/science/article/pii/S0014292100000374" TargetMode="External"/><Relationship Id="rId5" Type="http://schemas.openxmlformats.org/officeDocument/2006/relationships/hyperlink" Target="https://doi.org/10.1016/j.eswa.2022.119301" TargetMode="External"/><Relationship Id="rId90" Type="http://schemas.openxmlformats.org/officeDocument/2006/relationships/hyperlink" Target="https://dl.acm.org/doi/fullHtml/10.1145/3677052.3698675" TargetMode="External"/><Relationship Id="rId95" Type="http://schemas.openxmlformats.org/officeDocument/2006/relationships/hyperlink" Target="https://dl.acm.org/doi/fullHtml/10.1145/3677052.3698675" TargetMode="External"/><Relationship Id="rId160" Type="http://schemas.openxmlformats.org/officeDocument/2006/relationships/hyperlink" Target="https://www.sciencedirect.com/science/article/pii/S002224962300024X" TargetMode="External"/><Relationship Id="rId165" Type="http://schemas.openxmlformats.org/officeDocument/2006/relationships/hyperlink" Target="https://doi.org/10.1016/j.jbankfin.2004.06.033" TargetMode="External"/><Relationship Id="rId22" Type="http://schemas.openxmlformats.org/officeDocument/2006/relationships/hyperlink" Target="mailto:Siegfried.Handschuh@unisg.ch" TargetMode="External"/><Relationship Id="rId27" Type="http://schemas.openxmlformats.org/officeDocument/2006/relationships/hyperlink" Target="https://dl.acm.org/doi/fullHtml/10.1145/3677052.3698675" TargetMode="External"/><Relationship Id="rId43" Type="http://schemas.openxmlformats.org/officeDocument/2006/relationships/hyperlink" Target="https://dl.acm.org/doi/fullHtml/10.1145/3677052.3698675" TargetMode="External"/><Relationship Id="rId48" Type="http://schemas.openxmlformats.org/officeDocument/2006/relationships/hyperlink" Target="https://dl.acm.org/doi/fullHtml/10.1145/3677052.3698675" TargetMode="External"/><Relationship Id="rId64" Type="http://schemas.openxmlformats.org/officeDocument/2006/relationships/hyperlink" Target="https://dl.acm.org/doi/fullHtml/10.1145/3677052.3698675" TargetMode="External"/><Relationship Id="rId69" Type="http://schemas.openxmlformats.org/officeDocument/2006/relationships/hyperlink" Target="https://dl.acm.org/doi/fullHtml/10.1145/3677052.3698675" TargetMode="External"/><Relationship Id="rId113" Type="http://schemas.openxmlformats.org/officeDocument/2006/relationships/hyperlink" Target="https://dl.acm.org/doi/fullHtml/10.1145/3677052.3698675" TargetMode="External"/><Relationship Id="rId118" Type="http://schemas.openxmlformats.org/officeDocument/2006/relationships/hyperlink" Target="https://dl.acm.org/doi/fullHtml/10.1145/3677052.3698675" TargetMode="External"/><Relationship Id="rId134" Type="http://schemas.openxmlformats.org/officeDocument/2006/relationships/hyperlink" Target="https://real-statistics.com/time-series-analysis/stochastic-processes/autocorrelation-function/" TargetMode="External"/><Relationship Id="rId139" Type="http://schemas.openxmlformats.org/officeDocument/2006/relationships/image" Target="media/image11.png"/><Relationship Id="rId80" Type="http://schemas.openxmlformats.org/officeDocument/2006/relationships/hyperlink" Target="https://dl.acm.org/doi/fullHtml/10.1145/3677052.3698675" TargetMode="External"/><Relationship Id="rId85" Type="http://schemas.openxmlformats.org/officeDocument/2006/relationships/hyperlink" Target="https://dl.acm.org/doi/fullHtml/10.1145/3677052.3698675" TargetMode="External"/><Relationship Id="rId150" Type="http://schemas.openxmlformats.org/officeDocument/2006/relationships/hyperlink" Target="https://www.sciencedirect.com/science/article/pii/S0378426607002373" TargetMode="External"/><Relationship Id="rId155" Type="http://schemas.openxmlformats.org/officeDocument/2006/relationships/hyperlink" Target="https://doi.org/10.1111/j.1468-0327.2006.00154.x" TargetMode="External"/><Relationship Id="rId171" Type="http://schemas.openxmlformats.org/officeDocument/2006/relationships/hyperlink" Target="https://www.sciencedirect.com/topics/economics-econometrics-and-finance/financial-fragility" TargetMode="External"/><Relationship Id="rId176" Type="http://schemas.openxmlformats.org/officeDocument/2006/relationships/fontTable" Target="fontTable.xml"/><Relationship Id="rId12" Type="http://schemas.openxmlformats.org/officeDocument/2006/relationships/hyperlink" Target="https://doi.org/10.1016/j.jbankfin.2021.106285" TargetMode="External"/><Relationship Id="rId17" Type="http://schemas.openxmlformats.org/officeDocument/2006/relationships/hyperlink" Target="https://orcid.org/0000-0002-9473-5029" TargetMode="External"/><Relationship Id="rId33" Type="http://schemas.openxmlformats.org/officeDocument/2006/relationships/hyperlink" Target="https://dl.acm.org/doi/fullHtml/10.1145/3677052.3698675" TargetMode="External"/><Relationship Id="rId38" Type="http://schemas.openxmlformats.org/officeDocument/2006/relationships/hyperlink" Target="https://dl.acm.org/doi/fullHtml/10.1145/3677052.3698675" TargetMode="External"/><Relationship Id="rId59" Type="http://schemas.openxmlformats.org/officeDocument/2006/relationships/hyperlink" Target="https://dl.acm.org/doi/fullHtml/10.1145/3677052.3698675" TargetMode="External"/><Relationship Id="rId103" Type="http://schemas.openxmlformats.org/officeDocument/2006/relationships/hyperlink" Target="https://dl.acm.org/doi/fullHtml/10.1145/3677052.3698675" TargetMode="External"/><Relationship Id="rId108" Type="http://schemas.openxmlformats.org/officeDocument/2006/relationships/hyperlink" Target="https://dl.acm.org/doi/fullHtml/10.1145/3677052.3698675" TargetMode="External"/><Relationship Id="rId124" Type="http://schemas.openxmlformats.org/officeDocument/2006/relationships/hyperlink" Target="https://real-statistics.com/wp-content/uploads/2018/01/image035d.png" TargetMode="External"/><Relationship Id="rId129" Type="http://schemas.openxmlformats.org/officeDocument/2006/relationships/hyperlink" Target="https://real-statistics.com/wp-content/uploads/2018/01/image037d.png" TargetMode="External"/><Relationship Id="rId54" Type="http://schemas.openxmlformats.org/officeDocument/2006/relationships/hyperlink" Target="https://dl.acm.org/doi/fullHtml/10.1145/3677052.3698675" TargetMode="External"/><Relationship Id="rId70" Type="http://schemas.openxmlformats.org/officeDocument/2006/relationships/hyperlink" Target="https://dl.acm.org/doi/fullHtml/10.1145/3677052.3698675" TargetMode="External"/><Relationship Id="rId75" Type="http://schemas.openxmlformats.org/officeDocument/2006/relationships/hyperlink" Target="https://dl.acm.org/doi/fullHtml/10.1145/3677052.3698675" TargetMode="External"/><Relationship Id="rId91" Type="http://schemas.openxmlformats.org/officeDocument/2006/relationships/hyperlink" Target="https://dl.acm.org/doi/fullHtml/10.1145/3677052.3698675" TargetMode="External"/><Relationship Id="rId96" Type="http://schemas.openxmlformats.org/officeDocument/2006/relationships/hyperlink" Target="https://dl.acm.org/doi/fullHtml/10.1145/3677052.3698675" TargetMode="External"/><Relationship Id="rId140" Type="http://schemas.openxmlformats.org/officeDocument/2006/relationships/hyperlink" Target="https://real-statistics.com/time-series-analysis/forecasting-accuracy/real-statistics-forecast-accuracy/" TargetMode="External"/><Relationship Id="rId145" Type="http://schemas.openxmlformats.org/officeDocument/2006/relationships/hyperlink" Target="https://s100.copyright.com/AppDispatchServlet?publisherName=ELS&amp;contentID=S002219960200017X&amp;orderBeanReset=true" TargetMode="External"/><Relationship Id="rId161" Type="http://schemas.openxmlformats.org/officeDocument/2006/relationships/hyperlink" Target="https://doi.org/10.1016/j.jbankfin.2009.04.017" TargetMode="External"/><Relationship Id="rId166" Type="http://schemas.openxmlformats.org/officeDocument/2006/relationships/hyperlink" Target="https://s100.copyright.com/AppDispatchServlet?publisherName=ELS&amp;contentID=S0378426604001359&amp;orderBeanReset=true" TargetMode="External"/><Relationship Id="rId1" Type="http://schemas.openxmlformats.org/officeDocument/2006/relationships/numbering" Target="numbering.xml"/><Relationship Id="rId6" Type="http://schemas.openxmlformats.org/officeDocument/2006/relationships/hyperlink" Target="https://s100.copyright.com/AppDispatchServlet?publisherName=ELS&amp;contentID=S0957417422023193&amp;orderBeanReset=true" TargetMode="External"/><Relationship Id="rId23" Type="http://schemas.openxmlformats.org/officeDocument/2006/relationships/hyperlink" Target="https://doi.org/10.1145/3677052.3698675" TargetMode="External"/><Relationship Id="rId28" Type="http://schemas.openxmlformats.org/officeDocument/2006/relationships/hyperlink" Target="https://dl.acm.org/doi/fullHtml/10.1145/3677052.3698675" TargetMode="External"/><Relationship Id="rId49" Type="http://schemas.openxmlformats.org/officeDocument/2006/relationships/hyperlink" Target="https://dl.acm.org/doi/fullHtml/10.1145/3677052.3698675" TargetMode="External"/><Relationship Id="rId114" Type="http://schemas.openxmlformats.org/officeDocument/2006/relationships/hyperlink" Target="https://dl.acm.org/doi/fullHtml/10.1145/3677052.3698675" TargetMode="External"/><Relationship Id="rId119" Type="http://schemas.openxmlformats.org/officeDocument/2006/relationships/hyperlink" Target="https://real-statistics.com/time-series-analysis/forecasting-accuracy/time-series-forecast-error/" TargetMode="External"/><Relationship Id="rId10" Type="http://schemas.openxmlformats.org/officeDocument/2006/relationships/hyperlink" Target="https://www.sciencedirect.com/topics/social-sciences/macroeconomics" TargetMode="External"/><Relationship Id="rId31" Type="http://schemas.openxmlformats.org/officeDocument/2006/relationships/hyperlink" Target="https://dl.acm.org/doi/fullHtml/10.1145/3677052.3698675" TargetMode="External"/><Relationship Id="rId44" Type="http://schemas.openxmlformats.org/officeDocument/2006/relationships/hyperlink" Target="https://dl.acm.org/doi/fullHtml/10.1145/3677052.3698675" TargetMode="External"/><Relationship Id="rId52" Type="http://schemas.openxmlformats.org/officeDocument/2006/relationships/hyperlink" Target="https://dl.acm.org/doi/fullHtml/10.1145/3677052.3698675" TargetMode="External"/><Relationship Id="rId60" Type="http://schemas.openxmlformats.org/officeDocument/2006/relationships/hyperlink" Target="https://dl.acm.org/doi/fullHtml/10.1145/3677052.3698675" TargetMode="External"/><Relationship Id="rId65" Type="http://schemas.openxmlformats.org/officeDocument/2006/relationships/hyperlink" Target="https://dl.acm.org/doi/fullHtml/10.1145/3677052.3698675" TargetMode="External"/><Relationship Id="rId73" Type="http://schemas.openxmlformats.org/officeDocument/2006/relationships/hyperlink" Target="https://dl.acm.org/doi/fullHtml/10.1145/3677052.3698675" TargetMode="External"/><Relationship Id="rId78" Type="http://schemas.openxmlformats.org/officeDocument/2006/relationships/image" Target="media/image1.jpeg"/><Relationship Id="rId81" Type="http://schemas.openxmlformats.org/officeDocument/2006/relationships/hyperlink" Target="https://dl.acm.org/doi/fullHtml/10.1145/3677052.3698675" TargetMode="External"/><Relationship Id="rId86" Type="http://schemas.openxmlformats.org/officeDocument/2006/relationships/hyperlink" Target="https://dl.acm.org/doi/fullHtml/10.1145/3677052.3698675" TargetMode="External"/><Relationship Id="rId94" Type="http://schemas.openxmlformats.org/officeDocument/2006/relationships/hyperlink" Target="https://dl.acm.org/doi/fullHtml/10.1145/3677052.3698675" TargetMode="External"/><Relationship Id="rId99" Type="http://schemas.openxmlformats.org/officeDocument/2006/relationships/hyperlink" Target="https://dl.acm.org/doi/fullHtml/10.1145/3677052.3698675" TargetMode="External"/><Relationship Id="rId101" Type="http://schemas.openxmlformats.org/officeDocument/2006/relationships/hyperlink" Target="https://dl.acm.org/doi/fullHtml/10.1145/3677052.3698675" TargetMode="External"/><Relationship Id="rId122" Type="http://schemas.openxmlformats.org/officeDocument/2006/relationships/hyperlink" Target="https://real-statistics.com/wp-content/uploads/2018/01/image034d.png" TargetMode="External"/><Relationship Id="rId130" Type="http://schemas.openxmlformats.org/officeDocument/2006/relationships/image" Target="media/image7.png"/><Relationship Id="rId135" Type="http://schemas.openxmlformats.org/officeDocument/2006/relationships/hyperlink" Target="https://real-statistics.com/wp-content/uploads/2018/01/plot-comparing-forecasts.png" TargetMode="External"/><Relationship Id="rId143" Type="http://schemas.openxmlformats.org/officeDocument/2006/relationships/hyperlink" Target="https://www.nber.org/system/files/working_papers/w18391/w18391.pdf" TargetMode="External"/><Relationship Id="rId148" Type="http://schemas.openxmlformats.org/officeDocument/2006/relationships/hyperlink" Target="https://www.sciencedirect.com/science/article/pii/S0165188996009384" TargetMode="External"/><Relationship Id="rId151" Type="http://schemas.openxmlformats.org/officeDocument/2006/relationships/hyperlink" Target="https://www.sciencedirect.com/science/article/pii/S0378426604001359" TargetMode="External"/><Relationship Id="rId156" Type="http://schemas.openxmlformats.org/officeDocument/2006/relationships/hyperlink" Target="http://www.scopus.com/scopus/inward/citedby.url?partnerID=10&amp;rel=3.0.0&amp;eid=2-s2.0-0037349061&amp;md5=c34261569e87de0514ee44ccfacbad" TargetMode="External"/><Relationship Id="rId164" Type="http://schemas.openxmlformats.org/officeDocument/2006/relationships/hyperlink" Target="https://www.sciencedirect.com/science/article/abs/pii/S0378426604001359" TargetMode="External"/><Relationship Id="rId169" Type="http://schemas.openxmlformats.org/officeDocument/2006/relationships/hyperlink" Target="https://doi.org/10.1016/j.ememar.2012.07.003" TargetMode="External"/><Relationship Id="rId177"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iencedirect.com/topics/social-sciences/economic-forecasting-method" TargetMode="External"/><Relationship Id="rId172" Type="http://schemas.openxmlformats.org/officeDocument/2006/relationships/hyperlink" Target="https://www.sciencedirect.com/topics/economics-econometrics-and-finance/exchange-rate-risk" TargetMode="External"/><Relationship Id="rId13" Type="http://schemas.openxmlformats.org/officeDocument/2006/relationships/hyperlink" Target="https://s100.copyright.com/AppDispatchServlet?publisherName=ELS&amp;contentID=S0378426621002417&amp;orderBeanReset=true" TargetMode="External"/><Relationship Id="rId18" Type="http://schemas.openxmlformats.org/officeDocument/2006/relationships/hyperlink" Target="mailto:jan.spoerer@unisg.ch" TargetMode="External"/><Relationship Id="rId39" Type="http://schemas.openxmlformats.org/officeDocument/2006/relationships/hyperlink" Target="https://dl.acm.org/doi/fullHtml/10.1145/3677052.3698675" TargetMode="External"/><Relationship Id="rId109" Type="http://schemas.openxmlformats.org/officeDocument/2006/relationships/hyperlink" Target="https://dl.acm.org/doi/fullHtml/10.1145/3677052.3698675" TargetMode="External"/><Relationship Id="rId34" Type="http://schemas.openxmlformats.org/officeDocument/2006/relationships/hyperlink" Target="https://dl.acm.org/doi/fullHtml/10.1145/3677052.3698675" TargetMode="External"/><Relationship Id="rId50" Type="http://schemas.openxmlformats.org/officeDocument/2006/relationships/hyperlink" Target="https://dl.acm.org/doi/fullHtml/10.1145/3677052.3698675" TargetMode="External"/><Relationship Id="rId55" Type="http://schemas.openxmlformats.org/officeDocument/2006/relationships/hyperlink" Target="https://dl.acm.org/doi/fullHtml/10.1145/3677052.3698675" TargetMode="External"/><Relationship Id="rId76" Type="http://schemas.openxmlformats.org/officeDocument/2006/relationships/hyperlink" Target="https://dl.acm.org/doi/fullHtml/10.1145/3677052.3698675" TargetMode="External"/><Relationship Id="rId97" Type="http://schemas.openxmlformats.org/officeDocument/2006/relationships/hyperlink" Target="https://dl.acm.org/doi/fullHtml/10.1145/3677052.3698675" TargetMode="External"/><Relationship Id="rId104" Type="http://schemas.openxmlformats.org/officeDocument/2006/relationships/hyperlink" Target="https://dl.acm.org/doi/fullHtml/10.1145/3677052.3698675" TargetMode="External"/><Relationship Id="rId120" Type="http://schemas.openxmlformats.org/officeDocument/2006/relationships/hyperlink" Target="https://real-statistics.com/wp-content/uploads/2018/01/image033d.png" TargetMode="External"/><Relationship Id="rId125" Type="http://schemas.openxmlformats.org/officeDocument/2006/relationships/image" Target="media/image5.png"/><Relationship Id="rId141" Type="http://schemas.openxmlformats.org/officeDocument/2006/relationships/hyperlink" Target="https://www.real-statistics.com/wp-content/uploads/2023/01/Diebold-Mariano-Test.xlsx" TargetMode="External"/><Relationship Id="rId146" Type="http://schemas.openxmlformats.org/officeDocument/2006/relationships/hyperlink" Target="https://www.sciencedirect.com/topics/economics-econometrics-and-finance/macroeconomics" TargetMode="External"/><Relationship Id="rId167" Type="http://schemas.openxmlformats.org/officeDocument/2006/relationships/hyperlink" Target="https://www.sciencedirect.com/topics/economics-econometrics-and-finance/inflation" TargetMode="External"/><Relationship Id="rId7" Type="http://schemas.openxmlformats.org/officeDocument/2006/relationships/hyperlink" Target="https://doi.org/10.1016/j.ijforecast.2014.03.016" TargetMode="External"/><Relationship Id="rId71" Type="http://schemas.openxmlformats.org/officeDocument/2006/relationships/hyperlink" Target="https://dl.acm.org/doi/fullHtml/10.1145/3677052.3698675" TargetMode="External"/><Relationship Id="rId92" Type="http://schemas.openxmlformats.org/officeDocument/2006/relationships/hyperlink" Target="https://dl.acm.org/doi/fullHtml/10.1145/3677052.3698675" TargetMode="External"/><Relationship Id="rId162" Type="http://schemas.openxmlformats.org/officeDocument/2006/relationships/hyperlink" Target="https://s100.copyright.com/AppDispatchServlet?publisherName=ELS&amp;contentID=S0378426609000983&amp;orderBeanReset=true" TargetMode="External"/><Relationship Id="rId2" Type="http://schemas.openxmlformats.org/officeDocument/2006/relationships/styles" Target="styles.xml"/><Relationship Id="rId29" Type="http://schemas.openxmlformats.org/officeDocument/2006/relationships/hyperlink" Target="https://dl.acm.org/doi/fullHtml/10.1145/3677052.3698675" TargetMode="External"/><Relationship Id="rId24" Type="http://schemas.openxmlformats.org/officeDocument/2006/relationships/hyperlink" Target="https://doi.org/10.1145/3677052" TargetMode="External"/><Relationship Id="rId40" Type="http://schemas.openxmlformats.org/officeDocument/2006/relationships/hyperlink" Target="https://dl.acm.org/doi/fullHtml/10.1145/3677052.3698675" TargetMode="External"/><Relationship Id="rId45" Type="http://schemas.openxmlformats.org/officeDocument/2006/relationships/hyperlink" Target="https://dl.acm.org/doi/fullHtml/10.1145/3677052.3698675" TargetMode="External"/><Relationship Id="rId66" Type="http://schemas.openxmlformats.org/officeDocument/2006/relationships/hyperlink" Target="https://dl.acm.org/doi/fullHtml/10.1145/3677052.3698675" TargetMode="External"/><Relationship Id="rId87" Type="http://schemas.openxmlformats.org/officeDocument/2006/relationships/hyperlink" Target="https://dl.acm.org/doi/fullHtml/10.1145/3677052.3698675" TargetMode="External"/><Relationship Id="rId110" Type="http://schemas.openxmlformats.org/officeDocument/2006/relationships/image" Target="media/image2.jpeg"/><Relationship Id="rId115" Type="http://schemas.openxmlformats.org/officeDocument/2006/relationships/hyperlink" Target="https://huggingface.co/datasets/janspoerer/fomc" TargetMode="External"/><Relationship Id="rId131" Type="http://schemas.openxmlformats.org/officeDocument/2006/relationships/hyperlink" Target="https://real-statistics.com/time-series-analysis/stochastic-processes/stationary-process/" TargetMode="External"/><Relationship Id="rId136" Type="http://schemas.openxmlformats.org/officeDocument/2006/relationships/image" Target="media/image9.png"/><Relationship Id="rId157" Type="http://schemas.openxmlformats.org/officeDocument/2006/relationships/hyperlink" Target="https://www.sciencedirect.com/science/article/pii/S002219960200017X" TargetMode="External"/><Relationship Id="rId61" Type="http://schemas.openxmlformats.org/officeDocument/2006/relationships/hyperlink" Target="https://dl.acm.org/doi/fullHtml/10.1145/3677052.3698675" TargetMode="External"/><Relationship Id="rId82" Type="http://schemas.openxmlformats.org/officeDocument/2006/relationships/hyperlink" Target="https://dl.acm.org/doi/fullHtml/10.1145/3677052.3698675" TargetMode="External"/><Relationship Id="rId152" Type="http://schemas.openxmlformats.org/officeDocument/2006/relationships/hyperlink" Target="https://doi.org/10.3386/w23134" TargetMode="External"/><Relationship Id="rId173" Type="http://schemas.openxmlformats.org/officeDocument/2006/relationships/hyperlink" Target="https://www.sciencedirect.com/topics/economics-econometrics-and-finance/macroeconomics" TargetMode="External"/><Relationship Id="rId19" Type="http://schemas.openxmlformats.org/officeDocument/2006/relationships/hyperlink" Target="https://orcid.org/0000-0002-9892-1750" TargetMode="External"/><Relationship Id="rId14" Type="http://schemas.openxmlformats.org/officeDocument/2006/relationships/hyperlink" Target="https://www.sciencedirect.com/topics/agricultural-and-biological-sciences/least-square" TargetMode="External"/><Relationship Id="rId30" Type="http://schemas.openxmlformats.org/officeDocument/2006/relationships/hyperlink" Target="https://dl.acm.org/doi/fullHtml/10.1145/3677052.3698675" TargetMode="External"/><Relationship Id="rId35" Type="http://schemas.openxmlformats.org/officeDocument/2006/relationships/hyperlink" Target="https://dl.acm.org/doi/fullHtml/10.1145/3677052.3698675" TargetMode="External"/><Relationship Id="rId56" Type="http://schemas.openxmlformats.org/officeDocument/2006/relationships/hyperlink" Target="https://dl.acm.org/doi/fullHtml/10.1145/3677052.3698675" TargetMode="External"/><Relationship Id="rId77" Type="http://schemas.openxmlformats.org/officeDocument/2006/relationships/hyperlink" Target="https://dl.acm.org/doi/fullHtml/10.1145/3677052.3698675" TargetMode="External"/><Relationship Id="rId100" Type="http://schemas.openxmlformats.org/officeDocument/2006/relationships/hyperlink" Target="https://dl.acm.org/doi/fullHtml/10.1145/3677052.3698675" TargetMode="External"/><Relationship Id="rId105" Type="http://schemas.openxmlformats.org/officeDocument/2006/relationships/hyperlink" Target="https://dl.acm.org/doi/fullHtml/10.1145/3677052.3698675" TargetMode="External"/><Relationship Id="rId126" Type="http://schemas.openxmlformats.org/officeDocument/2006/relationships/hyperlink" Target="https://real-statistics.com/wp-content/uploads/2018/01/image036d.png" TargetMode="External"/><Relationship Id="rId147" Type="http://schemas.openxmlformats.org/officeDocument/2006/relationships/hyperlink" Target="https://www.sciencedirect.com/topics/economics-econometrics-and-finance/purchasing-power-parity" TargetMode="External"/><Relationship Id="rId168" Type="http://schemas.openxmlformats.org/officeDocument/2006/relationships/hyperlink" Target="https://www.sciencedirect.com/topics/economics-econometrics-and-finance/monetary-policy" TargetMode="External"/><Relationship Id="rId8" Type="http://schemas.openxmlformats.org/officeDocument/2006/relationships/hyperlink" Target="https://s100.copyright.com/AppDispatchServlet?publisherName=ELS&amp;contentID=S0169207014000636&amp;orderBeanReset=true" TargetMode="External"/><Relationship Id="rId51" Type="http://schemas.openxmlformats.org/officeDocument/2006/relationships/hyperlink" Target="https://dl.acm.org/doi/fullHtml/10.1145/3677052.3698675" TargetMode="External"/><Relationship Id="rId72" Type="http://schemas.openxmlformats.org/officeDocument/2006/relationships/hyperlink" Target="https://dl.acm.org/doi/fullHtml/10.1145/3677052.3698675" TargetMode="External"/><Relationship Id="rId93" Type="http://schemas.openxmlformats.org/officeDocument/2006/relationships/hyperlink" Target="https://dl.acm.org/doi/fullHtml/10.1145/3677052.3698675" TargetMode="External"/><Relationship Id="rId98" Type="http://schemas.openxmlformats.org/officeDocument/2006/relationships/hyperlink" Target="https://dl.acm.org/doi/fullHtml/10.1145/3677052.3698675" TargetMode="External"/><Relationship Id="rId121" Type="http://schemas.openxmlformats.org/officeDocument/2006/relationships/image" Target="media/image3.png"/><Relationship Id="rId142" Type="http://schemas.openxmlformats.org/officeDocument/2006/relationships/hyperlink" Target="https://www.sas.upenn.edu/~fdiebold/papers/paper68/pa.dm.pdf" TargetMode="External"/><Relationship Id="rId163" Type="http://schemas.openxmlformats.org/officeDocument/2006/relationships/hyperlink" Target="https://www.sciencedirect.com/topics/economics-econometrics-and-finance/international-financial-integration" TargetMode="External"/><Relationship Id="rId3" Type="http://schemas.openxmlformats.org/officeDocument/2006/relationships/settings" Target="settings.xml"/><Relationship Id="rId25" Type="http://schemas.openxmlformats.org/officeDocument/2006/relationships/hyperlink" Target="https://dl.acm.org/doi/fullHtml/10.1145/3677052.3698675" TargetMode="External"/><Relationship Id="rId46" Type="http://schemas.openxmlformats.org/officeDocument/2006/relationships/hyperlink" Target="https://dl.acm.org/doi/fullHtml/10.1145/3677052.3698675" TargetMode="External"/><Relationship Id="rId67" Type="http://schemas.openxmlformats.org/officeDocument/2006/relationships/hyperlink" Target="https://dl.acm.org/doi/fullHtml/10.1145/3677052.3698675" TargetMode="External"/><Relationship Id="rId116" Type="http://schemas.openxmlformats.org/officeDocument/2006/relationships/hyperlink" Target="https://dl.acm.org/doi/fullHtml/10.1145/3677052.3698675" TargetMode="External"/><Relationship Id="rId137" Type="http://schemas.openxmlformats.org/officeDocument/2006/relationships/image" Target="media/image10.png"/><Relationship Id="rId158" Type="http://schemas.openxmlformats.org/officeDocument/2006/relationships/hyperlink" Target="https://www.sciencedirect.com/science/article/pii/S0022249620300614" TargetMode="External"/><Relationship Id="rId20" Type="http://schemas.openxmlformats.org/officeDocument/2006/relationships/hyperlink" Target="mailto:cllee@korea.ac.kr" TargetMode="External"/><Relationship Id="rId41" Type="http://schemas.openxmlformats.org/officeDocument/2006/relationships/hyperlink" Target="https://dl.acm.org/doi/fullHtml/10.1145/3677052.3698675" TargetMode="External"/><Relationship Id="rId62" Type="http://schemas.openxmlformats.org/officeDocument/2006/relationships/hyperlink" Target="https://dl.acm.org/doi/fullHtml/10.1145/3677052.3698675" TargetMode="External"/><Relationship Id="rId83" Type="http://schemas.openxmlformats.org/officeDocument/2006/relationships/hyperlink" Target="https://dl.acm.org/doi/fullHtml/10.1145/3677052.3698675" TargetMode="External"/><Relationship Id="rId88" Type="http://schemas.openxmlformats.org/officeDocument/2006/relationships/hyperlink" Target="https://dl.acm.org/doi/fullHtml/10.1145/3677052.3698675" TargetMode="External"/><Relationship Id="rId111" Type="http://schemas.openxmlformats.org/officeDocument/2006/relationships/hyperlink" Target="https://dl.acm.org/doi/fullHtml/10.1145/3677052.3698675" TargetMode="External"/><Relationship Id="rId132" Type="http://schemas.openxmlformats.org/officeDocument/2006/relationships/hyperlink" Target="https://www.real-statistics.com/wp-content/uploads/2022/01/diebold-mariano-test-output.png" TargetMode="External"/><Relationship Id="rId153" Type="http://schemas.openxmlformats.org/officeDocument/2006/relationships/hyperlink" Target="http://www.scopus.com/scopus/inward/record.url?partnerID=10&amp;rel=3.0.0&amp;view=basic&amp;eid=2-s2.0-84884067852&amp;md5=38ffe65bd9b9ca0301a8cb538cd867c" TargetMode="External"/><Relationship Id="rId174" Type="http://schemas.openxmlformats.org/officeDocument/2006/relationships/hyperlink" Target="https://www.sciencedirect.com/topics/economics-econometrics-and-finance/bank-performance" TargetMode="External"/><Relationship Id="rId15" Type="http://schemas.openxmlformats.org/officeDocument/2006/relationships/hyperlink" Target="https://orcid.org/0000-0003-1850-471X" TargetMode="External"/><Relationship Id="rId36" Type="http://schemas.openxmlformats.org/officeDocument/2006/relationships/hyperlink" Target="https://dl.acm.org/doi/fullHtml/10.1145/3677052.3698675" TargetMode="External"/><Relationship Id="rId57" Type="http://schemas.openxmlformats.org/officeDocument/2006/relationships/hyperlink" Target="https://dl.acm.org/doi/fullHtml/10.1145/3677052.3698675" TargetMode="External"/><Relationship Id="rId106" Type="http://schemas.openxmlformats.org/officeDocument/2006/relationships/hyperlink" Target="https://dl.acm.org/doi/fullHtml/10.1145/3677052.3698675" TargetMode="External"/><Relationship Id="rId12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59</Pages>
  <Words>21262</Words>
  <Characters>121200</Characters>
  <Application>Microsoft Office Word</Application>
  <DocSecurity>0</DocSecurity>
  <Lines>1010</Lines>
  <Paragraphs>284</Paragraphs>
  <ScaleCrop>false</ScaleCrop>
  <Company/>
  <LinksUpToDate>false</LinksUpToDate>
  <CharactersWithSpaces>142178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Zvart Aleksanyan</dc:creator>
  <cp:keywords/>
  <dc:description/>
  <cp:lastModifiedBy>Zvart Aleksanyan</cp:lastModifiedBy>
  <cp:revision>3</cp:revision>
  <dcterms:created xsi:type="dcterms:W3CDTF">2026-03-18T18:45:00Z</dcterms:created>
  <dcterms:modified xsi:type="dcterms:W3CDTF">2026-03-18T18:56:00Z</dcterms:modified>
</cp:coreProperties>
</file>