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13D" w:rsidRPr="0039513D" w:rsidRDefault="0039513D" w:rsidP="0039513D">
      <w:pPr>
        <w:pStyle w:val="a5"/>
        <w:rPr>
          <w:b/>
          <w:sz w:val="32"/>
          <w:lang w:val="en-US"/>
        </w:rPr>
      </w:pPr>
      <w:bookmarkStart w:id="0" w:name="_Toc39580757"/>
      <w:proofErr w:type="spellStart"/>
      <w:r w:rsidRPr="0039513D">
        <w:rPr>
          <w:b/>
          <w:sz w:val="32"/>
        </w:rPr>
        <w:t>Stock</w:t>
      </w:r>
      <w:proofErr w:type="spellEnd"/>
      <w:r>
        <w:rPr>
          <w:b/>
          <w:sz w:val="32"/>
          <w:lang w:val="en-US"/>
        </w:rPr>
        <w:t>taking Data Base</w:t>
      </w:r>
      <w:bookmarkStart w:id="1" w:name="_GoBack"/>
      <w:bookmarkEnd w:id="1"/>
    </w:p>
    <w:p w:rsidR="0039513D" w:rsidRPr="0039513D" w:rsidRDefault="0039513D" w:rsidP="0039513D">
      <w:pPr>
        <w:pStyle w:val="a5"/>
        <w:rPr>
          <w:b/>
        </w:rPr>
      </w:pPr>
      <w:r w:rsidRPr="0039513D">
        <w:rPr>
          <w:b/>
        </w:rPr>
        <w:t>РУКОВОДСТВО ПОЛЬЗОВАТЕЛЯ</w:t>
      </w:r>
      <w:bookmarkEnd w:id="0"/>
    </w:p>
    <w:p w:rsidR="0039513D" w:rsidRPr="00D510B6" w:rsidRDefault="0039513D" w:rsidP="0039513D">
      <w:pPr>
        <w:pStyle w:val="a5"/>
      </w:pPr>
      <w:r w:rsidRPr="00D510B6">
        <w:t>Для запуска программы необходимо запустить файл Project1, который находится в корневой папке приложения (рис. 23).</w:t>
      </w:r>
    </w:p>
    <w:p w:rsidR="0039513D" w:rsidRDefault="0039513D" w:rsidP="0039513D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7CB4B20F" wp14:editId="3B1FD63F">
            <wp:extent cx="5867400" cy="24841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firstLine="0"/>
      </w:pPr>
      <w:r>
        <w:t xml:space="preserve">       Рисунок 23 – Папка приложения БД «Инвентаризация оборудования»</w:t>
      </w:r>
    </w:p>
    <w:p w:rsidR="0039513D" w:rsidRPr="00D510B6" w:rsidRDefault="0039513D" w:rsidP="0039513D">
      <w:pPr>
        <w:pStyle w:val="a5"/>
      </w:pPr>
      <w:r w:rsidRPr="00D510B6">
        <w:t>После запуска откроется основное окно приложения (рис. 24).</w:t>
      </w:r>
    </w:p>
    <w:p w:rsidR="0039513D" w:rsidRDefault="0039513D" w:rsidP="0039513D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4F6AFED6" wp14:editId="56BF2A50">
            <wp:extent cx="5875020" cy="34366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left="1416" w:firstLine="0"/>
      </w:pPr>
      <w:r>
        <w:t xml:space="preserve">        Рисунок 24 – Основное окно приложения</w:t>
      </w:r>
    </w:p>
    <w:p w:rsidR="0039513D" w:rsidRDefault="0039513D" w:rsidP="0039513D">
      <w:pPr>
        <w:pStyle w:val="a5"/>
      </w:pPr>
      <w:r>
        <w:br w:type="page"/>
      </w:r>
      <w:r>
        <w:lastRenderedPageBreak/>
        <w:t>Для начала работы с базой данных (БД) создайте или откройте инвентаризационный учет с помощью соответствующих кнопок в разделе «</w:t>
      </w:r>
      <w:r w:rsidRPr="00E033D3">
        <w:rPr>
          <w:b/>
        </w:rPr>
        <w:t>Файл</w:t>
      </w:r>
      <w:r>
        <w:t>» на основном окне (рис. 25).</w:t>
      </w:r>
    </w:p>
    <w:p w:rsidR="0039513D" w:rsidRDefault="0039513D" w:rsidP="0039513D">
      <w:pPr>
        <w:pStyle w:val="a5"/>
        <w:ind w:left="1416" w:firstLine="0"/>
      </w:pPr>
      <w:r>
        <w:t xml:space="preserve">  </w:t>
      </w:r>
      <w:r>
        <w:tab/>
        <w:t xml:space="preserve"> </w:t>
      </w:r>
      <w:r>
        <w:rPr>
          <w:noProof/>
          <w:lang w:eastAsia="ru-RU"/>
        </w:rPr>
        <w:drawing>
          <wp:inline distT="0" distB="0" distL="0" distR="0" wp14:anchorId="7EC71F58" wp14:editId="380A5C78">
            <wp:extent cx="2997200" cy="2082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left="1416"/>
      </w:pPr>
      <w:r>
        <w:t xml:space="preserve">  </w:t>
      </w:r>
      <w:r>
        <w:tab/>
        <w:t>Рисунок 25 – Начало работы</w:t>
      </w:r>
    </w:p>
    <w:p w:rsidR="0039513D" w:rsidRDefault="0039513D" w:rsidP="0039513D">
      <w:pPr>
        <w:pStyle w:val="a5"/>
      </w:pPr>
      <w:r>
        <w:t>Для наглядности, создадим новый инвентаризационный учет. Для этого в меню «</w:t>
      </w:r>
      <w:r w:rsidRPr="00E033D3">
        <w:rPr>
          <w:b/>
        </w:rPr>
        <w:t>Файл</w:t>
      </w:r>
      <w:r>
        <w:t>» нажимаем кнопку «</w:t>
      </w:r>
      <w:r w:rsidRPr="00E033D3">
        <w:rPr>
          <w:b/>
        </w:rPr>
        <w:t>Создать</w:t>
      </w:r>
      <w:r>
        <w:t>» (рис. 26).</w:t>
      </w:r>
    </w:p>
    <w:p w:rsidR="0039513D" w:rsidRDefault="0039513D" w:rsidP="0039513D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008A37D9" wp14:editId="518D218D">
            <wp:extent cx="5842000" cy="3649980"/>
            <wp:effectExtent l="0" t="0" r="635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firstLine="0"/>
      </w:pPr>
      <w:r>
        <w:tab/>
      </w:r>
      <w:r>
        <w:tab/>
      </w:r>
      <w:r>
        <w:tab/>
        <w:t xml:space="preserve">          Рисунок 26 – Создание учета</w:t>
      </w:r>
      <w:r>
        <w:br w:type="page"/>
      </w:r>
    </w:p>
    <w:p w:rsidR="0039513D" w:rsidRDefault="0039513D" w:rsidP="0039513D">
      <w:pPr>
        <w:pStyle w:val="a5"/>
      </w:pPr>
      <w:r>
        <w:lastRenderedPageBreak/>
        <w:t>Прежде чем приступить к заполнению инвентаризационного учета, привяжем справочник к текущему учету. Справочник позволит нам проверять достоверность введенных данных в таблицу учета. Для этого нажимаем кнопку «</w:t>
      </w:r>
      <w:r w:rsidRPr="00E033D3">
        <w:rPr>
          <w:b/>
        </w:rPr>
        <w:t>Справочник</w:t>
      </w:r>
      <w:r>
        <w:t>» (рис. 27).</w:t>
      </w:r>
    </w:p>
    <w:p w:rsidR="0039513D" w:rsidRDefault="0039513D" w:rsidP="0039513D">
      <w:pPr>
        <w:pStyle w:val="a5"/>
        <w:ind w:left="2124" w:firstLine="0"/>
      </w:pPr>
      <w:r>
        <w:t xml:space="preserve">      </w:t>
      </w:r>
      <w:r>
        <w:rPr>
          <w:noProof/>
          <w:lang w:eastAsia="ru-RU"/>
        </w:rPr>
        <w:drawing>
          <wp:inline distT="0" distB="0" distL="0" distR="0" wp14:anchorId="2E4CEE06" wp14:editId="58542C47">
            <wp:extent cx="2293620" cy="7772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left="2124" w:firstLine="0"/>
      </w:pPr>
      <w:r>
        <w:t xml:space="preserve">       Рисунок 27 – «Справочник»</w:t>
      </w:r>
    </w:p>
    <w:p w:rsidR="0039513D" w:rsidRDefault="0039513D" w:rsidP="0039513D">
      <w:pPr>
        <w:pStyle w:val="a5"/>
      </w:pPr>
      <w:r>
        <w:t>В открытом окне справочника выбираем: «</w:t>
      </w:r>
      <w:r w:rsidRPr="00E033D3">
        <w:rPr>
          <w:b/>
        </w:rPr>
        <w:t>Файл</w:t>
      </w:r>
      <w:r>
        <w:t>» =</w:t>
      </w:r>
      <w:r w:rsidRPr="00145392">
        <w:t xml:space="preserve">&gt; </w:t>
      </w:r>
      <w:r>
        <w:t>«</w:t>
      </w:r>
      <w:r w:rsidRPr="00E033D3">
        <w:rPr>
          <w:b/>
        </w:rPr>
        <w:t>Создать</w:t>
      </w:r>
      <w:r>
        <w:t>» (рис. 28).</w:t>
      </w:r>
    </w:p>
    <w:p w:rsidR="0039513D" w:rsidRDefault="0039513D" w:rsidP="0039513D">
      <w:pPr>
        <w:pStyle w:val="a5"/>
        <w:ind w:left="1416" w:firstLine="0"/>
      </w:pPr>
      <w:r>
        <w:t xml:space="preserve">    </w:t>
      </w:r>
      <w:r>
        <w:tab/>
      </w:r>
      <w:r>
        <w:rPr>
          <w:noProof/>
          <w:lang w:eastAsia="ru-RU"/>
        </w:rPr>
        <w:drawing>
          <wp:inline distT="0" distB="0" distL="0" distR="0" wp14:anchorId="3033804D" wp14:editId="42CDE203">
            <wp:extent cx="2948940" cy="208026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left="2124" w:firstLine="0"/>
      </w:pPr>
      <w:r>
        <w:t xml:space="preserve">  Рисунок 28 – Создание справочника</w:t>
      </w:r>
    </w:p>
    <w:p w:rsidR="0039513D" w:rsidRDefault="0039513D" w:rsidP="0039513D">
      <w:pPr>
        <w:pStyle w:val="a5"/>
      </w:pPr>
      <w:r>
        <w:t>В справочнике содержатся все допустимые классы оборудования. Для того чтобы добавить («</w:t>
      </w:r>
      <w:r w:rsidRPr="00E033D3">
        <w:rPr>
          <w:b/>
        </w:rPr>
        <w:t>Добавить</w:t>
      </w:r>
      <w:r>
        <w:t>») или же удалить («</w:t>
      </w:r>
      <w:r w:rsidRPr="00E033D3">
        <w:rPr>
          <w:b/>
        </w:rPr>
        <w:t>Удалить</w:t>
      </w:r>
      <w:r>
        <w:t>») класс объекта, переходим в раздел «</w:t>
      </w:r>
      <w:r w:rsidRPr="00E033D3">
        <w:rPr>
          <w:b/>
        </w:rPr>
        <w:t>Действия</w:t>
      </w:r>
      <w:r>
        <w:t>» (рис. 29).</w:t>
      </w:r>
    </w:p>
    <w:p w:rsidR="0039513D" w:rsidRDefault="0039513D" w:rsidP="0039513D">
      <w:pPr>
        <w:pStyle w:val="a5"/>
        <w:ind w:left="2124" w:firstLine="0"/>
      </w:pPr>
      <w:r>
        <w:t xml:space="preserve">   </w:t>
      </w:r>
      <w:r>
        <w:rPr>
          <w:noProof/>
          <w:lang w:eastAsia="ru-RU"/>
        </w:rPr>
        <w:drawing>
          <wp:inline distT="0" distB="0" distL="0" distR="0" wp14:anchorId="6F647756" wp14:editId="7C430DCF">
            <wp:extent cx="2910840" cy="91440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Pr="00184A2C" w:rsidRDefault="0039513D" w:rsidP="0039513D">
      <w:pPr>
        <w:pStyle w:val="a5"/>
        <w:ind w:left="1416" w:firstLine="0"/>
      </w:pPr>
      <w:r>
        <w:t xml:space="preserve">      </w:t>
      </w:r>
      <w:r>
        <w:tab/>
        <w:t>Рисунок 29 – Редактирование справочника</w:t>
      </w:r>
    </w:p>
    <w:p w:rsidR="0039513D" w:rsidRPr="002B61FD" w:rsidRDefault="0039513D" w:rsidP="0039513D">
      <w:pPr>
        <w:pStyle w:val="a5"/>
      </w:pPr>
      <w:r w:rsidRPr="002B61FD">
        <w:t>Добавим несколько классов объекта – в только что созданные строки введем новые классы объектов «</w:t>
      </w:r>
      <w:proofErr w:type="spellStart"/>
      <w:r w:rsidRPr="002B61FD">
        <w:t>Computer</w:t>
      </w:r>
      <w:proofErr w:type="spellEnd"/>
      <w:r w:rsidRPr="002B61FD">
        <w:t>» и «</w:t>
      </w:r>
      <w:proofErr w:type="spellStart"/>
      <w:r w:rsidRPr="002B61FD">
        <w:t>Printer</w:t>
      </w:r>
      <w:proofErr w:type="spellEnd"/>
      <w:r w:rsidRPr="002B61FD">
        <w:t>» (рис. 30).</w:t>
      </w:r>
    </w:p>
    <w:p w:rsidR="0039513D" w:rsidRDefault="0039513D" w:rsidP="0039513D">
      <w:pPr>
        <w:pStyle w:val="a5"/>
        <w:ind w:left="1416"/>
        <w:rPr>
          <w:lang w:val="en-US"/>
        </w:rPr>
      </w:pPr>
      <w: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 wp14:anchorId="3375A9DF" wp14:editId="4402AA9A">
            <wp:extent cx="2933700" cy="25222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</w:pPr>
      <w:r>
        <w:t xml:space="preserve">          Рисунок 30 – Добавление новых классов в справочник</w:t>
      </w:r>
    </w:p>
    <w:p w:rsidR="0039513D" w:rsidRDefault="0039513D" w:rsidP="0039513D">
      <w:pPr>
        <w:pStyle w:val="a5"/>
      </w:pPr>
      <w:r>
        <w:t>Чтобы внести введенные данные в БД Справочника, нажимаем «</w:t>
      </w:r>
      <w:r w:rsidRPr="00E033D3">
        <w:rPr>
          <w:b/>
        </w:rPr>
        <w:t>Обновить данные</w:t>
      </w:r>
      <w:r>
        <w:t>» (рис. 31).</w:t>
      </w:r>
    </w:p>
    <w:p w:rsidR="0039513D" w:rsidRDefault="0039513D" w:rsidP="0039513D">
      <w:pPr>
        <w:pStyle w:val="a5"/>
      </w:pPr>
      <w:r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3557A093" wp14:editId="7DB7FDF1">
            <wp:extent cx="2880360" cy="2491740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</w:pPr>
      <w:r>
        <w:t xml:space="preserve">            Рисунок 30 – Обновление данных БД Справочника</w:t>
      </w:r>
    </w:p>
    <w:p w:rsidR="0039513D" w:rsidRDefault="0039513D" w:rsidP="0039513D">
      <w:pPr>
        <w:pStyle w:val="a5"/>
      </w:pPr>
      <w:r>
        <w:t>При необходимости, текущий справочник можно сохранить. Для этого нажмите «</w:t>
      </w:r>
      <w:r w:rsidRPr="00E033D3">
        <w:rPr>
          <w:b/>
        </w:rPr>
        <w:t>Файл</w:t>
      </w:r>
      <w:r>
        <w:t>» =</w:t>
      </w:r>
      <w:r w:rsidRPr="00007CE2">
        <w:t xml:space="preserve">&gt; </w:t>
      </w:r>
      <w:r>
        <w:t>«</w:t>
      </w:r>
      <w:r w:rsidRPr="00E033D3">
        <w:rPr>
          <w:b/>
        </w:rPr>
        <w:t>Сохранить</w:t>
      </w:r>
      <w:r>
        <w:t>» (рис. 31).</w:t>
      </w:r>
    </w:p>
    <w:p w:rsidR="0039513D" w:rsidRDefault="0039513D" w:rsidP="0039513D">
      <w:pPr>
        <w:pStyle w:val="a5"/>
        <w:ind w:left="2124" w:firstLine="0"/>
      </w:pPr>
      <w:r>
        <w:t xml:space="preserve">   </w:t>
      </w:r>
      <w:r>
        <w:rPr>
          <w:noProof/>
          <w:lang w:eastAsia="ru-RU"/>
        </w:rPr>
        <w:drawing>
          <wp:inline distT="0" distB="0" distL="0" distR="0" wp14:anchorId="1695FEE3" wp14:editId="13601984">
            <wp:extent cx="2971800" cy="2011680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690" cy="21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left="2124" w:firstLine="0"/>
      </w:pPr>
      <w:r>
        <w:lastRenderedPageBreak/>
        <w:t xml:space="preserve">   Рисунок 31 – Сохранение справочника</w:t>
      </w:r>
    </w:p>
    <w:p w:rsidR="0039513D" w:rsidRPr="00007CE2" w:rsidRDefault="0039513D" w:rsidP="0039513D">
      <w:pPr>
        <w:pStyle w:val="a5"/>
      </w:pPr>
      <w:r>
        <w:t>Теперь можно приступать к заполнению инвентаризационного учета.</w:t>
      </w:r>
    </w:p>
    <w:p w:rsidR="0039513D" w:rsidRDefault="0039513D" w:rsidP="0039513D">
      <w:pPr>
        <w:pStyle w:val="a5"/>
      </w:pPr>
      <w:r>
        <w:t>Переходим в основное окно (справочник можно закрыть, но для удобства работы рекомендуется его оставить). Для добавления или удаления объекта оборудования, переходим во вкладку «</w:t>
      </w:r>
      <w:r w:rsidRPr="00E033D3">
        <w:rPr>
          <w:b/>
        </w:rPr>
        <w:t>Действия</w:t>
      </w:r>
      <w:r>
        <w:t>» и выбираем нужное действие – нажмем «Добавить» несколько раз и заполним ячейки строк соответствующими данными (рис. 32).</w:t>
      </w:r>
    </w:p>
    <w:p w:rsidR="0039513D" w:rsidRDefault="0039513D" w:rsidP="0039513D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68BFA8A1" wp14:editId="1BB513DD">
            <wp:extent cx="5842000" cy="350520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</w:pPr>
      <w:r>
        <w:tab/>
      </w:r>
      <w:r>
        <w:tab/>
        <w:t>Рисунок 32 – Заполнение таблицы учета</w:t>
      </w:r>
    </w:p>
    <w:p w:rsidR="0039513D" w:rsidRDefault="0039513D" w:rsidP="0039513D">
      <w:pPr>
        <w:pStyle w:val="a5"/>
      </w:pPr>
      <w:r>
        <w:t>Для внесения данных таблицы в БД инвентаризационного учета, нажимаем кнопку «</w:t>
      </w:r>
      <w:r w:rsidRPr="00E033D3">
        <w:rPr>
          <w:b/>
        </w:rPr>
        <w:t>Обновить данные</w:t>
      </w:r>
      <w:r>
        <w:t>» (рис. 33).</w:t>
      </w:r>
    </w:p>
    <w:p w:rsidR="0039513D" w:rsidRDefault="0039513D" w:rsidP="0039513D">
      <w:pPr>
        <w:pStyle w:val="a5"/>
        <w:ind w:firstLine="0"/>
      </w:pPr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CC7C3EE" wp14:editId="66B42F3D">
            <wp:extent cx="5890260" cy="423672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</w:pPr>
      <w:r w:rsidRPr="002B61FD">
        <w:t xml:space="preserve"> </w:t>
      </w:r>
      <w:r>
        <w:t>Рисунок 33 – Обновление данных БД инвентаризационного учета</w:t>
      </w:r>
    </w:p>
    <w:p w:rsidR="0039513D" w:rsidRDefault="0039513D" w:rsidP="0039513D">
      <w:pPr>
        <w:pStyle w:val="a5"/>
      </w:pPr>
      <w:r>
        <w:t>Как видите, некоторые объекты были удалены, ибо их класс оборудования не был объявлен в справочнике.</w:t>
      </w:r>
    </w:p>
    <w:p w:rsidR="0039513D" w:rsidRDefault="0039513D" w:rsidP="0039513D">
      <w:pPr>
        <w:pStyle w:val="a5"/>
      </w:pPr>
      <w:r>
        <w:t>Для вывода общего свода данных инвентаризационного учета нажимаем на кнопку «</w:t>
      </w:r>
      <w:r w:rsidRPr="00E033D3">
        <w:rPr>
          <w:b/>
        </w:rPr>
        <w:t>Подсчитать</w:t>
      </w:r>
      <w:r>
        <w:t>» (рис. 34).</w:t>
      </w:r>
    </w:p>
    <w:p w:rsidR="0039513D" w:rsidRDefault="0039513D" w:rsidP="0039513D">
      <w:pPr>
        <w:pStyle w:val="a5"/>
        <w:ind w:left="2832" w:firstLine="0"/>
      </w:pPr>
      <w:r>
        <w:t xml:space="preserve">  </w:t>
      </w:r>
      <w:r>
        <w:rPr>
          <w:noProof/>
          <w:lang w:eastAsia="ru-RU"/>
        </w:rPr>
        <w:drawing>
          <wp:inline distT="0" distB="0" distL="0" distR="0" wp14:anchorId="298536B1" wp14:editId="768FDD9E">
            <wp:extent cx="2385060" cy="1097280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pStyle w:val="a5"/>
        <w:ind w:left="2124" w:firstLine="0"/>
      </w:pPr>
      <w:r>
        <w:t xml:space="preserve">    Рисунок 34 – Результат подсчета данных</w:t>
      </w:r>
    </w:p>
    <w:p w:rsidR="0039513D" w:rsidRDefault="0039513D" w:rsidP="0039513D">
      <w:pPr>
        <w:pStyle w:val="a5"/>
      </w:pPr>
      <w:r>
        <w:t>Для того, чтобы отсортировать данные таблицы, заходим во вкладку «</w:t>
      </w:r>
      <w:r w:rsidRPr="00E033D3">
        <w:rPr>
          <w:b/>
        </w:rPr>
        <w:t>Действия</w:t>
      </w:r>
      <w:r>
        <w:t>» =</w:t>
      </w:r>
      <w:r w:rsidRPr="00A92598">
        <w:t xml:space="preserve">&gt; </w:t>
      </w:r>
      <w:r>
        <w:t>«</w:t>
      </w:r>
      <w:r w:rsidRPr="00E033D3">
        <w:rPr>
          <w:b/>
        </w:rPr>
        <w:t>Сортировка</w:t>
      </w:r>
      <w:r>
        <w:t>» и выбираем подходящий тип сортировки (рис. 35 – 36).</w:t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35F4E2" wp14:editId="19002698">
            <wp:extent cx="5875020" cy="33604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Рисунок 35 – Выбор сортировки </w:t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5D55A4E" wp14:editId="54F627F2">
            <wp:extent cx="5875020" cy="34366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Рисунок 36 – Результат сортировки по ценам</w:t>
      </w:r>
    </w:p>
    <w:p w:rsidR="0039513D" w:rsidRPr="008A3832" w:rsidRDefault="0039513D" w:rsidP="0039513D">
      <w:pPr>
        <w:pStyle w:val="a5"/>
      </w:pPr>
      <w:r>
        <w:t>Для поиска интересующего оборудования, введите в строку поиска искомые данные и нажмите на кнопку «</w:t>
      </w:r>
      <w:r w:rsidRPr="00E033D3">
        <w:rPr>
          <w:b/>
        </w:rPr>
        <w:t>Найти</w:t>
      </w:r>
      <w:r>
        <w:t>» (рис. 37). Для очистки строки поиска используйте кнопку «</w:t>
      </w:r>
      <w:r>
        <w:rPr>
          <w:b/>
          <w:lang w:val="en-US"/>
        </w:rPr>
        <w:t>X</w:t>
      </w:r>
      <w:r>
        <w:t>».</w:t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2673EF1" wp14:editId="4DE656BA">
            <wp:extent cx="5852160" cy="40995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Рисунок 37 – Результат поиска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9513D" w:rsidRDefault="0039513D" w:rsidP="0039513D">
      <w:pPr>
        <w:pStyle w:val="a5"/>
      </w:pPr>
      <w:r>
        <w:t>Для экспорта данных в</w:t>
      </w:r>
      <w:r w:rsidRPr="00D00019">
        <w:t xml:space="preserve">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используется функция «</w:t>
      </w:r>
      <w:r w:rsidRPr="00E033D3">
        <w:rPr>
          <w:b/>
        </w:rPr>
        <w:t>Экспорт</w:t>
      </w:r>
      <w:r>
        <w:t>» во вкладке «Файл» основного окна (рис. 38).</w:t>
      </w:r>
      <w:r w:rsidRPr="007D76DD">
        <w:t xml:space="preserve"> </w:t>
      </w:r>
      <w:r>
        <w:t xml:space="preserve">Результатом будет открытая таблица </w:t>
      </w:r>
      <w:proofErr w:type="spellStart"/>
      <w:r>
        <w:t>Excel</w:t>
      </w:r>
      <w:proofErr w:type="spellEnd"/>
      <w:r w:rsidRPr="007D76DD">
        <w:t xml:space="preserve"> с т</w:t>
      </w:r>
      <w:r>
        <w:t>екущими данным инвентаризационного учета (рис. 39).</w:t>
      </w:r>
    </w:p>
    <w:p w:rsidR="0039513D" w:rsidRDefault="0039513D" w:rsidP="0039513D">
      <w:pPr>
        <w:ind w:left="212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899F9BD" wp14:editId="660E7BCF">
            <wp:extent cx="2522220" cy="17907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Pr="007D76DD" w:rsidRDefault="0039513D" w:rsidP="0039513D">
      <w:pPr>
        <w:ind w:left="212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Рисунок 38 – «Экспорт»</w:t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4B09E39" wp14:editId="16B2CB60">
            <wp:extent cx="5935980" cy="3261360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Pr="0079403F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Рисунок 39 – Результат экспорта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39513D" w:rsidRDefault="0039513D" w:rsidP="0039513D">
      <w:pPr>
        <w:pStyle w:val="a5"/>
      </w:pPr>
      <w:r>
        <w:t>Для сохранения текущего сеанса используется функция «</w:t>
      </w:r>
      <w:r w:rsidRPr="00E033D3">
        <w:rPr>
          <w:b/>
        </w:rPr>
        <w:t>Сохранить</w:t>
      </w:r>
      <w:r>
        <w:t>» во вкладке «Файл» основного окна (рис. 40). Сохранение происходит в текстовый файл. Файл, хранящий инвентаризационный учет показан на рисунке 41.</w:t>
      </w:r>
    </w:p>
    <w:p w:rsidR="0039513D" w:rsidRDefault="0039513D" w:rsidP="0039513D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430CD1B" wp14:editId="3F397D98">
            <wp:extent cx="2506980" cy="1973580"/>
            <wp:effectExtent l="0" t="0" r="762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  Рисунок 40 – «Сохранить»</w:t>
      </w:r>
    </w:p>
    <w:p w:rsidR="0039513D" w:rsidRDefault="0039513D" w:rsidP="0039513D">
      <w:pPr>
        <w:ind w:left="212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940291" wp14:editId="1833400E">
            <wp:extent cx="2179320" cy="39319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Рисунок 41 – Файл с сохранением учета</w:t>
      </w:r>
    </w:p>
    <w:p w:rsidR="0039513D" w:rsidRDefault="0039513D" w:rsidP="0039513D">
      <w:pPr>
        <w:pStyle w:val="a5"/>
      </w:pPr>
      <w:r>
        <w:t>Для начала работы с имеющимся файлом инвентаризационного учета, используется функция «</w:t>
      </w:r>
      <w:r w:rsidRPr="00E033D3">
        <w:rPr>
          <w:b/>
        </w:rPr>
        <w:t>Открыть</w:t>
      </w:r>
      <w:r>
        <w:t>»</w:t>
      </w:r>
      <w:r w:rsidRPr="00E033D3">
        <w:t xml:space="preserve"> </w:t>
      </w:r>
      <w:r>
        <w:t>во вкладке «</w:t>
      </w:r>
      <w:r w:rsidRPr="00E033D3">
        <w:rPr>
          <w:b/>
        </w:rPr>
        <w:t>Файл</w:t>
      </w:r>
      <w:r>
        <w:t>» основного окна (рис. 42). В диалоговом окне открытия файла (рис. 43) нужно выбрать структурированный текстовый файл (пример рис. 4).</w:t>
      </w:r>
    </w:p>
    <w:p w:rsidR="0039513D" w:rsidRDefault="0039513D" w:rsidP="0039513D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12D2897" wp14:editId="3C7AD19E">
            <wp:extent cx="2537460" cy="179832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Рисунок 42 – «Открыть»</w:t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EC86D0C" wp14:editId="7A0C31B5">
            <wp:extent cx="5707380" cy="394716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Рисунок 43 – Диалоговое окно выбора файла учета</w:t>
      </w:r>
    </w:p>
    <w:p w:rsidR="0039513D" w:rsidRDefault="0039513D" w:rsidP="0039513D">
      <w:pPr>
        <w:pStyle w:val="a5"/>
      </w:pPr>
      <w:r>
        <w:t>Для того чтобы закончить работу с текущим инвентаризационным учетом, нажмите на «</w:t>
      </w:r>
      <w:r w:rsidRPr="00883372">
        <w:rPr>
          <w:b/>
        </w:rPr>
        <w:t>Закрыть файл</w:t>
      </w:r>
      <w:r>
        <w:t>» во вкладке «</w:t>
      </w:r>
      <w:r w:rsidRPr="00E033D3">
        <w:rPr>
          <w:b/>
        </w:rPr>
        <w:t>Файл</w:t>
      </w:r>
      <w:r>
        <w:t xml:space="preserve">» основного окна (рис. 44). </w:t>
      </w:r>
    </w:p>
    <w:p w:rsidR="0039513D" w:rsidRDefault="0039513D" w:rsidP="0039513D">
      <w:pPr>
        <w:ind w:left="212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0DBF07A" wp14:editId="50A55EBF">
            <wp:extent cx="2560320" cy="17907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13D" w:rsidRDefault="0039513D" w:rsidP="0039513D">
      <w:pPr>
        <w:ind w:left="212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Рисунок 44 – «Закрыть файл»</w:t>
      </w:r>
    </w:p>
    <w:p w:rsidR="004E239D" w:rsidRDefault="004E239D"/>
    <w:sectPr w:rsidR="004E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3D"/>
    <w:rsid w:val="0039513D"/>
    <w:rsid w:val="004E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A8B8"/>
  <w15:chartTrackingRefBased/>
  <w15:docId w15:val="{26FD7190-3D14-4180-B742-92A38996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13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95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Курсовая"/>
    <w:basedOn w:val="1"/>
    <w:link w:val="a4"/>
    <w:qFormat/>
    <w:rsid w:val="0039513D"/>
    <w:pPr>
      <w:spacing w:before="360" w:after="120" w:line="360" w:lineRule="auto"/>
    </w:pPr>
    <w:rPr>
      <w:rFonts w:ascii="Times New Roman" w:hAnsi="Times New Roman" w:cs="Times New Roman"/>
      <w:b/>
      <w:color w:val="000000" w:themeColor="text1"/>
    </w:rPr>
  </w:style>
  <w:style w:type="character" w:customStyle="1" w:styleId="a4">
    <w:name w:val="Заголовок_Курсовая Знак"/>
    <w:basedOn w:val="10"/>
    <w:link w:val="a3"/>
    <w:rsid w:val="0039513D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customStyle="1" w:styleId="a5">
    <w:name w:val="Обычный_курсовая"/>
    <w:basedOn w:val="a"/>
    <w:link w:val="a6"/>
    <w:qFormat/>
    <w:rsid w:val="0039513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character" w:customStyle="1" w:styleId="a6">
    <w:name w:val="Обычный_курсовая Знак"/>
    <w:basedOn w:val="a0"/>
    <w:link w:val="a5"/>
    <w:rsid w:val="0039513D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9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Zvid</dc:creator>
  <cp:keywords/>
  <dc:description/>
  <cp:lastModifiedBy>Mikhail Zvid</cp:lastModifiedBy>
  <cp:revision>1</cp:revision>
  <dcterms:created xsi:type="dcterms:W3CDTF">2020-11-19T17:47:00Z</dcterms:created>
  <dcterms:modified xsi:type="dcterms:W3CDTF">2020-11-19T17:49:00Z</dcterms:modified>
</cp:coreProperties>
</file>