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hint="cs"/>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1E7B96A0" w14:textId="77777777"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14:paraId="064E2B4E" w14:textId="77777777" w:rsidR="00ED208F" w:rsidRDefault="00ED208F" w:rsidP="00886F36">
      <w:pPr>
        <w:widowControl w:val="0"/>
        <w:spacing w:line="240" w:lineRule="exact"/>
        <w:jc w:val="both"/>
        <w:rPr>
          <w:rStyle w:val="s01"/>
          <w:sz w:val="28"/>
          <w:szCs w:val="28"/>
        </w:rPr>
      </w:pPr>
    </w:p>
    <w:p w14:paraId="4D067F28" w14:textId="77777777" w:rsidR="002D47EA" w:rsidRDefault="002D47EA" w:rsidP="002D47EA">
      <w:pPr>
        <w:spacing w:line="240" w:lineRule="exact"/>
        <w:jc w:val="both"/>
        <w:rPr>
          <w:szCs w:val="18"/>
        </w:rPr>
      </w:pPr>
      <w:r>
        <w:rPr>
          <w:rStyle w:val="s01"/>
          <w:rFonts w:hint="cs"/>
          <w:rtl/>
        </w:rPr>
        <w:t>ערלה</w:t>
      </w:r>
      <w:r>
        <w:rPr>
          <w:rStyle w:val="FootnoteReference"/>
          <w:rtl/>
        </w:rPr>
        <w:footnoteReference w:id="1"/>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0D48FF6B" w14:textId="77777777" w:rsidR="002D47EA" w:rsidRDefault="002D47EA" w:rsidP="002D47EA">
      <w:pPr>
        <w:spacing w:line="240" w:lineRule="exact"/>
        <w:jc w:val="both"/>
        <w:rPr>
          <w:rStyle w:val="s02"/>
          <w:rFonts w:hint="cs"/>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56E94E1B" w14:textId="77777777" w:rsidR="002D47EA" w:rsidRDefault="002D47EA" w:rsidP="00D04523">
      <w:pPr>
        <w:spacing w:line="240" w:lineRule="exact"/>
        <w:jc w:val="both"/>
        <w:rPr>
          <w:rStyle w:val="s1510"/>
          <w:rtl/>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2"/>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3"/>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4"/>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5"/>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w:t>
      </w:r>
      <w:r w:rsidRPr="00F708DD">
        <w:rPr>
          <w:rStyle w:val="s02"/>
          <w:rtl/>
        </w:rPr>
        <w:lastRenderedPageBreak/>
        <w:t xml:space="preserve">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6"/>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7"/>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8"/>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9"/>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0"/>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lastRenderedPageBreak/>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1"/>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2"/>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3"/>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4"/>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5"/>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6"/>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7"/>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77777777"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FC488A7" w14:textId="77777777" w:rsidR="00E7588C" w:rsidRDefault="00E7588C" w:rsidP="00EA2BB4">
      <w:pPr>
        <w:spacing w:line="240" w:lineRule="exact"/>
        <w:jc w:val="both"/>
        <w:rPr>
          <w:rStyle w:val="s01"/>
          <w:rtl/>
        </w:rPr>
      </w:pP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8"/>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7777777"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9"/>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0"/>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1"/>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2"/>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3"/>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4"/>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5"/>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6"/>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7"/>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4EF52D29" w14:textId="77777777"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78D80" w14:textId="77777777" w:rsidR="0085725C" w:rsidRDefault="0085725C">
      <w:r>
        <w:separator/>
      </w:r>
    </w:p>
  </w:endnote>
  <w:endnote w:type="continuationSeparator" w:id="0">
    <w:p w14:paraId="2132EB59" w14:textId="77777777" w:rsidR="0085725C" w:rsidRDefault="0085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53AF0" w14:textId="77777777" w:rsidR="0085725C" w:rsidRDefault="0085725C">
      <w:r>
        <w:separator/>
      </w:r>
    </w:p>
  </w:footnote>
  <w:footnote w:type="continuationSeparator" w:id="0">
    <w:p w14:paraId="6538B466" w14:textId="77777777" w:rsidR="0085725C" w:rsidRDefault="0085725C">
      <w:r>
        <w:continuationSeparator/>
      </w:r>
    </w:p>
  </w:footnote>
  <w:footnote w:id="1">
    <w:p w14:paraId="447B7633" w14:textId="77777777" w:rsidR="002D47EA" w:rsidRDefault="002D47EA" w:rsidP="002D47EA">
      <w:pPr>
        <w:pStyle w:val="FootnoteText"/>
        <w:spacing w:line="240" w:lineRule="exact"/>
        <w:jc w:val="both"/>
        <w:rPr>
          <w:rStyle w:val="s03"/>
          <w:rFonts w:hint="cs"/>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 w:id="2">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3">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4">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5">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6">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7">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8">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9">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0">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חולין ה:.</w:t>
      </w:r>
    </w:p>
  </w:footnote>
  <w:footnote w:id="11">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2">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3">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4">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5">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6">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7">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8">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9">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0">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1">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w:t>
      </w:r>
      <w:r w:rsidRPr="00816F4E">
        <w:rPr>
          <w:rStyle w:val="s03"/>
          <w:rFonts w:hint="cs"/>
          <w:sz w:val="18"/>
          <w:rtl/>
        </w:rPr>
        <w:t xml:space="preserve">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2">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3">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4">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sz w:val="18"/>
          <w:rtl/>
        </w:rPr>
        <w:t>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5">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6">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קובץ א קנא.</w:t>
      </w:r>
    </w:p>
  </w:footnote>
  <w:footnote w:id="27">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25C"/>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5937</TotalTime>
  <Pages>14</Pages>
  <Words>3129</Words>
  <Characters>17839</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20927</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101</cp:revision>
  <dcterms:created xsi:type="dcterms:W3CDTF">2016-01-21T19:02:00Z</dcterms:created>
  <dcterms:modified xsi:type="dcterms:W3CDTF">2021-01-31T11:04:00Z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