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Image-Based 3D Rendering for Thai Arts and Culture: Novel-View Synthesis of the Thai Wooden Frog (Kob Mai)</w:t>
      </w:r>
    </w:p>
    <w:p>
      <w:pPr>
        <w:pStyle w:val="papersubtitle"/>
        <w:rPr/>
      </w:pPr>
      <w:r>
        <w:rPr/>
        <w:t>Interim Progress Report - Updated 25 August 2026</w:t>
      </w:r>
    </w:p>
    <w:p>
      <w:pPr>
        <w:pStyle w:val="Author"/>
        <w:rPr/>
      </w:pPr>
      <w:r>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rPr/>
      </w:pPr>
      <w:r>
        <w:rPr/>
        <w:t>Zwe Nyan Win</w:t>
        <w:br/>
        <w:t>Vincent Mary School of Engineering, Science and Technology</w:t>
        <w:br/>
        <w:t>Suvarnabhumi Campus, Assumption University of Thailand</w:t>
        <w:br/>
        <w:t>Samut Prakan, Thailand</w:t>
        <w:br/>
        <w:t>zwenyanwin001@gmail.com</w:t>
      </w:r>
    </w:p>
    <w:p>
      <w:pPr>
        <w:pStyle w:val="Author"/>
        <w:spacing w:before="0" w:after="40"/>
        <w:rPr/>
      </w:pPr>
      <w:r>
        <w:br w:type="column"/>
      </w:r>
      <w:r>
        <w:rPr/>
        <w:t>Zin Me Me That</w:t>
        <w:br/>
        <w:t>Vincent Mary School of Engineering, Science and Technology</w:t>
        <w:br/>
        <w:t>Suvarnabhumi Campus, Assumption University of Thailand</w:t>
        <w:br/>
        <w:t>Samut Prakan, Thailand</w:t>
        <w:br/>
        <w:t>u6611706@au.edu</w:t>
      </w:r>
    </w:p>
    <w:p>
      <w:pPr>
        <w:sectPr>
          <w:type w:val="continuous"/>
          <w:pgSz w:w="11906" w:h="16838"/>
          <w:pgMar w:left="893" w:right="893" w:gutter="0" w:header="0" w:top="540" w:footer="720" w:bottom="1440"/>
          <w:cols w:num="2" w:space="720" w:equalWidth="true" w:sep="false"/>
          <w:formProt w:val="false"/>
          <w:titlePg/>
          <w:textDirection w:val="lrTb"/>
          <w:docGrid w:type="default" w:linePitch="360" w:charSpace="0"/>
        </w:sectPr>
      </w:pPr>
    </w:p>
    <w:p>
      <w:pPr>
        <w:pStyle w:val="Abstract"/>
        <w:rPr/>
      </w:pPr>
      <w:r>
        <w:rPr>
          <w:i/>
        </w:rPr>
        <w:t>Abstract</w:t>
      </w:r>
      <w:r>
        <w:t>-This updated interim report records the 25 August 2026 software checkpoint for image-based 3D rendering of the Thai wooden frog, kob mai. Because the physical frog has not yet been purchased or photographed, no frog reconstruction result is claimed. Instead, a reproducible offline demonstration now validates the downstream pipeline using a clearly labelled synthetic wooden proxy: Otsu-based segmentation, a temporary analytic relative-depth proxy, textured height-field reconstruction, OBJ/MTL export, and novel-view rendering. The verified run produced 3,613 vertices and 6,898 triangles and rendered five 420 x 420 views in 1.39 s. It also generated a contact sheet, an MP4 viewpoint animation and JSON metrics. Learned monocular depth, physical frog capture and multi-view reconstruction remain pending.</w:t>
      </w:r>
    </w:p>
    <w:p>
      <w:pPr>
        <w:pStyle w:val="Keywords"/>
        <w:rPr/>
      </w:pPr>
      <w:r>
        <w:rPr/>
        <w:t>Keywords—Thai arts and culture, image-based rendering, novel view synthesis, 3D reconstruction, monocular depth estimation, texture mapping, wooden frog, kob mai</w:t>
      </w:r>
    </w:p>
    <w:p>
      <w:pPr>
        <w:pStyle w:val="Heading1"/>
        <w:ind w:hanging="0"/>
        <w:rPr/>
      </w:pPr>
      <w:r>
        <w:rPr/>
        <w:t>Introduction</w:t>
      </w:r>
    </w:p>
    <w:p>
      <w:pPr>
        <w:pStyle w:val="Heading2"/>
        <w:rPr/>
      </w:pPr>
      <w:r>
        <w:rPr/>
        <w:t>The Selected Topic: the Thai Wooden Frog</w:t>
      </w:r>
    </w:p>
    <w:p>
      <w:pPr>
        <w:pStyle w:val="BodyText"/>
        <w:rPr/>
      </w:pPr>
      <w:r>
        <w:rPr/>
        <w:t xml:space="preserve">The subject chosen within Thai arts and culture is the Thai wooden frog, known in Thai as </w:t>
      </w:r>
      <w:r>
        <w:rPr>
          <w:i/>
        </w:rPr>
        <w:t>kob mai</w:t>
      </w:r>
      <w:r>
        <w:rPr/>
        <w:t>. It is a frog or toad carved from a single piece of hardwood, hollowed to form a resonating chamber, with a row of ridges cut across its back. Drawing the supplied wooden beater along those ridges produces a rasping, repeated croak that closely imitates a real frog; striking the body gives a separate wooden knock. It therefore belongs to the same instrument family as the guiro, sounded by scraping rather than by striking alone.</w:t>
      </w:r>
    </w:p>
    <w:p>
      <w:pPr>
        <w:pStyle w:val="BodyText"/>
        <w:rPr/>
      </w:pPr>
      <w:r>
        <w:rPr/>
        <w:t>The object is worth study for two reasons. First, it is a genuine woodcarving craft: the form, the finish and the cut of the ridges are all hand work, and the instrument is strongly associated with the woodcarving trade of northern Thailand and sold throughout Thai handicraft markets. Second, it is one of the most widely recognised Thai souvenir objects among visitors, which makes it immediately legible to a workshop audience without requiring any background explanation.</w:t>
      </w:r>
    </w:p>
    <w:p>
      <w:pPr>
        <w:pStyle w:val="BodyText"/>
        <w:rPr/>
      </w:pPr>
      <w:r>
        <w:rPr/>
        <w:t>It is also well suited to this particular technical problem. The frog is small, rigid, opaque and matte, it has pronounced surface relief in the carved ridges, and it can be placed on a turntable and photographed from any angle. Those properties matter: they make it a far more tractable subject for geometry recovery than a large or unavailable artefact, and they open the door to genuine multi-view capture rather than reconstruction from a single found photograph.</w:t>
      </w:r>
    </w:p>
    <w:p>
      <w:pPr>
        <w:pStyle w:val="Heading2"/>
        <w:rPr/>
      </w:pPr>
      <w:r>
        <w:rPr/>
        <w:t>Scope of This Report</w:t>
      </w:r>
    </w:p>
    <w:p>
      <w:pPr>
        <w:pStyle w:val="BodyText"/>
        <w:rPr/>
      </w:pPr>
      <w:r>
        <w:rPr/>
        <w:t>This document is a dated checkpoint, not a completed study. Section II reviews the image-based rendering material on which the pipeline is built. Section III sets out the pipeline stage by stage. Section IV reports the implementation and the reproducible offline demonstration completed on 25 August 2026, while separating those results from real-frog work that remains pending.</w:t>
      </w:r>
    </w:p>
    <w:p>
      <w:pPr>
        <w:pStyle w:val="Heading1"/>
        <w:ind w:hanging="0"/>
        <w:rPr/>
      </w:pPr>
      <w:r>
        <w:rPr/>
        <w:t>Literature Review</w:t>
      </w:r>
    </w:p>
    <w:p>
      <w:pPr>
        <w:pStyle w:val="Heading2"/>
        <w:rPr/>
      </w:pPr>
      <w:r>
        <w:rPr/>
        <w:t>Image-Based Rendering</w:t>
      </w:r>
    </w:p>
    <w:p>
      <w:pPr>
        <w:pStyle w:val="BodyText"/>
        <w:rPr/>
      </w:pPr>
      <w:r>
        <w:rPr/>
        <w:t>Image-based rendering covers techniques that synthesise new views of a scene from a set of photographs, instead of modelling and shading a scene from scratch as in traditional graphics [1]. The established way to organise these methods is by how much geometry they use [4]. At one extreme, light field and lumigraph rendering store a dense sample of rays and interpolate between them with no geometric model at all [2], [3]. In the middle, view interpolation and layered depth images rely on implicit geometry in the form of correspondence or per-pixel depth. At the other extreme, methods that recover an explicit surface and texture it from the source photographs, such as view-dependent texture mapping [5], use geometry directly and can therefore work from far fewer input images.</w:t>
      </w:r>
    </w:p>
    <w:p>
      <w:pPr>
        <w:pStyle w:val="BodyText"/>
        <w:rPr/>
      </w:pPr>
      <w:r>
        <w:rPr/>
        <w:t>The pipeline described here sits at the explicit-geometry end of that spectrum. This is a deliberate choice driven by capture cost: light field methods need hundreds of densely sampled views, which is not practical for a student project with a handheld camera, whereas an explicit textured proxy can be rendered convincingly from a small number of photographs. Neural radiance fields [6] occupy a newer position in the same design space, trading a long per-object optimisation for very high visual quality; they remain a possible extension but are not the current approach, since they require both multi-view input and a GPU at render time.</w:t>
      </w:r>
    </w:p>
    <w:p>
      <w:pPr>
        <w:pStyle w:val="Heading2"/>
        <w:rPr/>
      </w:pPr>
      <w:r>
        <w:rPr/>
        <w:t>Recovering the Geometric Proxy</w:t>
      </w:r>
    </w:p>
    <w:p>
      <w:pPr>
        <w:pStyle w:val="BodyText"/>
        <w:rPr/>
      </w:pPr>
      <w:r>
        <w:rPr/>
        <w:t>Two routes to the proxy are relevant. Monocular depth estimation predicts a depth map from a single photograph using a network trained across many scenes [7], [8]. It requires only one image, but the depth it produces is relative rather than metric, and it recovers only the visible surface. Structure-from-motion instead recovers camera poses and a point cloud from many overlapping views of one rigid object [9], giving true multi-view geometry and a complete surface, at the cost of a controlled capture session. Both are in scope here and are discussed in Section III-F.</w:t>
      </w:r>
    </w:p>
    <w:p>
      <w:pPr>
        <w:pStyle w:val="Heading1"/>
        <w:ind w:hanging="0"/>
        <w:rPr/>
      </w:pPr>
      <w:r>
        <w:rPr/>
        <w:t>Methodology: the 3D Rendering Pipeline</w:t>
      </w:r>
    </w:p>
    <w:p>
      <w:pPr>
        <w:pStyle w:val="BodyText"/>
        <w:rPr/>
      </w:pPr>
      <w:r>
        <w:rPr/>
        <w:t>The pipeline takes photographs of a physical object and produces synthesised views of it from viewpoints that were never photographed. It has four stages: acquisition, depth estimation, surface reconstruction, and novel-view rendering. Table I maps each stage onto the course material it draws on.</w:t>
      </w:r>
    </w:p>
    <w:p>
      <w:pPr>
        <w:pStyle w:val="tablehead"/>
        <w:numPr>
          <w:ilvl w:val="0"/>
          <w:numId w:val="6"/>
        </w:numPr>
        <w:rPr/>
      </w:pPr>
      <w:r>
        <w:rPr/>
        <w:t>Pipeline stages and the corresponding course topics</w:t>
      </w:r>
    </w:p>
    <w:tbl>
      <w:tblPr>
        <w:tblW w:w="4860" w:type="dxa"/>
        <w:jc w:val="left"/>
        <w:tblInd w:w="70" w:type="dxa"/>
        <w:tblLayout w:type="fixed"/>
        <w:tblCellMar>
          <w:top w:w="0" w:type="dxa"/>
          <w:start w:w="108" w:type="dxa"/>
          <w:bottom w:w="0" w:type="dxa"/>
          <w:end w:w="108" w:type="dxa"/>
        </w:tblCellMar>
        <w:tblLook w:noHBand="0" w:lastColumn="0" w:firstColumn="0" w:lastRow="0" w:firstRow="0" w:noVBand="0" w:val="0000"/>
      </w:tblPr>
      <w:tblGrid>
        <w:gridCol w:w="650"/>
        <w:gridCol w:w="2000"/>
        <w:gridCol w:w="1400"/>
        <w:gridCol w:w="810"/>
      </w:tblGrid>
      <w:tr>
        <w:trPr>
          <w:tblHeader w:val="true"/>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No.</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Pipeline stage</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Method</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Ch.</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Acquisition and segmentation</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Otsu + morphology</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2, 3</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2</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Depth estimation</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relative depth</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12</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3</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Surface reconstruction</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height-field mesh</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13</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4</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Projection</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K[R|t]X</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2</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5</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Hidden-surface removal</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culling + painter</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14</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6</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Texture mapping</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affine warp</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3, 14</w:t>
            </w:r>
          </w:p>
        </w:tc>
      </w:tr>
      <w:tr>
        <w:trPr>
          <w:trHeight w:hRule="atLeast"/>
          <w:cantSplit/>
        </w:trPr>
        <w:tc>
          <w:tcPr>
            <w:tcW w:w="65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7</w:t>
            </w:r>
          </w:p>
        </w:tc>
        <w:tc>
          <w:tcPr>
            <w:tcW w:w="20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Shading</w:t>
            </w:r>
          </w:p>
        </w:tc>
        <w:tc>
          <w:tcPr>
            <w:tcW w:w="14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Lambertian n.l</w:t>
            </w:r>
          </w:p>
        </w:tc>
        <w:tc>
          <w:tcPr>
            <w:tcW w:w="81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2</w:t>
            </w:r>
          </w:p>
        </w:tc>
      </w:tr>
    </w:tbl>
    <w:p>
      <w:pPr>
        <w:pStyle w:val="tablefootnote"/>
        <w:numPr>
          <w:ilvl w:val="0"/>
          <w:numId w:val="7"/>
        </w:numPr>
        <w:ind w:hanging="29" w:start="58"/>
        <w:rPr/>
      </w:pPr>
      <w:r>
        <w:rPr/>
        <w:t>Chapter numbers follow Szeliski, 2nd edition. Chapter 14 is image-based rendering.</w:t>
      </w:r>
    </w:p>
    <w:p>
      <w:pPr>
        <w:pStyle w:val="Heading2"/>
        <w:rPr/>
      </w:pPr>
      <w:r>
        <w:rPr/>
        <w:t>Stage 1: Acquisition</w:t>
      </w:r>
    </w:p>
    <w:p>
      <w:pPr>
        <w:pStyle w:val="BodyText"/>
        <w:rPr/>
      </w:pPr>
      <w:r>
        <w:rPr/>
        <w:t>Photographs of the object are captured or collected, and the object is separated from its background. Segmentation uses Otsu thresholding followed by morphological closing and opening, retention of the largest connected component, and contour filling. This stage has now been exercised in the offline demonstration on a plain background. A manual threshold override remains available for difficult images; validation on the physical frog is pending capture.</w:t>
      </w:r>
    </w:p>
    <w:p>
      <w:pPr>
        <w:pStyle w:val="Heading2"/>
        <w:rPr/>
      </w:pPr>
      <w:r>
        <w:rPr/>
        <w:t>Stage 2: Depth Estimation</w:t>
      </w:r>
    </w:p>
    <w:p>
      <w:pPr>
        <w:pStyle w:val="BodyText"/>
        <w:rPr/>
      </w:pPr>
      <w:r>
        <w:rPr/>
        <w:t>The production path estimates a relative depth map from a single photograph using the pretrained Depth Anything V2 Small model. Its output is normalised to the unit interval and Gaussian-smoothed before meshing. That learned model has not yet been run because no frog photograph exists. For the 25 August checkpoint only, the offline demonstration substitutes an explicitly labelled analytic proxy derived from silhouette distance with shallow ridge structure. This temporary map validates mesh construction and rendering; it is not presented as a neural depth prediction or a result for the wooden frog.</w:t>
      </w:r>
    </w:p>
    <w:p>
      <w:pPr>
        <w:pStyle w:val="Heading2"/>
        <w:rPr/>
      </w:pPr>
      <w:r>
        <w:rPr/>
        <w:t>Stage 3: Surface Reconstruction</w:t>
      </w:r>
    </w:p>
    <w:p>
      <w:pPr>
        <w:pStyle w:val="BodyText"/>
        <w:rPr/>
      </w:pPr>
      <w:r>
        <w:rPr/>
        <w:t>The depth map is converted into a triangulated height-field mesh. A regular grid is laid over the segmented region, one vertex is emitted per grid sample that falls inside the object, and each set of four neighbouring vertices becomes two triangles, provided all four lie inside the silhouette. Texture coordinates come directly from the source image, so the original photograph becomes the texture map. A relief scaling parameter controls depth exaggeration. The result is written as a standard OBJ file with an accompanying MTL material, which makes it viewable in any 3D tool.</w:t>
      </w:r>
    </w:p>
    <w:p>
      <w:pPr>
        <w:pStyle w:val="BodyText"/>
        <w:rPr/>
      </w:pPr>
      <w:r>
        <w:rPr/>
        <w:t>This yields a relief, not a closed solid: it represents the surface visible from the camera and not the far side of the object. That is the fundamental limitation of single-image reconstruction and is the main reason for the multi-view extension described below.</w:t>
      </w:r>
    </w:p>
    <w:p>
      <w:pPr>
        <w:pStyle w:val="Heading2"/>
        <w:rPr/>
      </w:pPr>
      <w:r>
        <w:rPr/>
        <w:t>Stage 4: Novel-View Rendering</w:t>
      </w:r>
    </w:p>
    <w:p>
      <w:pPr>
        <w:pStyle w:val="BodyText"/>
        <w:rPr/>
      </w:pPr>
      <w:r>
        <w:rPr/>
        <w:t>This is the Chapter 14 stage. Given the textured proxy, a view from an arbitrary camera is synthesised as follows. Object vertices are transformed into camera coordinates by a rotation and translation, then projected with the pinhole model x = K [R | t] X, where the intrinsic matrix K is built from a chosen field of view and the principal point is placed at the image centre. Perspective division gives image coordinates.</w:t>
      </w:r>
    </w:p>
    <w:p>
      <w:pPr>
        <w:pStyle w:val="BodyText"/>
        <w:rPr/>
      </w:pPr>
      <w:r>
        <w:rPr/>
        <w:t>Hidden surfaces are removed in two steps. Back-facing triangles are culled using the sign of the projected signed area, and the survivors are drawn in order of decreasing camera depth, so nearer triangles overwrite farther ones. This is the painter's algorithm, chosen over a per-pixel depth buffer because the proxy is a height field and therefore free of the interpenetrating geometry that would defeat a pure depth ordering.</w:t>
      </w:r>
    </w:p>
    <w:p>
      <w:pPr>
        <w:pStyle w:val="BodyText"/>
        <w:rPr/>
      </w:pPr>
      <w:r>
        <w:rPr/>
        <w:t>Each visible triangle is textured by an affine warp. The triangle's texture coordinates and its projected image coordinates define a unique affine map, which is applied to the source photograph over the triangle's bounding box and composited through a filled-triangle mask. Shading is Lambertian: the face normal is computed in camera space, oriented toward the camera, and the diffuse term is the clamped dot product of that normal with the light direction, combined with an ambient floor. Because the whole stage is expressed through the projection, transformation and reflectance models from the course, no external rendering engine is required — only OpenCV and NumPy.</w:t>
      </w:r>
    </w:p>
    <w:p>
      <w:pPr>
        <w:pStyle w:val="Heading2"/>
        <w:rPr/>
      </w:pPr>
      <w:r>
        <w:rPr/>
        <w:t>Planned Extension: Multi-View Capture</w:t>
      </w:r>
    </w:p>
    <w:p>
      <w:pPr>
        <w:pStyle w:val="BodyText"/>
        <w:rPr/>
      </w:pPr>
      <w:r>
        <w:rPr/>
        <w:t>The wooden frog is small, rigid and physically obtainable, which makes a proper multi-view capture session realistic: the object can be placed on a turntable and photographed through a full rotation under fixed lighting. Those images support structure-from-motion [9] and hence a complete surface rather than a single-sided relief, and they also constitute the dense input that the stronger image-based rendering methods assume. This is the intended next stage of the pipeline and is the main reason the frog was preferred over subjects that exist only as found photographs on the web.</w:t>
      </w:r>
    </w:p>
    <w:p>
      <w:pPr>
        <w:pStyle w:val="Heading1"/>
        <w:ind w:hanging="0"/>
        <w:rPr/>
      </w:pPr>
      <w:r>
        <w:rPr/>
        <w:t>Results and Analysis</w:t>
      </w:r>
    </w:p>
    <w:p>
      <w:pPr>
        <w:pStyle w:val="BodyText"/>
        <w:rPr/>
      </w:pPr>
      <w:r>
        <w:rPr/>
        <w:t>Progress is reported as of 25 August 2026. Table II distinguishes implemented and verified software from work that still depends on obtaining the physical subject. The current evidence is an offline synthetic-proxy demonstration, so no result is claimed for the Thai wooden frog itself.</w:t>
      </w:r>
    </w:p>
    <w:p>
      <w:pPr>
        <w:pStyle w:val="tablehead"/>
        <w:numPr>
          <w:ilvl w:val="0"/>
          <w:numId w:val="6"/>
        </w:numPr>
        <w:rPr/>
      </w:pPr>
      <w:r>
        <w:rPr/>
        <w:t>Work status at this checkpoint</w:t>
      </w:r>
    </w:p>
    <w:tbl>
      <w:tblPr>
        <w:tblW w:w="4860" w:type="dxa"/>
        <w:jc w:val="left"/>
        <w:tblInd w:w="70" w:type="dxa"/>
        <w:tblLayout w:type="fixed"/>
        <w:tblCellMar>
          <w:top w:w="0" w:type="dxa"/>
          <w:start w:w="108" w:type="dxa"/>
          <w:bottom w:w="0" w:type="dxa"/>
          <w:end w:w="108" w:type="dxa"/>
        </w:tblCellMar>
        <w:tblLook w:noHBand="0" w:lastColumn="0" w:firstColumn="0" w:lastRow="0" w:firstRow="0" w:noVBand="0" w:val="0000"/>
      </w:tblPr>
      <w:tblGrid>
        <w:gridCol w:w="600"/>
        <w:gridCol w:w="2120"/>
        <w:gridCol w:w="900"/>
        <w:gridCol w:w="1240"/>
      </w:tblGrid>
      <w:tr>
        <w:trPr>
          <w:tblHeader w:val="true"/>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No.</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Component</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Status</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Evidence</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Topic selected (wooden frog)</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Done</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this report</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2</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Offline progress demonstration</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Done</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Fig. 1</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3</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Segmentation and depth-to-mesh</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Tested</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synthetic proxy</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4</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Novel-view renderer</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Done</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Table III</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5</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Learned depth on frog photo</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Pending</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photo needed</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6</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Physical frog image capture</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Pending</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frog pending</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7</w:t>
            </w:r>
          </w:p>
        </w:tc>
        <w:tc>
          <w:tcPr>
            <w:tcW w:w="212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Multi-view capture / workshop</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Planned</w:t>
            </w:r>
          </w:p>
        </w:tc>
        <w:tc>
          <w:tcPr>
            <w:tcW w:w="124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later stage</w:t>
            </w:r>
          </w:p>
        </w:tc>
      </w:tr>
    </w:tbl>
    <w:p>
      <w:pPr>
        <w:pStyle w:val="tablefootnote"/>
        <w:numPr>
          <w:ilvl w:val="0"/>
          <w:numId w:val="7"/>
        </w:numPr>
        <w:ind w:hanging="29" w:start="58"/>
        <w:rPr/>
      </w:pPr>
      <w:r>
        <w:rPr/>
        <w:t>Status verified on 25 August 2026. Pending items are not estimated.</w:t>
      </w:r>
    </w:p>
    <w:p>
      <w:pPr>
        <w:pStyle w:val="Heading2"/>
        <w:rPr/>
      </w:pPr>
      <w:r>
        <w:rPr/>
        <w:t>Renderer Validation</w:t>
      </w:r>
    </w:p>
    <w:p>
      <w:pPr>
        <w:pStyle w:val="BodyText"/>
        <w:rPr/>
      </w:pPr>
      <w:r>
        <w:rPr/>
        <w:t>The novel-view renderer is now validated through the reproducible command python run_progress_demo.py. The demonstration deliberately creates a labelled synthetic wooden proxy because the frog has not been purchased, then exercises segmentation, temporary depth preparation, height-field meshing, OBJ/MTL export, pinhole projection, back-face culling, painter's ordering, affine texture mapping and Lambertian shading. An automated offline test also reconstructs and renders a smaller proxy successfully. Earlier fixes for Y-axis mirroring, camera cropping and the Lambertian sign remain verified. Figure 1 records the generated evidence and Table III reports the current measured figures.</w:t>
      </w:r>
    </w:p>
    <w:p>
      <w:pPr>
        <w:spacing w:after="0"/>
        <w:jc w:val="center"/>
      </w:pPr>
      <w:r>
        <w:drawing>
          <wp:inline xmlns:a="http://schemas.openxmlformats.org/drawingml/2006/main">
            <wp:extent cx="3017520" cy="1508760"/>
            <wp:docPr id="1" name="Picture 1" descr="Six-panel progress demonstration showing a synthetic source, segmentation mask, temporary depth proxy, frontal rendering, and two novel views."/>
            <wp:cNvGraphicFramePr>
              <a:graphicFrameLocks noChangeAspect="1"/>
            </wp:cNvGraphicFramePr>
            <a:graphic>
              <a:graphicData uri="http://schemas.openxmlformats.org/drawingml/2006/picture">
                <pic:pic>
                  <pic:nvPicPr>
                    <pic:cNvPr id="0" name="progress_contact_sheet.png"/>
                    <pic:cNvPicPr/>
                  </pic:nvPicPr>
                  <pic:blipFill>
                    <a:blip r:embed="rId13"/>
                    <a:stretch>
                      <a:fillRect/>
                    </a:stretch>
                  </pic:blipFill>
                  <pic:spPr>
                    <a:xfrm>
                      <a:off x="0" y="0"/>
                      <a:ext cx="3017520" cy="1508760"/>
                    </a:xfrm>
                    <a:prstGeom prst="rect"/>
                  </pic:spPr>
                </pic:pic>
              </a:graphicData>
            </a:graphic>
          </wp:inline>
        </w:drawing>
      </w:r>
    </w:p>
    <w:p>
      <w:pPr>
        <w:pStyle w:val="figurecaption"/>
        <w:jc w:val="center"/>
      </w:pPr>
      <w:r>
        <w:t>Offline checkpoint evidence generated 25 August 2026: synthetic source, segmentation mask, temporary analytic depth proxy, frontal rendering, and -35 degree / +35 degree novel views.</w:t>
      </w:r>
    </w:p>
    <w:p>
      <w:pPr>
        <w:pStyle w:val="tablehead"/>
        <w:numPr>
          <w:ilvl w:val="0"/>
          <w:numId w:val="6"/>
        </w:numPr>
        <w:rPr/>
      </w:pPr>
      <w:r>
        <w:rPr/>
        <w:t>Measured performance on the 25 August 2026 progress demo</w:t>
      </w:r>
    </w:p>
    <w:tbl>
      <w:tblPr>
        <w:tblW w:w="4860" w:type="dxa"/>
        <w:jc w:val="left"/>
        <w:tblInd w:w="70" w:type="dxa"/>
        <w:tblLayout w:type="fixed"/>
        <w:tblCellMar>
          <w:top w:w="0" w:type="dxa"/>
          <w:start w:w="108" w:type="dxa"/>
          <w:bottom w:w="0" w:type="dxa"/>
          <w:end w:w="108" w:type="dxa"/>
        </w:tblCellMar>
        <w:tblLook w:noHBand="0" w:lastColumn="0" w:firstColumn="0" w:lastRow="0" w:firstRow="0" w:noVBand="0" w:val="0000"/>
      </w:tblPr>
      <w:tblGrid>
        <w:gridCol w:w="600"/>
        <w:gridCol w:w="1900"/>
        <w:gridCol w:w="900"/>
        <w:gridCol w:w="1460"/>
      </w:tblGrid>
      <w:tr>
        <w:trPr>
          <w:tblHeader w:val="true"/>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No.</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Measurement</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Value</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lhead"/>
              <w:rPr/>
            </w:pPr>
            <w:r>
              <w:rPr/>
              <w:t>Notes</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Mesh vertices</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3,613</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synthetic proxy</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2</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Mesh triangles</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6,898</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synthetic proxy</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3</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Novel views rendered</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5</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yaw -35 to +35 deg</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4</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Total render time</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1.39 s</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420 x 420 px</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5</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Average time per view</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0.279 s</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CPU, offline</w:t>
            </w:r>
          </w:p>
        </w:tc>
      </w:tr>
      <w:tr>
        <w:trPr>
          <w:trHeight w:hRule="atLeast"/>
          <w:cantSplit/>
        </w:trPr>
        <w:tc>
          <w:tcPr>
            <w:tcW w:w="6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6</w:t>
            </w:r>
          </w:p>
        </w:tc>
        <w:tc>
          <w:tcPr>
            <w:tcW w:w="1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Triangles drawn per view</w:t>
            </w:r>
          </w:p>
        </w:tc>
        <w:tc>
          <w:tcPr>
            <w:tcW w:w="90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6,213-6,897</w:t>
            </w:r>
          </w:p>
        </w:tc>
        <w:tc>
          <w:tcPr>
            <w:tcW w:w="1460" w:type="dxa"/>
            <w:tcBorders>
              <w:top w:val="single" w:sz="2" w:space="0" w:color="000000"/>
              <w:start w:val="single" w:sz="2" w:space="0" w:color="000000"/>
              <w:bottom w:val="single" w:sz="2" w:space="0" w:color="000000"/>
              <w:end w:val="single" w:sz="2" w:space="0" w:color="000000"/>
            </w:tcBorders>
            <w:vAlign w:val="center"/>
            <w:tcMar>
              <w:top w:w="40" w:type="dxa"/>
              <w:bottom w:w="40" w:type="dxa"/>
              <w:start w:w="70" w:type="dxa"/>
              <w:end w:w="70" w:type="dxa"/>
            </w:tcMar>
          </w:tcPr>
          <w:p>
            <w:pPr>
              <w:pStyle w:val="tablecopy"/>
              <w:rPr/>
            </w:pPr>
            <w:r>
              <w:rPr/>
              <w:t>after culling</w:t>
            </w:r>
          </w:p>
        </w:tc>
      </w:tr>
    </w:tbl>
    <w:p>
      <w:pPr>
        <w:pStyle w:val="tablefootnote"/>
        <w:numPr>
          <w:ilvl w:val="0"/>
          <w:numId w:val="7"/>
        </w:numPr>
        <w:ind w:hanging="29" w:start="58"/>
        <w:rPr/>
      </w:pPr>
      <w:r>
        <w:rPr/>
        <w:t>Measured in the local cv environment, CPU only, at 420 x 420 pixels. Counts vary with yaw because back-face culling removes a different fraction of the relief.</w:t>
      </w:r>
    </w:p>
    <w:p>
      <w:pPr>
        <w:pStyle w:val="Heading2"/>
        <w:rPr/>
      </w:pPr>
      <w:r>
        <w:rPr/>
        <w:t>Known Limitations</w:t>
      </w:r>
    </w:p>
    <w:p>
      <w:pPr>
        <w:pStyle w:val="BodyText"/>
        <w:rPr/>
      </w:pPr>
      <w:r>
        <w:rPr/>
        <w:t>Four limitations are recognised at this checkpoint.</w:t>
      </w:r>
    </w:p>
    <w:p>
      <w:pPr>
        <w:pStyle w:val="bulletlist"/>
        <w:numPr>
          <w:ilvl w:val="0"/>
          <w:numId w:val="2"/>
        </w:numPr>
        <w:ind w:hanging="288" w:start="576"/>
        <w:rPr/>
      </w:pPr>
      <w:r>
        <w:rPr>
          <w:b/>
        </w:rPr>
        <w:t>Single-image reconstruction gives only a relief.</w:t>
      </w:r>
      <w:r>
        <w:t xml:space="preserve"> The far side is not recovered, so the current demonstration intentionally uses a narrow -35 degree to +35 degree viewing arc. Multi-view reconstruction is the planned route to a complete surface.</w:t>
      </w:r>
    </w:p>
    <w:p>
      <w:pPr>
        <w:pStyle w:val="bulletlist"/>
        <w:numPr>
          <w:ilvl w:val="0"/>
          <w:numId w:val="2"/>
        </w:numPr>
        <w:ind w:hanging="288" w:start="576"/>
        <w:rPr/>
      </w:pPr>
      <w:r>
        <w:rPr>
          <w:b/>
        </w:rPr>
        <w:t>Learned depth has not yet been run.</w:t>
      </w:r>
      <w:r>
        <w:t xml:space="preserve"> The current analytic depth map is a software-validation placeholder, not a model prediction. After capture, Depth Anything V2 will provide relative rather than metric depth, so relief scale will still require inspection.</w:t>
      </w:r>
    </w:p>
    <w:p>
      <w:pPr>
        <w:pStyle w:val="bulletlist"/>
        <w:numPr>
          <w:ilvl w:val="0"/>
          <w:numId w:val="2"/>
        </w:numPr>
        <w:ind w:hanging="288" w:start="576"/>
        <w:rPr/>
      </w:pPr>
      <w:r>
        <w:rPr>
          <w:b/>
        </w:rPr>
        <w:t>Rendering is not yet fully interactive.</w:t>
      </w:r>
      <w:r>
        <w:t xml:space="preserve"> The current 420 x 420 demonstration averages 0.279 s per view, which is suitable for offline animations but below a smooth live frame rate. Mesh reduction or a vectorised rasteriser would be required for a workshop station.</w:t>
      </w:r>
    </w:p>
    <w:p>
      <w:pPr>
        <w:pStyle w:val="bulletlist"/>
        <w:numPr>
          <w:ilvl w:val="0"/>
          <w:numId w:val="2"/>
        </w:numPr>
        <w:ind w:hanging="288" w:start="576"/>
        <w:rPr/>
      </w:pPr>
      <w:r>
        <w:rPr>
          <w:b/>
        </w:rPr>
        <w:t>Segmentation assumes a plain background.</w:t>
      </w:r>
      <w:r>
        <w:t xml:space="preserve"> Otsu thresholding works well on the controlled synthetic image but still requires validation on the captured frog. A high-contrast matte backdrop is planned.</w:t>
      </w:r>
    </w:p>
    <w:p>
      <w:pPr>
        <w:pStyle w:val="Heading1"/>
        <w:ind w:hanging="0"/>
        <w:rPr/>
      </w:pPr>
      <w:r>
        <w:rPr/>
        <w:t>Conclusion</w:t>
      </w:r>
    </w:p>
    <w:p>
      <w:pPr>
        <w:pStyle w:val="BodyText"/>
        <w:rPr/>
      </w:pPr>
      <w:r>
        <w:rPr/>
        <w:t>This report has set out the selected topic within Thai arts and culture, the Thai wooden frog, and the image-based rendering pipeline being built around it. The pipeline recovers an explicit textured geometric proxy from photographs and synthesises novel views of it using the projection, hidden-surface, texture-mapping and reflectance models from the course, which places it at the explicit-geometry end of the image-based rendering spectrum described in Chapter 14.</w:t>
      </w:r>
    </w:p>
    <w:p>
      <w:pPr>
        <w:pStyle w:val="BodyText"/>
        <w:rPr/>
      </w:pPr>
      <w:r>
        <w:rPr/>
        <w:t>At the 25 August 2026 checkpoint, the complete offline software path runs from a labelled synthetic source through segmentation, temporary depth, textured mesh export and novel-view rendering. The verified demonstration produced 3,613 vertices, 6,898 triangles, five rendered viewpoints, a contact sheet, an MP4 animation and machine-readable metrics; the automated pipeline test passed. These results validate the implementation only and are not claimed for the Thai wooden frog. The immediate next steps are to obtain and photograph the physical frog, run Depth Anything V2 on the real image, compare the predicted relief with the current proxy, and then capture a controlled multi-view turntable set for complete reconstruction.</w:t>
      </w:r>
    </w:p>
    <w:p>
      <w:pPr>
        <w:pStyle w:val="Heading5"/>
        <w:rPr/>
      </w:pPr>
      <w:r>
        <w:rPr/>
        <w:t>References</w:t>
      </w:r>
    </w:p>
    <w:p>
      <w:pPr>
        <w:pStyle w:val="references"/>
        <w:numPr>
          <w:ilvl w:val="0"/>
          <w:numId w:val="5"/>
        </w:numPr>
        <w:rPr/>
      </w:pPr>
      <w:r>
        <w:rPr/>
        <w:t xml:space="preserve">R. Szeliski, </w:t>
      </w:r>
      <w:r>
        <w:rPr>
          <w:i/>
        </w:rPr>
        <w:t>Computer Vision: Algorithms and Applications</w:t>
      </w:r>
      <w:r>
        <w:rPr/>
        <w:t>, 2nd ed. Cham, Switzerland: Springer, 2022, ch. 14.</w:t>
      </w:r>
    </w:p>
    <w:p>
      <w:pPr>
        <w:pStyle w:val="references"/>
        <w:numPr>
          <w:ilvl w:val="0"/>
          <w:numId w:val="5"/>
        </w:numPr>
        <w:rPr/>
      </w:pPr>
      <w:r>
        <w:rPr/>
        <w:t xml:space="preserve">M. Levoy and P. Hanrahan, "Light field rendering," in </w:t>
      </w:r>
      <w:r>
        <w:rPr>
          <w:i/>
        </w:rPr>
        <w:t>Proc. 23rd Annu. Conf. Computer Graphics and Interactive Techniques (SIGGRAPH)</w:t>
      </w:r>
      <w:r>
        <w:rPr/>
        <w:t>, 1996, pp. 31–42.</w:t>
      </w:r>
    </w:p>
    <w:p>
      <w:pPr>
        <w:pStyle w:val="references"/>
        <w:numPr>
          <w:ilvl w:val="0"/>
          <w:numId w:val="5"/>
        </w:numPr>
        <w:rPr/>
      </w:pPr>
      <w:r>
        <w:rPr/>
        <w:t xml:space="preserve">S. J. Gortler, R. Grzeszczuk, R. Szeliski, and M. F. Cohen, "The lumigraph," in </w:t>
      </w:r>
      <w:r>
        <w:rPr>
          <w:i/>
        </w:rPr>
        <w:t>Proc. SIGGRAPH</w:t>
      </w:r>
      <w:r>
        <w:rPr/>
        <w:t>, 1996, pp. 43–54.</w:t>
      </w:r>
    </w:p>
    <w:p>
      <w:pPr>
        <w:pStyle w:val="references"/>
        <w:numPr>
          <w:ilvl w:val="0"/>
          <w:numId w:val="5"/>
        </w:numPr>
        <w:rPr/>
      </w:pPr>
      <w:r>
        <w:rPr/>
        <w:t xml:space="preserve">H.-Y. Shum and S. B. Kang, "A review of image-based rendering techniques," in </w:t>
      </w:r>
      <w:r>
        <w:rPr>
          <w:i/>
        </w:rPr>
        <w:t>Proc. SPIE Visual Communications and Image Processing</w:t>
      </w:r>
      <w:r>
        <w:rPr/>
        <w:t>, vol. 4067, 2000, pp. 2–13.</w:t>
      </w:r>
    </w:p>
    <w:p>
      <w:pPr>
        <w:pStyle w:val="references"/>
        <w:numPr>
          <w:ilvl w:val="0"/>
          <w:numId w:val="5"/>
        </w:numPr>
        <w:rPr/>
      </w:pPr>
      <w:r>
        <w:rPr/>
        <w:t xml:space="preserve">P. E. Debevec, C. J. Taylor, and J. Malik, "Modeling and rendering architecture from photographs: A hybrid geometry- and image-based approach," in </w:t>
      </w:r>
      <w:r>
        <w:rPr>
          <w:i/>
        </w:rPr>
        <w:t>Proc. SIGGRAPH</w:t>
      </w:r>
      <w:r>
        <w:rPr/>
        <w:t>, 1996, pp. 11–20.</w:t>
      </w:r>
    </w:p>
    <w:p>
      <w:pPr>
        <w:pStyle w:val="references"/>
        <w:numPr>
          <w:ilvl w:val="0"/>
          <w:numId w:val="5"/>
        </w:numPr>
        <w:rPr/>
      </w:pPr>
      <w:r>
        <w:rPr/>
        <w:t xml:space="preserve">B. Mildenhall, P. P. Srinivasan, M. Tancik, J. T. Barron, R. Ramamoorthi, and R. Ng, "NeRF: Representing scenes as neural radiance fields for view synthesis," in </w:t>
      </w:r>
      <w:r>
        <w:rPr>
          <w:i/>
        </w:rPr>
        <w:t>Proc. European Conf. Computer Vision (ECCV)</w:t>
      </w:r>
      <w:r>
        <w:rPr/>
        <w:t>, 2020, pp. 405–421.</w:t>
      </w:r>
    </w:p>
    <w:p>
      <w:pPr>
        <w:pStyle w:val="references"/>
        <w:numPr>
          <w:ilvl w:val="0"/>
          <w:numId w:val="5"/>
        </w:numPr>
        <w:rPr/>
      </w:pPr>
      <w:r>
        <w:rPr/>
        <w:t xml:space="preserve">R. Ranftl, K. Lasinger, D. Hafner, K. Schindler, and V. Koltun, "Towards robust monocular depth estimation: Mixing datasets for zero-shot cross-dataset transfer," </w:t>
      </w:r>
      <w:r>
        <w:rPr>
          <w:i/>
        </w:rPr>
        <w:t>IEEE Trans. Pattern Analysis and Machine Intelligence</w:t>
      </w:r>
      <w:r>
        <w:rPr/>
        <w:t>, vol. 44, no. 3, pp. 1623–1637, 2022.</w:t>
      </w:r>
    </w:p>
    <w:p>
      <w:pPr>
        <w:pStyle w:val="references"/>
        <w:numPr>
          <w:ilvl w:val="0"/>
          <w:numId w:val="5"/>
        </w:numPr>
        <w:rPr/>
      </w:pPr>
      <w:r>
        <w:rPr/>
        <w:t xml:space="preserve">L. Yang, B. Kang, Z. Huang, Z. Zhao, X. Xu, J. Feng, and H. Zhao, "Depth Anything V2," in </w:t>
      </w:r>
      <w:r>
        <w:rPr>
          <w:i/>
        </w:rPr>
        <w:t>Advances in Neural Information Processing Systems (NeurIPS)</w:t>
      </w:r>
      <w:r>
        <w:rPr/>
        <w:t>, 2024.</w:t>
      </w:r>
    </w:p>
    <w:p>
      <w:pPr>
        <w:pStyle w:val="references"/>
        <w:numPr>
          <w:ilvl w:val="0"/>
          <w:numId w:val="5"/>
        </w:numPr>
        <w:rPr/>
      </w:pPr>
      <w:r>
        <w:rPr/>
        <w:t xml:space="preserve">J. L. Schönberger and J.-M. Frahm, "Structure-from-motion revisited," in </w:t>
      </w:r>
      <w:r>
        <w:rPr>
          <w:i/>
        </w:rPr>
        <w:t>Proc. IEEE Conf. Computer Vision and Pattern Recognition (CVPR)</w:t>
      </w:r>
      <w:r>
        <w:rPr/>
        <w:t>, 2016, pp. 4104–4113.</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f76fe8"/>
    <w:rPr>
      <w:color w:themeColor="hyperlink" w:val="0563C1"/>
      <w:u w:val="single"/>
    </w:rPr>
  </w:style>
  <w:style w:type="character" w:styleId="UnresolvedMention">
    <w:name w:val="Unresolved Mention"/>
    <w:basedOn w:val="DefaultParagraphFont"/>
    <w:uiPriority w:val="99"/>
    <w:semiHidden/>
    <w:unhideWhenUsed/>
    <w:qFormat/>
    <w:rsid w:val="00f76fe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Relationship Id="rId13"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28CC447-685F-4580-93A3-4906AECB6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f7001-81a4-451f-bb72-9c8b6a30fd01"/>
    <ds:schemaRef ds:uri="5dbbcfdd-641d-42ed-b89a-2cb245189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purl.oclc.org/ooxml/officeDocument/customXml" ds:itemID="{BD474D59-C140-4160-A654-4DEF6F6446B8}">
  <ds:schemaRefs>
    <ds:schemaRef ds:uri="http://schemas.microsoft.com/office/2006/metadata/properties"/>
    <ds:schemaRef ds:uri="http://schemas.microsoft.com/office/infopath/2007/PartnerControls"/>
    <ds:schemaRef ds:uri="5dbbcfdd-641d-42ed-b89a-2cb2451897ef"/>
    <ds:schemaRef ds:uri="c27f7001-81a4-451f-bb72-9c8b6a30fd01"/>
  </ds:schemaRefs>
</ds:datastoreItem>
</file>

<file path=customXml/itemProps3.xml><?xml version="1.0" encoding="utf-8"?>
<ds:datastoreItem xmlns:ds="http://purl.oclc.org/ooxml/officeDocument/customXml" ds:itemID="{F2993B60-A8F8-4E3E-AC0F-645CD3999391}">
  <ds:schemaRefs>
    <ds:schemaRef ds:uri="http://schemas.microsoft.com/sharepoint/v3/contenttype/forms"/>
  </ds:schemaRefs>
</ds:datastoreItem>
</file>

<file path=customXml/itemProps4.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2026-08-18T09:47:00Z</dcterms:created>
  <dc:creator>IEEE</dc:creator>
  <dc:description/>
  <dc:language>en-US</dc:language>
  <cp:lastModifiedBy>ZWE NYAN WIN -</cp:lastModifiedBy>
  <dcterms:modified xsi:type="dcterms:W3CDTF">2026-08-25T00:00:00Z</dcterms:modified>
  <cp:revision>2</cp:revision>
  <dc:subject/>
  <dc:title>Image-Based 3D Rendering of the Thai Wooden Frog - Progress Update 25 August 2026</dc:title>
</cp:coreProperties>
</file>