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САНКТ-ПЕТЕРБУРГСКИЙ ПОЛИТЕХНИЧЕСКИЙ УНИВЕРСИТЕТ</w:t>
        <w:br/>
      </w:r>
      <w:r>
        <w:t>Петра Великого</w:t>
        <w:br/>
        <w:br/>
      </w:r>
      <w:r>
        <w:rPr>
          <w:b/>
        </w:rPr>
        <w:t>ПЛАН ЭКСПЕРИМЕНТАЛЬНОГО ЭТАПА РГР</w:t>
        <w:br/>
      </w:r>
      <w:r>
        <w:rPr>
          <w:b/>
        </w:rPr>
        <w:t>Сравнительный анализ эффективности GPU-ускорения аналитических запросов</w:t>
        <w:br/>
        <w:t>в DuckDB с использованием Sirius на суперкомпьютере</w:t>
      </w:r>
    </w:p>
    <w:p>
      <w:r>
        <w:br/>
        <w:br/>
      </w:r>
    </w:p>
    <w:p>
      <w:pPr>
        <w:jc w:val="center"/>
      </w:pPr>
      <w:r>
        <w:t>Статус: план будущих экспериментов</w:t>
        <w:br/>
        <w:t>Октябрь 2026 г.</w:t>
      </w:r>
    </w:p>
    <w:p>
      <w:r>
        <w:br w:type="page"/>
      </w:r>
    </w:p>
    <w:p>
      <w:pPr>
        <w:pStyle w:val="Heading1"/>
      </w:pPr>
      <w:r>
        <w:t>1. Основание и текущее состояние работы</w:t>
      </w:r>
    </w:p>
    <w:p>
      <w:r>
        <w:t>На локальном этапе подготовлена среда DuckDB с Sirius и база TPC-H масштаба SF=0,1. Выполнено сопоставление CPU- и GPU-исполнения запросов Q1, Q3 и Q6. Перед серией измерений выполнялся прогрев, затем проводилось пять запусков; итоговым показателем принималась медиана.</w:t>
      </w:r>
    </w:p>
    <w:p>
      <w:r>
        <w:t>В сопоставимой локальной серии при двух потоках CPU получены медианные времена: Q1 — 18 мс на CPU и 25 мс на GPU; Q6 — 3 и 10 мс; Q3 — 9 и 24 мс соответственно. Ускорение составило 0,72×, 0,30× и 0,38×. На данном небольшом объёме данных GPU-исполнение не обеспечило выигрыша.</w:t>
      </w:r>
    </w:p>
    <w:p>
      <w:r>
        <w:t>Фактическое использование GPU подтверждено журналами Sirius: зафиксированы замена физического плана на GPU-оператор, выделение GPU и успешное завершение GPU-исполнения. Эти измерения являются исходной точкой, а не доказательством того, что GPU всегда медленнее CPU.</w:t>
      </w:r>
    </w:p>
    <w:p>
      <w:pPr>
        <w:pStyle w:val="Heading1"/>
      </w:pPr>
      <w:r>
        <w:t>2. Цель и задачи</w:t>
      </w:r>
    </w:p>
    <w:p>
      <w:r>
        <w:t>Цель этапа — исследовать, как масштаб данных и структура аналитических запросов влияют на эффективность GPU-ускорения в DuckDB с Sirius при проведении экспериментов на суперкомпьютере университета.</w:t>
      </w:r>
    </w:p>
    <w:p>
      <w:pPr>
        <w:pStyle w:val="ListBullet"/>
      </w:pPr>
      <w:r>
        <w:t>Уточнить способ доступа к суперкомпьютеру, планировщик задач и ограничения вычислительных узлов.</w:t>
      </w:r>
    </w:p>
    <w:p>
      <w:pPr>
        <w:pStyle w:val="ListBullet"/>
      </w:pPr>
      <w:r>
        <w:t>Зафиксировать характеристики CPU, GPU, RAM, видеопамяти, версии драйверов, CUDA, DuckDB и Sirius.</w:t>
      </w:r>
    </w:p>
    <w:p>
      <w:pPr>
        <w:pStyle w:val="ListBullet"/>
      </w:pPr>
      <w:r>
        <w:t>Подготовить наборы TPC-H нескольких масштабов.</w:t>
      </w:r>
    </w:p>
    <w:p>
      <w:pPr>
        <w:pStyle w:val="ListBullet"/>
      </w:pPr>
      <w:r>
        <w:t>Добавить запросы с несколькими соединениями, агрегациями и сортировкой.</w:t>
      </w:r>
    </w:p>
    <w:p>
      <w:pPr>
        <w:pStyle w:val="ListBullet"/>
      </w:pPr>
      <w:r>
        <w:t>Провести сопоставимые CPU- и GPU-измерения.</w:t>
      </w:r>
    </w:p>
    <w:p>
      <w:pPr>
        <w:pStyle w:val="ListBullet"/>
      </w:pPr>
      <w:r>
        <w:t>Проверять корректность результатов, фактическое GPU-исполнение и наличие fallback.</w:t>
      </w:r>
    </w:p>
    <w:p>
      <w:pPr>
        <w:pStyle w:val="ListBullet"/>
      </w:pPr>
      <w:r>
        <w:t>Рассчитать медианы, ускорение и разброс измерений, сравнить результаты между масштабами.</w:t>
      </w:r>
    </w:p>
    <w:p>
      <w:pPr>
        <w:pStyle w:val="Heading1"/>
      </w:pPr>
      <w:r>
        <w:t>3. Рабочая гипотеза</w:t>
      </w:r>
    </w:p>
    <w:p>
      <w:r>
        <w:t>При небольшом объёме данных накладные расходы GPU-исполнения могут превышать выгоду от параллельной обработки. При увеличении объёма данных для запросов, поддерживаемых GPU-путём Sirius, отношение времени CPU к времени GPU может вырасти. Это гипотеза для проверки, а не заранее гарантированный результат.</w:t>
      </w:r>
    </w:p>
    <w:p>
      <w:pPr>
        <w:pStyle w:val="Heading1"/>
      </w:pPr>
      <w:r>
        <w:t>4. Данные и масштабирование</w:t>
      </w:r>
    </w:p>
    <w:p>
      <w:r>
        <w:t>Используется TPC-H — аналитический бенчмарк для реляционных СУБД. Масштабный фактор SF определяет объём генерируемых данных. Начальный целевой масштаб на суперкомпьютере — SF=1; следующие масштабы будут зависеть от доступной RAM, видеопамяти, дисковой квоты и ограничений очереди.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Масштаб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312"/>
          </w:tcPr>
          <w:p>
            <w:r>
              <w:t>SF=0,1</w:t>
            </w:r>
          </w:p>
        </w:tc>
        <w:tc>
          <w:tcPr>
            <w:tcW w:type="dxa" w:w="3312"/>
          </w:tcPr>
          <w:p>
            <w:r>
              <w:t>Локальная исходная точка</w:t>
            </w:r>
          </w:p>
        </w:tc>
        <w:tc>
          <w:tcPr>
            <w:tcW w:type="dxa" w:w="3312"/>
          </w:tcPr>
          <w:p>
            <w:r>
              <w:t>Выполнено</w:t>
            </w:r>
          </w:p>
        </w:tc>
      </w:tr>
      <w:tr>
        <w:tc>
          <w:tcPr>
            <w:tcW w:type="dxa" w:w="3312"/>
          </w:tcPr>
          <w:p>
            <w:r>
              <w:t>SF=1</w:t>
            </w:r>
          </w:p>
        </w:tc>
        <w:tc>
          <w:tcPr>
            <w:tcW w:type="dxa" w:w="3312"/>
          </w:tcPr>
          <w:p>
            <w:r>
              <w:t>Первый масштаб на суперкомпьютере</w:t>
            </w:r>
          </w:p>
        </w:tc>
        <w:tc>
          <w:tcPr>
            <w:tcW w:type="dxa" w:w="3312"/>
          </w:tcPr>
          <w:p>
            <w:r>
              <w:t>Запланировано</w:t>
            </w:r>
          </w:p>
        </w:tc>
      </w:tr>
      <w:tr>
        <w:tc>
          <w:tcPr>
            <w:tcW w:type="dxa" w:w="3312"/>
          </w:tcPr>
          <w:p>
            <w:r>
              <w:t>SF=10</w:t>
            </w:r>
          </w:p>
        </w:tc>
        <w:tc>
          <w:tcPr>
            <w:tcW w:type="dxa" w:w="3312"/>
          </w:tcPr>
          <w:p>
            <w:r>
              <w:t>Проверка влияния увеличения данных</w:t>
            </w:r>
          </w:p>
        </w:tc>
        <w:tc>
          <w:tcPr>
            <w:tcW w:type="dxa" w:w="3312"/>
          </w:tcPr>
          <w:p>
            <w:r>
              <w:t>При достаточных ресурсах</w:t>
            </w:r>
          </w:p>
        </w:tc>
      </w:tr>
      <w:tr>
        <w:tc>
          <w:tcPr>
            <w:tcW w:type="dxa" w:w="3312"/>
          </w:tcPr>
          <w:p>
            <w:r>
              <w:t>SF=30 и выше</w:t>
            </w:r>
          </w:p>
        </w:tc>
        <w:tc>
          <w:tcPr>
            <w:tcW w:type="dxa" w:w="3312"/>
          </w:tcPr>
          <w:p>
            <w:r>
              <w:t>Поиск границы масштабирования</w:t>
            </w:r>
          </w:p>
        </w:tc>
        <w:tc>
          <w:tcPr>
            <w:tcW w:type="dxa" w:w="3312"/>
          </w:tcPr>
          <w:p>
            <w:r>
              <w:t>Если позволит инфраструктура</w:t>
            </w:r>
          </w:p>
        </w:tc>
      </w:tr>
    </w:tbl>
    <w:p>
      <w:r>
        <w:t>Переход к следующему масштабу выполняется после проверки успешной генерации данных и возможности выполнить выбранные запросы. Перечень масштабов не является обязательством выполнить каждый из них при любых ограничениях кластера.</w:t>
      </w:r>
    </w:p>
    <w:p>
      <w:pPr>
        <w:pStyle w:val="Heading1"/>
      </w:pPr>
      <w:r>
        <w:t>5. Набор запросов</w:t>
      </w:r>
    </w:p>
    <w:p>
      <w:r>
        <w:t>Сохраняются Q1, Q3 и Q6, использованные в локальной серии. Дополнительно рассматриваются стандартные запросы TPC-H Q5, Q10 и Q12.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Основные операции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12"/>
          </w:tcPr>
          <w:p>
            <w:r>
              <w:t>Q1</w:t>
            </w:r>
          </w:p>
        </w:tc>
        <w:tc>
          <w:tcPr>
            <w:tcW w:type="dxa" w:w="3312"/>
          </w:tcPr>
          <w:p>
            <w:r>
              <w:t>Фильтрация, GROUP BY, агрегаты, сортировка</w:t>
            </w:r>
          </w:p>
        </w:tc>
        <w:tc>
          <w:tcPr>
            <w:tcW w:type="dxa" w:w="3312"/>
          </w:tcPr>
          <w:p>
            <w:r>
              <w:t>Базовый запрос с агрегацией</w:t>
            </w:r>
          </w:p>
        </w:tc>
      </w:tr>
      <w:tr>
        <w:tc>
          <w:tcPr>
            <w:tcW w:type="dxa" w:w="3312"/>
          </w:tcPr>
          <w:p>
            <w:r>
              <w:t>Q3</w:t>
            </w:r>
          </w:p>
        </w:tc>
        <w:tc>
          <w:tcPr>
            <w:tcW w:type="dxa" w:w="3312"/>
          </w:tcPr>
          <w:p>
            <w:r>
              <w:t>JOIN, фильтрация, группировка, ORDER BY, LIMIT</w:t>
            </w:r>
          </w:p>
        </w:tc>
        <w:tc>
          <w:tcPr>
            <w:tcW w:type="dxa" w:w="3312"/>
          </w:tcPr>
          <w:p>
            <w:r>
              <w:t>Соединения и ранжирование заказов</w:t>
            </w:r>
          </w:p>
        </w:tc>
      </w:tr>
      <w:tr>
        <w:tc>
          <w:tcPr>
            <w:tcW w:type="dxa" w:w="3312"/>
          </w:tcPr>
          <w:p>
            <w:r>
              <w:t>Q5</w:t>
            </w:r>
          </w:p>
        </w:tc>
        <w:tc>
          <w:tcPr>
            <w:tcW w:type="dxa" w:w="3312"/>
          </w:tcPr>
          <w:p>
            <w:r>
              <w:t>Несколько JOIN, фильтрация, SUM, GROUP BY</w:t>
            </w:r>
          </w:p>
        </w:tc>
        <w:tc>
          <w:tcPr>
            <w:tcW w:type="dxa" w:w="3312"/>
          </w:tcPr>
          <w:p>
            <w:r>
              <w:t>Региональная выручка</w:t>
            </w:r>
          </w:p>
        </w:tc>
      </w:tr>
      <w:tr>
        <w:tc>
          <w:tcPr>
            <w:tcW w:type="dxa" w:w="3312"/>
          </w:tcPr>
          <w:p>
            <w:r>
              <w:t>Q6</w:t>
            </w:r>
          </w:p>
        </w:tc>
        <w:tc>
          <w:tcPr>
            <w:tcW w:type="dxa" w:w="3312"/>
          </w:tcPr>
          <w:p>
            <w:r>
              <w:t>Фильтрация и агрегирование</w:t>
            </w:r>
          </w:p>
        </w:tc>
        <w:tc>
          <w:tcPr>
            <w:tcW w:type="dxa" w:w="3312"/>
          </w:tcPr>
          <w:p>
            <w:r>
              <w:t>Базовый запрос с простой структурой</w:t>
            </w:r>
          </w:p>
        </w:tc>
      </w:tr>
      <w:tr>
        <w:tc>
          <w:tcPr>
            <w:tcW w:type="dxa" w:w="3312"/>
          </w:tcPr>
          <w:p>
            <w:r>
              <w:t>Q10</w:t>
            </w:r>
          </w:p>
        </w:tc>
        <w:tc>
          <w:tcPr>
            <w:tcW w:type="dxa" w:w="3312"/>
          </w:tcPr>
          <w:p>
            <w:r>
              <w:t>Несколько JOIN, группировка, сортировка</w:t>
            </w:r>
          </w:p>
        </w:tc>
        <w:tc>
          <w:tcPr>
            <w:tcW w:type="dxa" w:w="3312"/>
          </w:tcPr>
          <w:p>
            <w:r>
              <w:t>Выручка по заказчикам</w:t>
            </w:r>
          </w:p>
        </w:tc>
      </w:tr>
      <w:tr>
        <w:tc>
          <w:tcPr>
            <w:tcW w:type="dxa" w:w="3312"/>
          </w:tcPr>
          <w:p>
            <w:r>
              <w:t>Q12</w:t>
            </w:r>
          </w:p>
        </w:tc>
        <w:tc>
          <w:tcPr>
            <w:tcW w:type="dxa" w:w="3312"/>
          </w:tcPr>
          <w:p>
            <w:r>
              <w:t>JOIN, фильтрация, условные агрегаты</w:t>
            </w:r>
          </w:p>
        </w:tc>
        <w:tc>
          <w:tcPr>
            <w:tcW w:type="dxa" w:w="3312"/>
          </w:tcPr>
          <w:p>
            <w:r>
              <w:t>Анализ способов доставки</w:t>
            </w:r>
          </w:p>
        </w:tc>
      </w:tr>
    </w:tbl>
    <w:p>
      <w:r>
        <w:t>Сложность SQL сама по себе не гарантирует GPU-исполнение. Для каждого запроса необходимо проверить план и журналы Sirius. Если возникает fallback на CPU, его следует зафиксировать отдельно и не трактовать запуск как чистое GPU-исполнение.</w:t>
      </w:r>
    </w:p>
    <w:p>
      <w:pPr>
        <w:pStyle w:val="Heading1"/>
      </w:pPr>
      <w:r>
        <w:t>6. Методика измерений</w:t>
      </w:r>
    </w:p>
    <w:p>
      <w:pPr>
        <w:pStyle w:val="ListBullet"/>
      </w:pPr>
      <w:r>
        <w:t>Зафиксировать конфигурацию узла и версии программного обеспечения.</w:t>
      </w:r>
    </w:p>
    <w:p>
      <w:pPr>
        <w:pStyle w:val="ListBullet"/>
      </w:pPr>
      <w:r>
        <w:t>Использовать одинаковые данные, SQL и сопоставимые настройки для CPU- и GPU-режимов.</w:t>
      </w:r>
    </w:p>
    <w:p>
      <w:pPr>
        <w:pStyle w:val="ListBullet"/>
      </w:pPr>
      <w:r>
        <w:t>Для CPU-контроля отключить GPU-исполнение; для GPU-варианта включить его и проверить журналы Sirius.</w:t>
      </w:r>
    </w:p>
    <w:p>
      <w:pPr>
        <w:pStyle w:val="ListBullet"/>
      </w:pPr>
      <w:r>
        <w:t>Выполнить один прогревочный запуск, затем не менее пяти измерений каждого запроса.</w:t>
      </w:r>
    </w:p>
    <w:p>
      <w:pPr>
        <w:pStyle w:val="ListBullet"/>
      </w:pPr>
      <w:r>
        <w:t>Проверить совпадение результатов и числа возвращённых строк.</w:t>
      </w:r>
    </w:p>
    <w:p>
      <w:pPr>
        <w:pStyle w:val="ListBullet"/>
      </w:pPr>
      <w:r>
        <w:t>Сохранять все времена отдельных запусков, а не только медиану.</w:t>
      </w:r>
    </w:p>
    <w:p>
      <w:pPr>
        <w:pStyle w:val="ListBullet"/>
      </w:pPr>
      <w:r>
        <w:t>Повторить процедуру на нескольких масштабах, если позволяют ресурсы.</w:t>
      </w:r>
    </w:p>
    <w:p>
      <w:pPr>
        <w:pStyle w:val="Heading1"/>
      </w:pPr>
      <w:r>
        <w:t>7. Метрики и анализ</w:t>
      </w:r>
    </w:p>
    <w:p>
      <w:r>
        <w:t>Для каждой комбинации «масштаб — запрос — режим» сохраняются времена отдельных запусков, медиана, минимум, максимум, режим исполнения (GPU, CPU или смешанный/fallback), корректность результата, количество строк и конфигурация среды.</w:t>
      </w:r>
    </w:p>
    <w:p>
      <w:r>
        <w:t>Коэффициент ускорения рассчитывается как S = T_CPU / T_GPU. При S &gt; 1 GPU-вариант быстрее CPU; при S &lt; 1 — медленнее. Сравнение считается корректным только при совпадающих результатах и сопоставимых условиях измерения. При значительном разбросе число повторов увеличивается.</w:t>
      </w:r>
    </w:p>
    <w:p>
      <w:pPr>
        <w:pStyle w:val="Heading1"/>
      </w:pPr>
      <w:r>
        <w:t>8. Воспроизводимость</w:t>
      </w:r>
    </w:p>
    <w:p>
      <w:r>
        <w:t>Будут сохранены SQL-файлы, скрипты запуска, сырые журналы, результаты измерений и описание конфигурации. При использовании планировщика задач сохраняются сценарии отправки и сведения о выделенных узлах. Если версии DuckDB или Sirius на кластере отличаются от локальных, это будет явно указано; влияние различий программной среды будет оговорено.</w:t>
      </w:r>
    </w:p>
    <w:p>
      <w:pPr>
        <w:pStyle w:val="Heading1"/>
      </w:pPr>
      <w:r>
        <w:t>9. Риски и 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968"/>
          </w:tcPr>
          <w:p>
            <w:r>
              <w:rPr>
                <w:b/>
              </w:rPr>
              <w:t>Мера</w:t>
            </w:r>
          </w:p>
        </w:tc>
      </w:tr>
      <w:tr>
        <w:tc>
          <w:tcPr>
            <w:tcW w:type="dxa" w:w="4968"/>
          </w:tcPr>
          <w:p>
            <w:r>
              <w:t>Способ доступа пока неизвестен</w:t>
            </w:r>
          </w:p>
        </w:tc>
        <w:tc>
          <w:tcPr>
            <w:tcW w:type="dxa" w:w="4968"/>
          </w:tcPr>
          <w:p>
            <w:r>
              <w:t>После получения доступа уточнить документацию и адаптировать запуск.</w:t>
            </w:r>
          </w:p>
        </w:tc>
      </w:tr>
      <w:tr>
        <w:tc>
          <w:tcPr>
            <w:tcW w:type="dxa" w:w="4968"/>
          </w:tcPr>
          <w:p>
            <w:r>
              <w:t>Недостаточно видеопамяти для большого SF</w:t>
            </w:r>
          </w:p>
        </w:tc>
        <w:tc>
          <w:tcPr>
            <w:tcW w:type="dxa" w:w="4968"/>
          </w:tcPr>
          <w:p>
            <w:r>
              <w:t>Увеличивать масштаб постепенно и фиксировать предел успешного выполнения.</w:t>
            </w:r>
          </w:p>
        </w:tc>
      </w:tr>
      <w:tr>
        <w:tc>
          <w:tcPr>
            <w:tcW w:type="dxa" w:w="4968"/>
          </w:tcPr>
          <w:p>
            <w:r>
              <w:t>Запрос не поддерживается GPU-путём</w:t>
            </w:r>
          </w:p>
        </w:tc>
        <w:tc>
          <w:tcPr>
            <w:tcW w:type="dxa" w:w="4968"/>
          </w:tcPr>
          <w:p>
            <w:r>
              <w:t>Проверить план и логи; отметить fallback и при необходимости выбрать другой запрос.</w:t>
            </w:r>
          </w:p>
        </w:tc>
      </w:tr>
      <w:tr>
        <w:tc>
          <w:tcPr>
            <w:tcW w:type="dxa" w:w="4968"/>
          </w:tcPr>
          <w:p>
            <w:r>
              <w:t>Нагрузка кластера влияет на время</w:t>
            </w:r>
          </w:p>
        </w:tc>
        <w:tc>
          <w:tcPr>
            <w:tcW w:type="dxa" w:w="4968"/>
          </w:tcPr>
          <w:p>
            <w:r>
              <w:t>Использовать повторные измерения, медиану и сохранять исходные значения.</w:t>
            </w:r>
          </w:p>
        </w:tc>
      </w:tr>
      <w:tr>
        <w:tc>
          <w:tcPr>
            <w:tcW w:type="dxa" w:w="4968"/>
          </w:tcPr>
          <w:p>
            <w:r>
              <w:t>Аппаратная конфигурация отличается</w:t>
            </w:r>
          </w:p>
        </w:tc>
        <w:tc>
          <w:tcPr>
            <w:tcW w:type="dxa" w:w="4968"/>
          </w:tcPr>
          <w:p>
            <w:r>
              <w:t>Фиксировать характеристики и, если возможно, сравнивать режимы на одном узле.</w:t>
            </w:r>
          </w:p>
        </w:tc>
      </w:tr>
    </w:tbl>
    <w:p>
      <w:pPr>
        <w:pStyle w:val="Heading1"/>
      </w:pPr>
      <w:r>
        <w:t>10. Этапы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Работа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Уточнение доступа и характеристик суперкомпьютера</w:t>
            </w:r>
          </w:p>
        </w:tc>
        <w:tc>
          <w:tcPr>
            <w:tcW w:type="dxa" w:w="3312"/>
          </w:tcPr>
          <w:p>
            <w:r>
              <w:t>Описание среды и способа запуска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Подготовка TPC-H SF=1 и SQL-набора</w:t>
            </w:r>
          </w:p>
        </w:tc>
        <w:tc>
          <w:tcPr>
            <w:tcW w:type="dxa" w:w="3312"/>
          </w:tcPr>
          <w:p>
            <w:r>
              <w:t>Проверенные данные и запросы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Проверка GPU-планов и fallback</w:t>
            </w:r>
          </w:p>
        </w:tc>
        <w:tc>
          <w:tcPr>
            <w:tcW w:type="dxa" w:w="3312"/>
          </w:tcPr>
          <w:p>
            <w:r>
              <w:t>Список запросов с подтверждённым GPU-исполнением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CPU/GPU-измерения на SF=1</w:t>
            </w:r>
          </w:p>
        </w:tc>
        <w:tc>
          <w:tcPr>
            <w:tcW w:type="dxa" w:w="3312"/>
          </w:tcPr>
          <w:p>
            <w:r>
              <w:t>Сырые данные и первая таблица сравнения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Повторение на SF=10 и более крупных масштабах при наличии ресурсов</w:t>
            </w:r>
          </w:p>
        </w:tc>
        <w:tc>
          <w:tcPr>
            <w:tcW w:type="dxa" w:w="3312"/>
          </w:tcPr>
          <w:p>
            <w:r>
              <w:t>Зависимость ускорения от объёма данных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Анализ результатов и оформление</w:t>
            </w:r>
          </w:p>
        </w:tc>
        <w:tc>
          <w:tcPr>
            <w:tcW w:type="dxa" w:w="3312"/>
          </w:tcPr>
          <w:p>
            <w:r>
              <w:t>Итоговый отчёт и выводы</w:t>
            </w:r>
          </w:p>
        </w:tc>
      </w:tr>
    </w:tbl>
    <w:p>
      <w:pPr>
        <w:pStyle w:val="Heading1"/>
      </w:pPr>
      <w:r>
        <w:t>11. Ожидаемые результаты</w:t>
      </w:r>
    </w:p>
    <w:p>
      <w:pPr>
        <w:pStyle w:val="ListBullet"/>
      </w:pPr>
      <w:r>
        <w:t>Воспроизводимые сценарии запуска аналитических запросов на суперкомпьютере.</w:t>
      </w:r>
    </w:p>
    <w:p>
      <w:pPr>
        <w:pStyle w:val="ListBullet"/>
      </w:pPr>
      <w:r>
        <w:t>Сравнение CPU- и GPU-времени для нескольких запросов TPC-H.</w:t>
      </w:r>
    </w:p>
    <w:p>
      <w:pPr>
        <w:pStyle w:val="ListBullet"/>
      </w:pPr>
      <w:r>
        <w:t>Оценка влияния масштаба данных на ускорение.</w:t>
      </w:r>
    </w:p>
    <w:p>
      <w:pPr>
        <w:pStyle w:val="ListBullet"/>
      </w:pPr>
      <w:r>
        <w:t>Описание запросов, для которых Sirius фактически использует GPU, и ограничений, связанных с fallback или памятью.</w:t>
      </w:r>
    </w:p>
    <w:p>
      <w:pPr>
        <w:pStyle w:val="ListBullet"/>
      </w:pPr>
      <w:r>
        <w:t>Вывод об условиях, при которых GPU-ускорение целесообразно.</w:t>
      </w:r>
    </w:p>
    <w:p>
      <w:r>
        <w:t>Все перечисленные результаты относятся к будущему этапу. Численные показатели для SF=1 и больших масштабов не задаются до проведения измерений на суперкомпьютере.</w:t>
      </w:r>
    </w:p>
    <w:sectPr w:rsidR="00FC693F" w:rsidRPr="0006063C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