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  <w:i w:val="0"/>
        </w:rPr>
        <w:t>КУРСОВАЯ РАБОТА</w:t>
        <w:br/>
        <w:t>Пункты 1–4</w:t>
      </w:r>
    </w:p>
    <w:p>
      <w:pPr>
        <w:ind w:firstLine="0"/>
        <w:jc w:val="center"/>
      </w:pPr>
      <w:r>
        <w:rPr>
          <w:i/>
        </w:rPr>
        <w:t>Вариант 3. Разработка MVP мобильного приложения для интернет-магазина</w:t>
      </w:r>
    </w:p>
    <w:p>
      <w:pPr>
        <w:ind w:firstLine="0"/>
        <w:jc w:val="center"/>
      </w:pPr>
      <w:r>
        <w:rPr>
          <w:i/>
        </w:rPr>
        <w:t>Рабочая версия отчёта</w:t>
      </w:r>
    </w:p>
    <w:p>
      <w:r>
        <w:br w:type="page"/>
      </w:r>
    </w:p>
    <w:p>
      <w:pPr>
        <w:pStyle w:val="Heading1"/>
      </w:pPr>
      <w:r>
        <w:t>1. Цель программного проекта</w:t>
      </w:r>
    </w:p>
    <w:p>
      <w:r>
        <w:rPr>
          <w:i w:val="0"/>
        </w:rPr>
        <w:t>Целью программного проекта является разработка и выпуск минимально жизнеспособного продукта (MVP) мобильного приложения для интернет-магазина, обеспечивающего регистрацию и авторизацию пользователей, просмотр каталога товаров, поиск и фильтрацию товаров, добавление товаров в корзину, оформление заказа и получение уведомлений о статусе заказа.</w:t>
      </w:r>
    </w:p>
    <w:p>
      <w:r>
        <w:rPr>
          <w:i w:val="0"/>
        </w:rPr>
        <w:t>Проект планируется выполнить командой из трёх разработчиков за 2,5 месяца. После реализации MVP заказчик организует проверку целевой группой пользователей в течение двух дней. Выпуск допускается только при положительном консолидированном отзыве. При отрицательном отзыве команда анализирует замечания, выполняет необходимые доработки и согласует повторную проверку.</w:t>
      </w:r>
    </w:p>
    <w:p>
      <w:pPr>
        <w:pStyle w:val="Heading1"/>
      </w:pPr>
      <w:r>
        <w:t>2. Ресурсы проекта</w:t>
      </w:r>
    </w:p>
    <w:p>
      <w:pPr>
        <w:pStyle w:val="Heading2"/>
      </w:pPr>
      <w:r>
        <w:t>2.1. Исходные данные и допущения</w:t>
      </w:r>
    </w:p>
    <w:p>
      <w:r>
        <w:rPr>
          <w:i w:val="0"/>
        </w:rPr>
        <w:t>Согласно варианту 3, заказчик предоставляет формальные требования к характеристикам MVP и сценарии использования (Use Cases). Предварительная длительность проекта — 2,5 месяца; в разработке участвуют три разработчика. Планирование ниже исходит из десяти недель (пять спринтов по две недели), что является приближением к 2,5 календарным месяцам. Руководитель команды и специалист QA включены как проектные допущения; они могут участвовать частично или совмещать обязанности.</w:t>
      </w:r>
    </w:p>
    <w:p>
      <w:pPr>
        <w:pStyle w:val="Heading2"/>
      </w:pPr>
      <w:r>
        <w:t>2.2. Людские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170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Роль</w:t>
            </w:r>
          </w:p>
        </w:tc>
        <w:tc>
          <w:tcPr>
            <w:tcW w:type="dxa" w:w="170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Количество / участие</w:t>
            </w:r>
          </w:p>
        </w:tc>
        <w:tc>
          <w:tcPr>
            <w:tcW w:type="dxa" w:w="3628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Обязанности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Период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1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полная занятость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Серверная логика, API, данные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полная занятость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Мобильный интерфейс и навигация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Разработчик 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полная занятость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Интеграция, корзина, заказ, уведомления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Руководитель / Scrum Master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частичная занятость или совмещение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Планирование, контроль сроков, связь с заказчиком и пользователями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QA-специалист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частичная занятость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Тестирование и анализ дефектов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Преимущественно спринты 3–5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Представитель заказчика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1, периодическое участие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Уточнение требований и согласование результатов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Целевая группа пользователей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Состав определяет заказчик</w:t>
            </w:r>
          </w:p>
        </w:tc>
        <w:tc>
          <w:tcPr>
            <w:tcW w:type="dxa" w:w="36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Проверка MVP и консолидированный отзыв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2 дня в конце проекта</w:t>
            </w:r>
          </w:p>
        </w:tc>
      </w:tr>
    </w:tbl>
    <w:p/>
    <w:p>
      <w:pPr>
        <w:pStyle w:val="Heading2"/>
      </w:pPr>
      <w:r>
        <w:t>2.3. Материальные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28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Ресурс</w:t>
            </w:r>
          </w:p>
        </w:tc>
        <w:tc>
          <w:tcPr>
            <w:tcW w:type="dxa" w:w="4876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Источник и условия</w:t>
            </w:r>
          </w:p>
        </w:tc>
        <w:tc>
          <w:tcPr>
            <w:tcW w:type="dxa" w:w="164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Период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Рабочие компьютеры</w:t>
            </w:r>
          </w:p>
        </w:tc>
        <w:tc>
          <w:tcPr>
            <w:tcW w:type="dxa" w:w="4876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Оборудование сотрудников или стартапа</w:t>
            </w:r>
          </w:p>
        </w:tc>
        <w:tc>
          <w:tcPr>
            <w:tcW w:type="dxa" w:w="164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Смартфоны для проверки</w:t>
            </w:r>
          </w:p>
        </w:tc>
        <w:tc>
          <w:tcPr>
            <w:tcW w:type="dxa" w:w="4876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Устройства команды и/или заказчика, соответствующие целевым платформам</w:t>
            </w:r>
          </w:p>
        </w:tc>
        <w:tc>
          <w:tcPr>
            <w:tcW w:type="dxa" w:w="164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Разработка и тестирование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Рабочее место и интернет</w:t>
            </w:r>
          </w:p>
        </w:tc>
        <w:tc>
          <w:tcPr>
            <w:tcW w:type="dxa" w:w="4876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Офис или удалённая работа; доступ к репозиторию и тестовой среде</w:t>
            </w:r>
          </w:p>
        </w:tc>
        <w:tc>
          <w:tcPr>
            <w:tcW w:type="dxa" w:w="164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Тестовый сервер / облако</w:t>
            </w:r>
          </w:p>
        </w:tc>
        <w:tc>
          <w:tcPr>
            <w:tcW w:type="dxa" w:w="4876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Облачный провайдер или инфраструктура заказчика</w:t>
            </w:r>
          </w:p>
        </w:tc>
        <w:tc>
          <w:tcPr>
            <w:tcW w:type="dxa" w:w="164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Разработка и тестирование</w:t>
            </w:r>
          </w:p>
        </w:tc>
      </w:tr>
      <w:tr>
        <w:tc>
          <w:tcPr>
            <w:tcW w:type="dxa" w:w="192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Тестовая база данных</w:t>
            </w:r>
          </w:p>
        </w:tc>
        <w:tc>
          <w:tcPr>
            <w:tcW w:type="dxa" w:w="4876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Тестовый экземпляр с синтетическими или обезличенными данными</w:t>
            </w:r>
          </w:p>
        </w:tc>
        <w:tc>
          <w:tcPr>
            <w:tcW w:type="dxa" w:w="164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Интеграция и тестирование</w:t>
            </w:r>
          </w:p>
        </w:tc>
      </w:tr>
    </w:tbl>
    <w:p/>
    <w:p>
      <w:pPr>
        <w:pStyle w:val="Heading2"/>
      </w:pPr>
      <w:r>
        <w:t>2.4. Инструментальные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15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Инструмент</w:t>
            </w:r>
          </w:p>
        </w:tc>
        <w:tc>
          <w:tcPr>
            <w:tcW w:type="dxa" w:w="323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Назначение</w:t>
            </w:r>
          </w:p>
        </w:tc>
        <w:tc>
          <w:tcPr>
            <w:tcW w:type="dxa" w:w="306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Источник / условия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IDE и SDK мобильной платформы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Разработка и отладка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Бесплатные средства или имеющиеся лицензии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Git и репозиторий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Контроль версий и совместная работа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или инфраструктура заказчика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Средства разработки API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Серверная логика и обмен данными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Открытое ПО или имеющиеся лицензии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СУБД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Хранение пользователей, товаров, корзин и заказов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СУБД с подходящей лицензией или облачный сервис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Инструменты тестирования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Модульные, интеграционные и API-тесты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Бесплатные библиотеки или имеющиеся лицензии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Система управления задачами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Бэклог и планирование спринтов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или система заказчика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CI/CD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Автоматизация сборки и проверок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Бесплатный тариф или собственный сервер</w:t>
            </w:r>
          </w:p>
        </w:tc>
      </w:tr>
      <w:tr>
        <w:tc>
          <w:tcPr>
            <w:tcW w:type="dxa" w:w="21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Сервис уведомлений</w:t>
            </w:r>
          </w:p>
        </w:tc>
        <w:tc>
          <w:tcPr>
            <w:tcW w:type="dxa" w:w="323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Уведомления о статусе заказа</w:t>
            </w:r>
          </w:p>
        </w:tc>
        <w:tc>
          <w:tcPr>
            <w:tcW w:type="dxa" w:w="306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Тестовый сервис или подходящий тариф</w:t>
            </w:r>
          </w:p>
        </w:tc>
      </w:tr>
    </w:tbl>
    <w:p/>
    <w:p>
      <w:r>
        <w:rPr>
          <w:i w:val="0"/>
        </w:rPr>
        <w:t>Окончательный технологический стек выбирается после анализа требований. До начала разработки необходимо проверить совместимость инструментов, лицензии и ограничения бесплатных тарифов.</w:t>
      </w:r>
    </w:p>
    <w:p>
      <w:pPr>
        <w:pStyle w:val="Heading2"/>
      </w:pPr>
      <w:r>
        <w:t>2.5. Финансовые ресурсы</w:t>
      </w:r>
    </w:p>
    <w:p>
      <w:r>
        <w:rPr>
          <w:i w:val="0"/>
        </w:rPr>
        <w:t>Расходы планируются в процентах от общего бюджета, без указания денежных сумм. Доли являются предварительными оценками и уточняются после выбора технологий и условий инфраструктуры.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5953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Статья расходов</w:t>
            </w:r>
          </w:p>
        </w:tc>
        <w:tc>
          <w:tcPr>
            <w:tcW w:type="dxa" w:w="249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Доля бюджета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Оплата труда разработчиков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55%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Организация и управление проектом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Тестирование и контроль качества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Облачная инфраструктура и базы данных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8%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Лицензии и дополнительные сервисы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3%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Проверка целевой группой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4%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Резерв на непредвиденные расходы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10%</w:t>
            </w:r>
          </w:p>
        </w:tc>
      </w:tr>
      <w:tr>
        <w:tc>
          <w:tcPr>
            <w:tcW w:type="dxa" w:w="5953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Итого</w:t>
            </w:r>
          </w:p>
        </w:tc>
        <w:tc>
          <w:tcPr>
            <w:tcW w:type="dxa" w:w="249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7"/>
              </w:rPr>
              <w:t>100%</w:t>
            </w:r>
          </w:p>
        </w:tc>
      </w:tr>
    </w:tbl>
    <w:p/>
    <w:p>
      <w:r>
        <w:rPr>
          <w:i w:val="0"/>
        </w:rPr>
        <w:t>Заказчик авансирует 75% фактических затрат. Оставшиеся 25% должны быть обеспечены отдельным согласованным источником: средствами стартапа, дополнительным финансированием или последующими платежами заказчика. Резерв на непредвиденные расходы не считается автоматически гарантированным источником покрытия этой части бюджета.</w:t>
      </w:r>
    </w:p>
    <w:p>
      <w:pPr>
        <w:pStyle w:val="Heading2"/>
      </w:pPr>
      <w:r>
        <w:t>2.6. Другие ресурсы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268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Ресурс</w:t>
            </w:r>
          </w:p>
        </w:tc>
        <w:tc>
          <w:tcPr>
            <w:tcW w:type="dxa" w:w="3572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Источник</w:t>
            </w:r>
          </w:p>
        </w:tc>
        <w:tc>
          <w:tcPr>
            <w:tcW w:type="dxa" w:w="2608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Период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Формальные требования к MVP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Предоставляются заказчиком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 начале и при уточнении требований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Сценарии использования (Use Cases)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Предоставляются заказчиком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Планирование, разработка, тестирование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Тестовые данные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Команда совместно с заказчиком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Разработка и тестирование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Отзывы целевой группы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Собираются при пользовательской проверке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 конце проекта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Время заказчика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Согласованные встречи и проверки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  <w:tr>
        <w:tc>
          <w:tcPr>
            <w:tcW w:type="dxa" w:w="226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Результаты тестирования и документация</w:t>
            </w:r>
          </w:p>
        </w:tc>
        <w:tc>
          <w:tcPr>
            <w:tcW w:type="dxa" w:w="3572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Формируются командой</w:t>
            </w:r>
          </w:p>
        </w:tc>
        <w:tc>
          <w:tcPr>
            <w:tcW w:type="dxa" w:w="2608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Весь проект</w:t>
            </w:r>
          </w:p>
        </w:tc>
      </w:tr>
    </w:tbl>
    <w:p/>
    <w:p>
      <w:pPr>
        <w:pStyle w:val="Heading2"/>
      </w:pPr>
      <w:r>
        <w:t>2.7. Выводы</w:t>
      </w:r>
    </w:p>
    <w:p>
      <w:r>
        <w:rPr>
          <w:i w:val="0"/>
        </w:rPr>
        <w:t>Для MVP предусмотрены три разработчика, частичное участие руководителя и QA, участие заказчика и целевой группы. По возможности используются имеющееся оборудование, бесплатные инструменты и облачные сервисы с подходящими условиями. Необходимо заранее согласовать источник покрытия 25% затрат, не авансируемых заказчиком, и график двухдневной пользовательской проверки.</w:t>
      </w:r>
    </w:p>
    <w:p>
      <w:pPr>
        <w:pStyle w:val="Heading1"/>
      </w:pPr>
      <w:r>
        <w:t>3. Жизненный цикл программного проекта</w:t>
      </w:r>
    </w:p>
    <w:p>
      <w:pPr>
        <w:pStyle w:val="Heading2"/>
      </w:pPr>
      <w:r>
        <w:t>3.1. Выбор модели и длительности спринтов</w:t>
      </w:r>
    </w:p>
    <w:p>
      <w:r>
        <w:rPr>
          <w:i w:val="0"/>
        </w:rPr>
        <w:t>Методическими указаниями задана модель Agile Scrum. Для плановой длительности десять недель выбраны пять спринтов по две недели. Одинаковая длительность упрощает планирование, сравнение результатов и контроль работ. Каждый спринт включает планирование, реализацию задач, проверку результата и анализ достигнутого.</w:t>
      </w:r>
    </w:p>
    <w:p>
      <w:pPr>
        <w:pStyle w:val="Heading2"/>
      </w:pPr>
      <w:r>
        <w:t>3.2. Вехи проекта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198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Веха</w:t>
            </w:r>
          </w:p>
        </w:tc>
        <w:tc>
          <w:tcPr>
            <w:tcW w:type="dxa" w:w="147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Срок</w:t>
            </w:r>
          </w:p>
        </w:tc>
        <w:tc>
          <w:tcPr>
            <w:tcW w:type="dxa" w:w="4989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Критерий достижения</w:t>
            </w:r>
          </w:p>
        </w:tc>
      </w:tr>
      <w:tr>
        <w:tc>
          <w:tcPr>
            <w:tcW w:type="dxa" w:w="198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M1. Подготовка завершена</w:t>
            </w:r>
          </w:p>
        </w:tc>
        <w:tc>
          <w:tcPr>
            <w:tcW w:type="dxa" w:w="147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Конец спринта 1</w:t>
            </w:r>
          </w:p>
        </w:tc>
        <w:tc>
          <w:tcPr>
            <w:tcW w:type="dxa" w:w="4989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Требования и Use Cases проанализированы; бэклог, архитектурные решения и среда подготовлены</w:t>
            </w:r>
          </w:p>
        </w:tc>
      </w:tr>
      <w:tr>
        <w:tc>
          <w:tcPr>
            <w:tcW w:type="dxa" w:w="198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M2. Рабочий прототип готов</w:t>
            </w:r>
          </w:p>
        </w:tc>
        <w:tc>
          <w:tcPr>
            <w:tcW w:type="dxa" w:w="147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Конец спринта 2</w:t>
            </w:r>
          </w:p>
        </w:tc>
        <w:tc>
          <w:tcPr>
            <w:tcW w:type="dxa" w:w="4989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Есть тестовая сборка с регистрацией/авторизацией и просмотром каталога</w:t>
            </w:r>
          </w:p>
        </w:tc>
      </w:tr>
      <w:tr>
        <w:tc>
          <w:tcPr>
            <w:tcW w:type="dxa" w:w="198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M3. Основные функции готовы</w:t>
            </w:r>
          </w:p>
        </w:tc>
        <w:tc>
          <w:tcPr>
            <w:tcW w:type="dxa" w:w="147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Конец спринта 3</w:t>
            </w:r>
          </w:p>
        </w:tc>
        <w:tc>
          <w:tcPr>
            <w:tcW w:type="dxa" w:w="4989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Реализованы поиск, фильтрация и корзина; основные сценарии проверены</w:t>
            </w:r>
          </w:p>
        </w:tc>
      </w:tr>
      <w:tr>
        <w:tc>
          <w:tcPr>
            <w:tcW w:type="dxa" w:w="198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M4. MVP готов к проверке</w:t>
            </w:r>
          </w:p>
        </w:tc>
        <w:tc>
          <w:tcPr>
            <w:tcW w:type="dxa" w:w="147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Конец спринта 4</w:t>
            </w:r>
          </w:p>
        </w:tc>
        <w:tc>
          <w:tcPr>
            <w:tcW w:type="dxa" w:w="4989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Реализованы заказ и уведомления, компоненты интегрированы, критические дефекты устранены</w:t>
            </w:r>
          </w:p>
        </w:tc>
      </w:tr>
      <w:tr>
        <w:tc>
          <w:tcPr>
            <w:tcW w:type="dxa" w:w="198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M5. MVP принят и выпущен</w:t>
            </w:r>
          </w:p>
        </w:tc>
        <w:tc>
          <w:tcPr>
            <w:tcW w:type="dxa" w:w="147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Конец спринта 5</w:t>
            </w:r>
          </w:p>
        </w:tc>
        <w:tc>
          <w:tcPr>
            <w:tcW w:type="dxa" w:w="4989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Проведена двухдневная проверка и получен положительный отзыв целевой группы</w:t>
            </w:r>
          </w:p>
        </w:tc>
      </w:tr>
    </w:tbl>
    <w:p/>
    <w:p>
      <w:r>
        <w:rPr>
          <w:i w:val="0"/>
        </w:rPr>
        <w:t>Веха M5 достигается только при положительном консолидированном отзыве. Завершение пятого спринта само по себе не разрешает выпуск. При отрицательном результате команда анализирует замечания, выполняет доработки и согласует повторную проверку.</w:t>
      </w:r>
    </w:p>
    <w:p>
      <w:pPr>
        <w:pStyle w:val="Heading2"/>
      </w:pPr>
      <w:r>
        <w:t>3.3. Графическое представление жизненного цикла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Этап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Спринт 1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Спринт 2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Спринт 3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Спринт 4</w:t>
            </w:r>
          </w:p>
        </w:tc>
        <w:tc>
          <w:tcPr>
            <w:tcW w:type="dxa" w:w="1417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Спринт 5</w:t>
            </w:r>
          </w:p>
        </w:tc>
      </w:tr>
      <w:tr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Период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Недели 1–2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Недели 3–4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Недели 5–6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Недели 7–8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Недели 9–10</w:t>
            </w:r>
          </w:p>
        </w:tc>
      </w:tr>
      <w:tr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Результат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Подготовка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Прототип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Основные функции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Интегрированный MVP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Проверка и выпуск</w:t>
            </w:r>
          </w:p>
        </w:tc>
      </w:tr>
      <w:tr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Веха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M1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M2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M3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M4</w:t>
            </w:r>
          </w:p>
        </w:tc>
        <w:tc>
          <w:tcPr>
            <w:tcW w:type="dxa" w:w="1417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6"/>
              </w:rPr>
              <w:t>M5</w:t>
            </w:r>
          </w:p>
        </w:tc>
      </w:tr>
    </w:tbl>
    <w:p/>
    <w:p>
      <w:r>
        <w:rPr>
          <w:i w:val="0"/>
        </w:rPr>
        <w:t>Рисунок 1 — Жизненный цикл проекта по спринтам (табличная схема).</w:t>
      </w:r>
    </w:p>
    <w:p>
      <w:r>
        <w:rPr>
          <w:i w:val="0"/>
        </w:rPr>
        <w:t>Двухдневная пользовательская проверка включается в последний спринт. Для снижения риска задержки график проверки следует согласовать заранее, а в плане оставить время на анализ отзывов и возможные исправления.</w:t>
      </w:r>
    </w:p>
    <w:p>
      <w:pPr>
        <w:pStyle w:val="Heading2"/>
      </w:pPr>
      <w:r>
        <w:t>3.4. Выводы</w:t>
      </w:r>
    </w:p>
    <w:p>
      <w:r>
        <w:rPr>
          <w:i w:val="0"/>
        </w:rPr>
        <w:t>Жизненный цикл состоит из пяти равных двухнедельных спринтов и пяти вех, отражающих переход от подготовки требований к выпуску MVP. Обязательное условие последней вехи — положительный отзыв целевой группы пользователей.</w:t>
      </w:r>
    </w:p>
    <w:p>
      <w:pPr>
        <w:pStyle w:val="Heading1"/>
      </w:pPr>
      <w:r>
        <w:t>4. Перечень работ и зависимостей между задачами</w:t>
      </w:r>
    </w:p>
    <w:p>
      <w:pPr>
        <w:pStyle w:val="Heading2"/>
      </w:pPr>
      <w:r>
        <w:t>4.1. Принципы планирования</w:t>
      </w:r>
    </w:p>
    <w:p>
      <w:r>
        <w:rPr>
          <w:i w:val="0"/>
        </w:rPr>
        <w:t>Трудоёмкость указана в человеко-днях (чел.-дн.), где один человеко-день — один рабочий день одного исполнителя. Длительность задачи отражает продолжительность выполнения, а трудоёмкость — суммарные затраты труда; эти показатели не равны друг другу. Оценки предварительные и уточняются командой в ходе планирования спринтов.</w:t>
      </w:r>
    </w:p>
    <w:p>
      <w:r>
        <w:rPr>
          <w:i w:val="0"/>
        </w:rPr>
        <w:t>Обозначения: Р1 — разработчик 1 (серверная часть/API); Р2 — разработчик 2 (мобильный интерфейс); Р3 — разработчик 3 (интеграция и сценарии заказа); РК — руководитель команды; QA — специалист по тестированию; ЗК — представитель заказчика.</w:t>
      </w:r>
    </w:p>
    <w:p>
      <w:pPr>
        <w:pStyle w:val="Heading2"/>
      </w:pPr>
      <w:r>
        <w:t>4.2. Перечень задач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45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ID</w:t>
            </w:r>
          </w:p>
        </w:tc>
        <w:tc>
          <w:tcPr>
            <w:tcW w:type="dxa" w:w="454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Спр.</w:t>
            </w:r>
          </w:p>
        </w:tc>
        <w:tc>
          <w:tcPr>
            <w:tcW w:type="dxa" w:w="2835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Задача</w:t>
            </w:r>
          </w:p>
        </w:tc>
        <w:tc>
          <w:tcPr>
            <w:tcW w:type="dxa" w:w="680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Длит.</w:t>
            </w:r>
          </w:p>
        </w:tc>
        <w:tc>
          <w:tcPr>
            <w:tcW w:type="dxa" w:w="850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Труд. чел.-дн.</w:t>
            </w:r>
          </w:p>
        </w:tc>
        <w:tc>
          <w:tcPr>
            <w:tcW w:type="dxa" w:w="170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Исполнители</w:t>
            </w:r>
          </w:p>
        </w:tc>
        <w:tc>
          <w:tcPr>
            <w:tcW w:type="dxa" w:w="1701"/>
            <w:vAlign w:val="center"/>
            <w:shd w:fill="D9E2F3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Зависимости / веха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T01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Изучить требования и Use Cases, выявить неоднозначности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Р3; РК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—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T02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Уточнить границы MVP и критерии приёмки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РК, ЗК, команда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T01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T03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Сформировать и приоритизировать бэклог, определить задачи спринтов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РК, 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T01–T02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T04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Выбрать архитектуру, стек и внешние сервисы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Р3; согласование РК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T01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T05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Настроить репозиторий, сборку и среду разработки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T04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T06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Подготовить базовую структуру мобильного приложения и API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T04–T05; M1 после T01–T06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T07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регистрацию и авторизацию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8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T06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T08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каталог и карточки товаров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7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T06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T09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Подготовить тестовые данные и модульные тесты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Р3, QA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T06–T08, частично параллельно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T10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Собрать и продемонстрировать рабочий прототип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Р2, Р3; проверка РК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T07–T09; M2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T11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поиск и фильтрацию товаров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T08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T12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добавление, удаление и изменение количества в корзине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7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T08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T13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Подготовить и выполнить тесты каталога, поиска и корзины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QA, Р1,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T11–T12; тесты частично параллельно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T14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Проверить основные сценарии и обновить бэклог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РК, команда, ЗК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T11–T13; M3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T15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оформление заказа и проверку обязательных данных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8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T12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T16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Реализовать уведомления о статусе заказа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T15; сервис выбран в T04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T17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Интегрировать мобильный интерфейс, API, БД и сценарии заказа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6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T07–T16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T18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Выполнить интеграционные и регрессионные тесты, устранить критические дефекты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QA, Р1, Р2, Р3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T17; M4 после исправления критических дефектов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T19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Подготовить сборку MVP и сценарий пользовательской проверки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Р2, QA, РК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T18; график проверки согласован заранее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T20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Провести двухдневную проверку целевой группой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3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Целевая группа; РК координирует; QA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T19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T21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Собрать и проанализировать консолидированный отзыв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РК, QA, команда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T20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T22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Исправить замечания и повторно проверить затронутые сценарии при отрицательном отзыве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2–4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4–8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Р1, Р2, Р3, QA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T21; условная задача</w:t>
            </w:r>
          </w:p>
        </w:tc>
      </w:tr>
      <w:tr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T23</w:t>
            </w:r>
          </w:p>
        </w:tc>
        <w:tc>
          <w:tcPr>
            <w:tcW w:type="dxa" w:w="454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5</w:t>
            </w:r>
          </w:p>
        </w:tc>
        <w:tc>
          <w:tcPr>
            <w:tcW w:type="dxa" w:w="2835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Подготовить релиз и передать MVP после положительного отзыва</w:t>
            </w:r>
          </w:p>
        </w:tc>
        <w:tc>
          <w:tcPr>
            <w:tcW w:type="dxa" w:w="68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1 дн.</w:t>
            </w:r>
          </w:p>
        </w:tc>
        <w:tc>
          <w:tcPr>
            <w:tcW w:type="dxa" w:w="850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2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РК, Р2, Р3, QA</w:t>
            </w:r>
          </w:p>
        </w:tc>
        <w:tc>
          <w:tcPr>
            <w:tcW w:type="dxa" w:w="1701"/>
            <w:vAlign w:val="center"/>
            <w:tcMar>
              <w:top w:w="60" w:type="dxa"/>
              <w:start w:w="60" w:type="dxa"/>
              <w:bottom w:w="60" w:type="dxa"/>
              <w:end w:w="60" w:type="dxa"/>
            </w:tcMar>
          </w:tcPr>
          <w:p>
            <w:pPr>
              <w:spacing w:line="240" w:lineRule="auto" w:after="0"/>
              <w:ind w:firstLine="0"/>
            </w:pPr>
            <w:r>
              <w:rPr>
                <w:rFonts w:ascii="Times New Roman" w:hAnsi="Times New Roman"/>
                <w:sz w:val="13"/>
              </w:rPr>
              <w:t>T21 и T22, если выполнялась; M5</w:t>
            </w:r>
          </w:p>
        </w:tc>
      </w:tr>
    </w:tbl>
    <w:p/>
    <w:p>
      <w:pPr>
        <w:pStyle w:val="Heading2"/>
      </w:pPr>
      <w:r>
        <w:t>4.3. Зависимости и параллельное выполнение</w:t>
      </w:r>
    </w:p>
    <w:p>
      <w:r>
        <w:rPr>
          <w:i w:val="0"/>
        </w:rPr>
        <w:t>Анализ требований T01 предшествует уточнению границ MVP и формированию бэклога. Выбор архитектуры и инструментов (T04) предшествует настройке среды (T05) и подготовке базовой структуры (T06). После T06 регистрация/авторизация (T07) и каталог (T08) могут выполняться параллельно; тестовые данные и часть тестов готовятся по мере появления функциональности.</w:t>
      </w:r>
    </w:p>
    <w:p>
      <w:r>
        <w:rPr>
          <w:i w:val="0"/>
        </w:rPr>
        <w:t>Поиск и фильтрация (T11), а также корзина (T12) зависят от каталога. Оформление заказа (T15) зависит от корзины, а уведомления (T16) — от сценария заказа и выбранного сервиса. Интеграционные тесты T18 выполняются после интеграции T17. Проверка целевой группой невозможна до подготовки сборки и сценария проверки T19.</w:t>
      </w:r>
    </w:p>
    <w:p>
      <w:r>
        <w:rPr>
          <w:i w:val="0"/>
        </w:rPr>
        <w:t>T22 выполняется только при наличии замечаний. Если отзыв отрицательный, выпуск запрещён до исправлений и получения положительного результата. Время на доработки в спринте 5 ограничено, поэтому значительный объём замечаний может потребовать пересмотра графика; условие заказчика о положительном отзыве имеет приоритет над выпуском в установленную дату.</w:t>
      </w:r>
    </w:p>
    <w:p>
      <w:pPr>
        <w:pStyle w:val="Heading2"/>
      </w:pPr>
      <w:r>
        <w:t>4.4. Выводы</w:t>
      </w:r>
    </w:p>
    <w:p>
      <w:r>
        <w:rPr>
          <w:i w:val="0"/>
        </w:rPr>
        <w:t>Перечень охватывает анализ требований, подготовку среды, реализацию функций MVP, интеграцию, тестирование и пользовательскую проверку. Задачи распределены по пяти спринтам и связаны зависимостями; вехи отмечены в задачах, завершающих соответствующие этапы. Оценки являются предварительными и должны уточняться командой.</w:t>
      </w:r>
    </w:p>
    <w:p>
      <w:pPr>
        <w:pStyle w:val="Heading1"/>
      </w:pPr>
      <w:r>
        <w:t>Основание и исходные документы</w:t>
      </w:r>
    </w:p>
    <w:p>
      <w:r>
        <w:rPr>
          <w:i w:val="0"/>
        </w:rPr>
        <w:t>1. «Основы процесса разработки качественного программного продукта и его метрология. Методические указания к выполнению курсовой работы и пункты задания КР», 2026, разделы II–VI, особенно раздел V, пункты 1–4.</w:t>
      </w:r>
    </w:p>
    <w:p>
      <w:r>
        <w:rPr>
          <w:i w:val="0"/>
        </w:rPr>
        <w:t>2. «ОПРКППиМ: варианты исходных данных для курсовой работы, группа 5130904/30103, 2026 г.», вариант 3.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i/>
        <w:sz w:val="18"/>
      </w:rPr>
      <w:t>Курсовая работа по дисциплине «ОПРКППиМ»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