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2. РЕСУРСЫ ПРОЕКТА</w:t>
      </w:r>
    </w:p>
    <w:p>
      <w:pPr>
        <w:ind w:firstLine="0"/>
        <w:jc w:val="center"/>
      </w:pPr>
      <w:r>
        <w:rPr>
          <w:rFonts w:ascii="Times New Roman" w:hAnsi="Times New Roman"/>
          <w:i/>
          <w:sz w:val="24"/>
        </w:rPr>
        <w:t>Вариант 3. Разработка MVP мобильного приложения для интернет-магазина</w:t>
      </w:r>
    </w:p>
    <w:p>
      <w:pPr>
        <w:pStyle w:val="Heading1"/>
      </w:pPr>
      <w:r>
        <w:t>2.1. Исходные данные и принятые допущения</w:t>
      </w:r>
    </w:p>
    <w:p>
      <w:r>
        <w:t>Согласно варианту 3 исходных данных для курсовой работы, проектная команда создаёт MVP (Minimum Viable Product — минимально жизнеспособный продукт) мобильного приложения для интернет-магазина. Предварительная оценка продолжительности проекта составляет 2,5 месяца; в разработке участвуют три разработчика. Заказчик предоставляет формальные требования к характеристикам MVP и сценарии его использования (Use Cases).</w:t>
      </w:r>
    </w:p>
    <w:p>
      <w:r>
        <w:t>MVP должен обеспечивать регистрацию и авторизацию пользователей, просмотр каталога товаров, поиск и фильтрацию товаров, добавление товаров в корзину, оформление заказа и уведомления о статусе заказа. После разработки заказчик организует проверку продукта целевой группой пользователей продолжительностью два дня. Выпуск текущей версии допускается только при получении положительного консолидированного отзыва. Руководитель команды отвечает за взаимодействие с целевой группой и согласование графика проверки.</w:t>
      </w:r>
    </w:p>
    <w:p>
      <w:r>
        <w:t>В качестве плановой длительности принимается 2,5 месяца, указанная в варианте. Ограничение методических указаний в 3,5 месяца рассматривается как максимально допустимое, а не как обязательная длительность. В состав ресурсов дополнительно включены роли руководителя команды и специалиста по тестированию. Это проектные допущения: исходные данные гарантируют наличие трёх разработчиков, но не определяют штат остальных ролей. Предполагается, что дополнительные специалисты привлекаются частично или их функции совмещаются с обязанностями участников команды.</w:t>
      </w:r>
    </w:p>
    <w:p>
      <w:pPr>
        <w:pStyle w:val="Heading1"/>
      </w:pPr>
      <w:r>
        <w:t>2.2. Людские ресурсы</w:t>
      </w:r>
    </w:p>
    <w:p>
      <w:r>
        <w:t>Людские ресурсы определяют состав исполнителей, распределение ответственности и периоды участия в проекте. Количество разработчиков соответствует исходным данным варианта; остальные роли являются предлагаемой организацией работ.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814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Ресурс / роль</w:t>
            </w:r>
          </w:p>
        </w:tc>
        <w:tc>
          <w:tcPr>
            <w:tcW w:type="dxa" w:w="1814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Количество и участие</w:t>
            </w:r>
          </w:p>
        </w:tc>
        <w:tc>
          <w:tcPr>
            <w:tcW w:type="dxa" w:w="3515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Основные обязанности</w:t>
            </w:r>
          </w:p>
        </w:tc>
        <w:tc>
          <w:tcPr>
            <w:tcW w:type="dxa" w:w="1531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Период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Разработчик № 1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 человек; полная занятость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Серверная логика, API и работа с данными</w:t>
            </w:r>
          </w:p>
        </w:tc>
        <w:tc>
          <w:tcPr>
            <w:tcW w:type="dxa" w:w="1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Разработчик № 2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 человек; полная занятость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Мобильный интерфейс, экраны и навигация</w:t>
            </w:r>
          </w:p>
        </w:tc>
        <w:tc>
          <w:tcPr>
            <w:tcW w:type="dxa" w:w="1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Разработчик № 3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 человек; полная занятость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Интеграция компонентов, корзина, оформление заказа и уведомления</w:t>
            </w:r>
          </w:p>
        </w:tc>
        <w:tc>
          <w:tcPr>
            <w:tcW w:type="dxa" w:w="1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Руководитель команды (Project Lead / Scrum Master)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 человек; частичная занятость либо совмещение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Планирование спринтов, координация работ, контроль сроков, взаимодействие с заказчиком и целевой группой</w:t>
            </w:r>
          </w:p>
        </w:tc>
        <w:tc>
          <w:tcPr>
            <w:tcW w:type="dxa" w:w="1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Специалист по тестированию (QA)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 человек; частичная занятость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Подготовка тестов, функциональное и интеграционное тестирование, регрессионная проверка</w:t>
            </w:r>
          </w:p>
        </w:tc>
        <w:tc>
          <w:tcPr>
            <w:tcW w:type="dxa" w:w="1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Преимущественно со стадии интеграции до выпуска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Представитель заказчика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 представитель; периодическое участие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Разъяснение требований, согласование промежуточных результатов и организация пользовательской проверки</w:t>
            </w:r>
          </w:p>
        </w:tc>
        <w:tc>
          <w:tcPr>
            <w:tcW w:type="dxa" w:w="1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Целевая группа пользователей</w:t>
            </w:r>
          </w:p>
        </w:tc>
        <w:tc>
          <w:tcPr>
            <w:tcW w:type="dxa" w:w="181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Состав определяет заказчик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Проверка MVP, предоставление консолидированного отзыва и перечня доработок при отрицательном результате</w:t>
            </w:r>
          </w:p>
        </w:tc>
        <w:tc>
          <w:tcPr>
            <w:tcW w:type="dxa" w:w="153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2 дня в конце разработки; при необходимости — повторная проверка</w:t>
            </w:r>
          </w:p>
        </w:tc>
      </w:tr>
    </w:tbl>
    <w:p>
      <w:pPr>
        <w:spacing w:after="0"/>
      </w:pPr>
    </w:p>
    <w:p>
      <w:r>
        <w:t>Для снижения затрат руководитель команды и разработчики могут совмещать отдельные организационные функции, если это не мешает выполнению технических задач. Специалист QA может привлекаться частично, однако проверка критических сценариев — авторизации, оформления заказа и изменения статуса заказа — должна быть завершена до передачи MVP целевой группе пользователей.</w:t>
      </w:r>
    </w:p>
    <w:p>
      <w:pPr>
        <w:pStyle w:val="Heading1"/>
      </w:pPr>
      <w:r>
        <w:t>2.3. Материальные ресурсы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28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Ресурс</w:t>
            </w:r>
          </w:p>
        </w:tc>
        <w:tc>
          <w:tcPr>
            <w:tcW w:type="dxa" w:w="4989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Источник и условия доступности</w:t>
            </w:r>
          </w:p>
        </w:tc>
        <w:tc>
          <w:tcPr>
            <w:tcW w:type="dxa" w:w="1757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Период использования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Рабочие компьютеры разработчиков</w:t>
            </w:r>
          </w:p>
        </w:tc>
        <w:tc>
          <w:tcPr>
            <w:tcW w:type="dxa" w:w="49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Личное оборудование сотрудников или оборудование стартапа; характеристики должны обеспечивать работу выбранных средств разработки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Весь проект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Смартфоны для проверки приложения</w:t>
            </w:r>
          </w:p>
        </w:tc>
        <w:tc>
          <w:tcPr>
            <w:tcW w:type="dxa" w:w="49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Устройства сотрудников и, при необходимости, устройства, предоставленные заказчиком; набор должен покрывать согласованные целевые платформы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Разработка, интеграционное и пользовательское тестирование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Рабочее место и доступ в интернет</w:t>
            </w:r>
          </w:p>
        </w:tc>
        <w:tc>
          <w:tcPr>
            <w:tcW w:type="dxa" w:w="49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Удалённая работа либо офис; доступ к репозиторию, системе задач и тестовой среде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Весь проект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Тестовый сервер или облачная вычислительная среда</w:t>
            </w:r>
          </w:p>
        </w:tc>
        <w:tc>
          <w:tcPr>
            <w:tcW w:type="dxa" w:w="49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Облачный провайдер или инфраструктура заказчика; доступ предоставляется участникам проекта по ролям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Разработка серверной части, интеграция и тестирование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Среда для базы данных и серверных компонентов</w:t>
            </w:r>
          </w:p>
        </w:tc>
        <w:tc>
          <w:tcPr>
            <w:tcW w:type="dxa" w:w="4989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Развёртывается на тестовом сервере или в облаке; используются тестовые данные, не содержащие реальных персональных данных пользователей</w:t>
            </w:r>
          </w:p>
        </w:tc>
        <w:tc>
          <w:tcPr>
            <w:tcW w:type="dxa" w:w="175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Интеграция и тестирование</w:t>
            </w:r>
          </w:p>
        </w:tc>
      </w:tr>
    </w:tbl>
    <w:p>
      <w:pPr>
        <w:spacing w:after="0"/>
      </w:pPr>
    </w:p>
    <w:p>
      <w:r>
        <w:t>На начальном этапе отдельная закупка оборудования не планируется, если имеющихся компьютеров и тестовых устройств достаточно. При выявлении несовместимости с целевыми устройствами необходимое оборудование предоставляется заказчиком или арендуется на ограниченный период.</w:t>
      </w:r>
    </w:p>
    <w:p>
      <w:pPr>
        <w:pStyle w:val="Heading1"/>
      </w:pPr>
      <w:r>
        <w:t>2.4. Инструментальные ресурсы</w:t>
      </w:r>
    </w:p>
    <w:p>
      <w:r>
        <w:t>Инструментальные ресурсы включают программное обеспечение, библиотеки, фреймворки и сервисы, необходимые для реализации, совместной разработки, сборки и проверки MVP. Конкретные технологии выбираются после анализа формальных требований заказчика; поэтому в таблице приведены категории инструментов, а не окончательно утверждённый технологический стек.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Инструмент / категория</w:t>
            </w:r>
          </w:p>
        </w:tc>
        <w:tc>
          <w:tcPr>
            <w:tcW w:type="dxa" w:w="3515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Назначение</w:t>
            </w:r>
          </w:p>
        </w:tc>
        <w:tc>
          <w:tcPr>
            <w:tcW w:type="dxa" w:w="2891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Источник и условия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IDE и SDK мобильной платформы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Разработка, сборка и отладка мобильного приложения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Бесплатные средства разработки либо имеющиеся лицензии; установка на рабочие компьютеры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Git и удалённый репозиторий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Контроль версий, совместная работа и проверка изменений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Бесплатный тариф Git-хостинга или инфраструктура заказчика; доступ по учётным записям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Средства разработки серверной части и API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Реализация бизнес-логики и взаимодействия мобильного приложения с сервером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Средства с открытым исходным кодом или лицензии, уже доступные стартапу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Система управления базами данных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Хранение сведений о пользователях, товарах, корзинах и заказах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СУБД с подходящей лицензией либо управляемый облачный сервис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Инструменты автоматизированного тестирования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Модульные, интеграционные и API-тесты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Бесплатные библиотеки и инструменты либо уже имеющиеся лицензии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Система управления задачами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Планирование спринтов, ведение бэклога и отслеживание статусов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Бесплатный тариф или система заказчика; доступ для команды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Средства CI/CD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Автоматизация сборки, запуска проверок и подготовки тестовых версий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Бесплатный тариф или собственный сервер; использование по мере интеграции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Средства уведомлений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Передача уведомлений о статусе заказа</w:t>
            </w:r>
          </w:p>
        </w:tc>
        <w:tc>
          <w:tcPr>
            <w:tcW w:type="dxa" w:w="28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Тестовый сервис или тариф с бесплатным лимитом; условия проверяются перед выбором</w:t>
            </w:r>
          </w:p>
        </w:tc>
      </w:tr>
    </w:tbl>
    <w:p>
      <w:pPr>
        <w:spacing w:after="0"/>
      </w:pPr>
    </w:p>
    <w:p>
      <w:r>
        <w:t>До начала активной разработки команда должна проверить совместимость выбранных инструментов, доступность необходимых лицензий и ограничения бесплатных тарифов. Если для публикации приложения или отправки уведомлений потребуется платная услуга, её стоимость учитывается в бюджете проекта.</w:t>
      </w:r>
    </w:p>
    <w:p>
      <w:pPr>
        <w:pStyle w:val="Heading1"/>
      </w:pPr>
      <w:r>
        <w:t>2.5. Финансовые ресурсы</w:t>
      </w:r>
    </w:p>
    <w:p>
      <w:r>
        <w:t>В соответствии с методическими указаниями финансовые ресурсы представлены в относительном выражении — в процентах от общего планового бюджета проекта. Конкретные денежные суммы не указываются. Распределение ниже является предварительным допущением для планирования и подлежит уточнению после определения ставок оплаты труда, технологического стека и условий использования инфраструктуры.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438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Статья расходов</w:t>
            </w:r>
          </w:p>
        </w:tc>
        <w:tc>
          <w:tcPr>
            <w:tcW w:type="dxa" w:w="1191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Доля бюджета</w:t>
            </w:r>
          </w:p>
        </w:tc>
        <w:tc>
          <w:tcPr>
            <w:tcW w:type="dxa" w:w="5046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Содержание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Оплата труда разработчиков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50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Разработка мобильного приложения, серверной логики и интеграция компонентов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Организация и управление проектом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50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Планирование, координация, контроль сроков и взаимодействие с заказчиком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Тестирование и контроль качества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50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Подготовка и выполнение тестов, анализ дефектов и регрессионная проверка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Облачная инфраструктура и базы данных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8%</w:t>
            </w:r>
          </w:p>
        </w:tc>
        <w:tc>
          <w:tcPr>
            <w:tcW w:type="dxa" w:w="50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Тестовый сервер, база данных, хранение артефактов и необходимые вычислительные ресурсы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Программные лицензии и дополнительные сервисы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3%</w:t>
            </w:r>
          </w:p>
        </w:tc>
        <w:tc>
          <w:tcPr>
            <w:tcW w:type="dxa" w:w="50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Платные инструменты или сервисы, если бесплатных вариантов недостаточно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Проверка с целевой группой пользователей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4%</w:t>
            </w:r>
          </w:p>
        </w:tc>
        <w:tc>
          <w:tcPr>
            <w:tcW w:type="dxa" w:w="50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Организация двухдневной проверки, сбор и анализ отзывов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Резерв на непредвиденные расходы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50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Незапланированные расходы, необходимые для завершения проекта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Итого</w:t>
            </w:r>
          </w:p>
        </w:tc>
        <w:tc>
          <w:tcPr>
            <w:tcW w:type="dxa" w:w="119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100%</w:t>
            </w:r>
          </w:p>
        </w:tc>
        <w:tc>
          <w:tcPr>
            <w:tcW w:type="dxa" w:w="504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Общий плановый бюджет проекта</w:t>
            </w:r>
          </w:p>
        </w:tc>
      </w:tr>
    </w:tbl>
    <w:p>
      <w:pPr>
        <w:spacing w:after="0"/>
      </w:pPr>
    </w:p>
    <w:p>
      <w:r>
        <w:t>Отдельные статьи бюджета отражают распределение затрат, а не обязательное привлечение отдельных сотрудников на полную занятость. Если управление или тестирование выполняются участниками основной команды, соответствующая доля представляет их трудозатраты.</w:t>
      </w:r>
    </w:p>
    <w:p>
      <w:r>
        <w:t>Согласно разделу IV методических указаний, заказчик авансирует 75% реальных затрат проекта. Следовательно, оставшиеся 25% должны быть обеспечены другим согласованным источником: собственными средствами стартапа, дополнительным финансированием либо графиком последующих платежей заказчика. Резерв на непредвиденные расходы в размере 10% предназначен для непредвиденных ситуаций и сам по себе не считается гарантированным источником покрытия оставшейся части бюджета. Руководитель проекта должен согласовать источник финансирования до принятия обязательств по существенным расходам.</w:t>
      </w:r>
    </w:p>
    <w:p>
      <w:pPr>
        <w:pStyle w:val="Heading1"/>
      </w:pPr>
      <w:r>
        <w:t>2.6. Другие ресурсы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Ресурс</w:t>
            </w:r>
          </w:p>
        </w:tc>
        <w:tc>
          <w:tcPr>
            <w:tcW w:type="dxa" w:w="4252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Источник / способ получения</w:t>
            </w:r>
          </w:p>
        </w:tc>
        <w:tc>
          <w:tcPr>
            <w:tcW w:type="dxa" w:w="2154"/>
            <w:shd w:fill="D9E2F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Период использования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Формальные требования к характеристикам MVP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Предоставляются заказчиком; команда анализирует и уточняет неоднозначные требования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В начале проекта и при уточнении требований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Сценарии использования MVP (Use Cases)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Предоставляются заказчиком; используются для планирования разработки и тестирования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Планирование, разработка и проверка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Тестовые данные о товарах и пользователях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Подготавливаются командой совместно с заказчиком; используются обезличенные или синтетические данные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Разработка и тестирование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Отзывы целевой группы пользователей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Собираются по итогам согласованной двухдневной проверки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В конце разработки и при повторной проверке, если она потребуется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Время заказчика на согласование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Предоставляется по заранее согласованному графику встреч и проверок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Весь проект, особенно перед пользовательской приёмкой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Результаты тестирования и техническая документация</w:t>
            </w:r>
          </w:p>
        </w:tc>
        <w:tc>
          <w:tcPr>
            <w:tcW w:type="dxa" w:w="425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Создаются командой в ходе разработки и сохраняются в репозитории или системе проекта</w:t>
            </w:r>
          </w:p>
        </w:tc>
        <w:tc>
          <w:tcPr>
            <w:tcW w:type="dxa" w:w="215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В течение проекта</w:t>
            </w:r>
          </w:p>
        </w:tc>
      </w:tr>
    </w:tbl>
    <w:p>
      <w:pPr>
        <w:spacing w:after="0"/>
      </w:pPr>
    </w:p>
    <w:p>
      <w:pPr>
        <w:pStyle w:val="Heading1"/>
      </w:pPr>
      <w:r>
        <w:t>2.7. Выводы</w:t>
      </w:r>
    </w:p>
    <w:p>
      <w:r>
        <w:t>Для реализации MVP мобильного приложения интернет-магазина в пределах плановых 2,5 месяца предусматривается основная команда из трёх разработчиков, организационная поддержка руководителя команды, частичное участие специалиста по тестированию, представителя заказчика и целевой группы пользователей. Материальная и инструментальная база по возможности формируется из уже имеющихся компьютеров, бесплатных средств разработки, открытого программного обеспечения и облачных сервисов с подходящими условиями использования.</w:t>
      </w:r>
    </w:p>
    <w:p>
      <w:r>
        <w:t>Наиболее существенными финансовыми статьями являются трудозатраты команды, управление проектом, контроль качества и инфраструктура. При планировании необходимо учитывать, что аванс заказчика покрывает 75% фактических затрат, а оставшиеся 25% требуют отдельного согласованного источника финансирования. Ресурсы целевой группы и двухдневное окно пользовательской проверки должны быть согласованы заранее, поскольку положительный отзыв является обязательным условием выпуска MVP.</w:t>
      </w:r>
    </w:p>
    <w:p>
      <w:pPr>
        <w:spacing w:before="160"/>
        <w:ind w:firstLine="0"/>
      </w:pPr>
      <w:r>
        <w:rPr>
          <w:b/>
        </w:rPr>
        <w:t xml:space="preserve">Основание: </w:t>
      </w:r>
      <w:r>
        <w:t>«Основы процесса разработки качественного программного продукта и его метрология. Методические указания к выполнению курсовой работы и пункты задания КР», разделы II–IV и V, п. 2; «ОПРКППиМ: варианты исходных данных для курсовой работы, группа 5130904/30103, 2026 г.», вариант 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sz w:val="18"/>
      </w:rPr>
      <w:t>Курсовая работа по дисциплине «ОПРКППиМ»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