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客户规格书</w:t>
      </w:r>
    </w:p>
    <w:p>
      <w:r>
        <w:t>这是</w:t>
      </w:r>
      <w:r>
        <w:rPr>
          <w:b/>
        </w:rPr>
        <w:t>加粗</w:t>
      </w:r>
      <w:r>
        <w:t>文字。</w:t>
      </w:r>
    </w:p>
    <w:p>
      <w:pPr>
        <w:pStyle w:val="ListBullet"/>
      </w:pPr>
      <w:r>
        <w:t>要点一</w:t>
      </w:r>
    </w:p>
    <w:p>
      <w:pPr>
        <w:pStyle w:val="ListBullet"/>
      </w:pPr>
      <w:r>
        <w:t>要点二</w:t>
      </w:r>
    </w:p>
    <w:p>
      <w:pPr>
        <w:pStyle w:val="Heading2"/>
      </w:pPr>
      <w:r>
        <w:t>参数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频率</w:t>
            </w:r>
          </w:p>
        </w:tc>
        <w:tc>
          <w:tcPr>
            <w:tcW w:type="dxa" w:w="4320"/>
          </w:tcPr>
          <w:p>
            <w:r>
              <w:t>240MHz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762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