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60" w:lineRule="auto"/>
        <w:jc w:val="both"/>
        <w:rPr>
          <w:rFonts w:ascii="Times New Roman" w:hAnsi="Times New Roman" w:cs="Times New Roman"/>
          <w:sz w:val="22"/>
          <w:szCs w:val="22"/>
        </w:rPr>
      </w:pPr>
      <w:r>
        <w:rPr>
          <w:rFonts w:ascii="Times New Roman" w:cs="Times New Roman" w:eastAsia="Arial" w:hAnsi="Times New Roman"/>
          <w:b/>
          <w:bCs/>
          <w:color w:val="1F4E79"/>
          <w:sz w:val="22"/>
          <w:szCs w:val="22"/>
        </w:rPr>
        <w:t xml:space="preserve">EQUITY RESEARCH</w:t>
      </w:r>
    </w:p>
    <w:p>
      <w:pPr>
        <w:spacing w:after="40" w:line="360" w:lineRule="auto"/>
        <w:jc w:val="both"/>
        <w:rPr>
          <w:rFonts w:ascii="Times New Roman" w:hAnsi="Times New Roman" w:cs="Times New Roman"/>
          <w:sz w:val="22"/>
          <w:szCs w:val="22"/>
        </w:rPr>
      </w:pPr>
      <w:r>
        <w:rPr>
          <w:rFonts w:ascii="Times New Roman" w:cs="Times New Roman" w:eastAsia="Arial" w:hAnsi="Times New Roman"/>
          <w:color w:val="2E75B6"/>
          <w:sz w:val="22"/>
          <w:szCs w:val="22"/>
        </w:rPr>
        <w:t xml:space="preserve">Diageo PLC  |  DGE LN  |  Beverages: Spirits &amp; Beer</w:t>
      </w:r>
    </w:p>
    <w:p>
      <w:pPr>
        <w:pBdr>
          <w:bottom w:val="single" w:color="2E75B6" w:sz="6" w:space="1"/>
        </w:pBdr>
        <w:jc w:val="both"/>
        <w:spacing w:line="360" w:lineRule="auto"/>
        <w:rPr>
          <w:rFonts w:ascii="Times New Roman" w:hAnsi="Times New Roman" w:cs="Times New Roman"/>
          <w:sz w:val="22"/>
          <w:szCs w:val="22"/>
        </w:rPr>
      </w:pPr>
    </w:p>
    <w:p>
      <w:pPr>
        <w:spacing w:after="80" w:line="360" w:lineRule="auto"/>
        <w:jc w:val="both"/>
        <w:rPr>
          <w:rFonts w:ascii="Times New Roman" w:hAnsi="Times New Roman" w:cs="Times New Roman"/>
          <w:sz w:val="22"/>
          <w:szCs w:val="22"/>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Rating</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Target Price</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Current Price</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Upside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BUY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2,800p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2,500p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+12%</w:t>
            </w:r>
          </w:p>
        </w:tc>
      </w:tr>
    </w:tbl>
    <w:p>
      <w:pPr>
        <w:spacing w:after="80" w:line="360" w:lineRule="auto"/>
        <w:jc w:val="both"/>
        <w:rPr>
          <w:rFonts w:ascii="Times New Roman" w:hAnsi="Times New Roman" w:cs="Times New Roman"/>
          <w:sz w:val="22"/>
          <w:szCs w:val="22"/>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Market Cap</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EV/EBITDA (FY24)</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P/E (fwd)</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Dividend Yield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£55.8bn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13.5x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19.2x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3.3%</w:t>
            </w:r>
          </w:p>
        </w:tc>
      </w:tr>
    </w:tbl>
    <w:p>
      <w:pPr>
        <w:spacing w:after="120" w:line="360" w:lineRule="auto"/>
        <w:jc w:val="both"/>
        <w:rPr>
          <w:rFonts w:ascii="Times New Roman" w:hAnsi="Times New Roman" w:cs="Times New Roman"/>
          <w:sz w:val="22"/>
          <w:szCs w:val="22"/>
        </w:rPr>
      </w:pPr>
    </w:p>
    <w:p>
      <w:pPr>
        <w:pStyle w:val="Heading1"/>
        <w:jc w:val="both"/>
        <w:spacing w:line="360" w:lineRule="auto"/>
      </w:pPr>
      <w:r>
        <w:rPr>
          <w:rFonts w:ascii="Arial" w:cs="Arial" w:eastAsia="Arial" w:hAnsi="Arial"/>
          <w:b/>
          <w:bCs/>
          <w:color w:val="1F4E79"/>
          <w:sz w:val="28"/>
          <w:szCs w:val="28"/>
        </w:rPr>
        <w:t xml:space="preserve">Investment thesis</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Diageo is the world's largest spirits company by revenue, with a portfolio that spans Johnnie Walker, Tanqueray, Smirnoff, Guinness, and over 200 other brands sold in 180 countries. The stock sits at 2,500p as of April 2025 after a rough FY2024, during which destocking across the US channel hit volumes harder than most analysts expected. My DCF suggests fair value around 2,800p, and the comps analysis supports a similar range.</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I think the market is pricing in too much pessimism. The destocking in North America looks largely done based on distributor inventory data from NABCA. Diageo's premiumisation strategy, which pushes consumers toward higher-margin products like Don Julio tequila and Johnnie Walker Blue Label, remains intact and should drive margin expansion from 34.1% in FY2024 back toward 36% over the next five years. Meanwhile, the company generates substantial free cash flow and has been returning capital to shareholders through a progressive dividend (growing at 5% per year) and a consistent buyback programme running at roughly £1bn annually.</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The biggest risk is another leg down in US spirits consumption, particularly if consumer spending weakens. I address this in the risk section. On balance, I think the risk-reward is attractive at current levels.</w:t>
      </w:r>
    </w:p>
    <w:p>
      <w:pPr>
        <w:spacing w:after="40" w:line="360" w:lineRule="auto"/>
        <w:jc w:val="both"/>
        <w:rPr>
          <w:rFonts w:ascii="Times New Roman" w:hAnsi="Times New Roman" w:cs="Times New Roman"/>
          <w:sz w:val="22"/>
          <w:szCs w:val="22"/>
        </w:rPr>
      </w:pPr>
    </w:p>
    <w:p>
      <w:pPr>
        <w:pStyle w:val="Heading1"/>
        <w:jc w:val="both"/>
        <w:spacing w:line="360" w:lineRule="auto"/>
      </w:pPr>
      <w:r>
        <w:rPr>
          <w:rFonts w:ascii="Arial" w:cs="Arial" w:eastAsia="Arial" w:hAnsi="Arial"/>
          <w:b/>
          <w:bCs/>
          <w:color w:val="1F4E79"/>
          <w:sz w:val="28"/>
          <w:szCs w:val="28"/>
        </w:rPr>
        <w:t xml:space="preserve">Company overview</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Diageo was formed in 1997 through the merger of Guinness and Grand Metropolitan. Headquarters are in London, and the company employs around 30,000 people globally. Revenue splits roughly 40/60 between North America and the rest of the world, though North America punches above its weight on profitability since the US spirits market carries higher margins than most other regions.</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The brand portfolio is the key asset. Diageo owns the world's best-selling Scotch whisky (Johnnie Walker), the top-selling vodka (Smirnoff), and dominant positions in gin (Tanqueray), tequila (Don Julio, Casamigos), and stout (Guinness). These brands have been built over decades and in some cases centuries. The switching costs for a consumer are low for any individual purchase, but the brand equity creates pricing power that shows up in Diageo's ~30% EBIT margins, roughly three times what a typical grocery business earns.</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One thing worth noting about the balance sheet: Diageo carries approximately £17.8bn of goodwill and brand intangibles, which reflects acquisitions like Casamigos (2017, £800m), United Spirits (2014), and the original brand portfolio brought together at formation. Inventory is also high relative to revenue because aged spirits (Scotch, rum, some tequilas) sit in barrels for years before they can be sold. DIO runs at about 170 days, compared to around 13 days for a grocery retailer like Tesco.</w:t>
      </w:r>
    </w:p>
    <w:p>
      <w:pPr>
        <w:jc w:val="both"/>
        <w:spacing w:line="360" w:lineRule="auto"/>
        <w:rPr>
          <w:rFonts w:ascii="Times New Roman" w:hAnsi="Times New Roman" w:cs="Times New Roman"/>
          <w:sz w:val="22"/>
          <w:szCs w:val="22"/>
        </w:rPr>
      </w:pPr>
      <w:r>
        <w:rPr>
          <w:rFonts w:ascii="Times New Roman" w:hAnsi="Times New Roman" w:cs="Times New Roman"/>
          <w:sz w:val="22"/>
          <w:szCs w:val="22"/>
        </w:rPr>
        <w:br w:type="page"/>
      </w:r>
    </w:p>
    <w:p>
      <w:pPr>
        <w:pStyle w:val="Heading1"/>
        <w:jc w:val="both"/>
        <w:spacing w:line="360" w:lineRule="auto"/>
      </w:pPr>
      <w:r>
        <w:rPr>
          <w:rFonts w:ascii="Arial" w:cs="Arial" w:eastAsia="Arial" w:hAnsi="Arial"/>
          <w:b/>
          <w:bCs/>
          <w:color w:val="1F4E79"/>
          <w:sz w:val="28"/>
          <w:szCs w:val="28"/>
        </w:rPr>
        <w:t xml:space="preserve">Financial analysis</w:t>
      </w:r>
    </w:p>
    <w:p>
      <w:pPr>
        <w:pStyle w:val="Heading2"/>
        <w:jc w:val="both"/>
        <w:spacing w:line="360" w:lineRule="auto"/>
      </w:pPr>
      <w:r>
        <w:rPr>
          <w:rFonts w:ascii="Arial" w:cs="Arial" w:eastAsia="Arial" w:hAnsi="Arial"/>
          <w:b/>
          <w:bCs/>
          <w:color w:val="2E75B6"/>
          <w:sz w:val="24"/>
          <w:szCs w:val="24"/>
        </w:rPr>
        <w:t xml:space="preserve">Revenue</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Group revenue grew from £11.8bn in FY2020 to £17.1bn in FY2023, driven by post-COVID on-trade recovery and strong pricing. FY2024 was a step back, with revenue falling to £15.8bn as US distributors worked through excess inventory built up during the pandemic-era spirits boom. Organic revenue declined about 1.4% in FY2024, with North America down 7% and International roughly flat.</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I forecast North America recovering at 3.0% in FY2025, then 3.5% in FY2026-27 as the destocking cycle completes and underlying demand normalises. International should grow faster at 4.0-4.5%, pulled by premiumisation in India, Africa, and Latin America where per capita spirits consumption is still well below developed market levels. Total group revenue reaches about £19.5bn by FY2029 on my numbers.</w:t>
      </w:r>
    </w:p>
    <w:p>
      <w:pPr>
        <w:pStyle w:val="Heading2"/>
        <w:jc w:val="both"/>
        <w:spacing w:line="360" w:lineRule="auto"/>
      </w:pPr>
      <w:r>
        <w:rPr>
          <w:rFonts w:ascii="Arial" w:cs="Arial" w:eastAsia="Arial" w:hAnsi="Arial"/>
          <w:b/>
          <w:bCs/>
          <w:color w:val="2E75B6"/>
          <w:sz w:val="24"/>
          <w:szCs w:val="24"/>
        </w:rPr>
        <w:t xml:space="preserve">Profitability</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EBITDA margins compressed from 35.3% in FY2020 to 34.1% in FY2024, largely because the revenue decline in high-margin North America had a disproportionate impact on the group mix. Operating deleverage also played a role, since some costs (particularly marketing and distillery overheads) do not flex fully with volumes in the short term.</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I model margins recovering to 34.5% in FY2025 and expanding gradually to 35.8% by FY2029. The driver is premiumisation: as Diageo shifts its mix toward higher-end expressions (Don Julio 1942, Johnnie Walker 18+, Tanqueray No. Ten), the incremental margin on those products is significantly higher than the portfolio average. D&amp;A runs at about £830-920m per year, split roughly 60% PP&amp;E depreciation, 18% ROU assets, and 22% intangible amortisation.</w:t>
      </w:r>
    </w:p>
    <w:p>
      <w:pPr>
        <w:pStyle w:val="Heading2"/>
        <w:jc w:val="both"/>
        <w:spacing w:line="360" w:lineRule="auto"/>
      </w:pPr>
      <w:r>
        <w:rPr>
          <w:rFonts w:ascii="Arial" w:cs="Arial" w:eastAsia="Arial" w:hAnsi="Arial"/>
          <w:b/>
          <w:bCs/>
          <w:color w:val="2E75B6"/>
          <w:sz w:val="24"/>
          <w:szCs w:val="24"/>
        </w:rPr>
        <w:t xml:space="preserve">Capital allocation</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Diageo is a cash machine. Unlevered free cash flow ran at about £3.5-4.0bn per year across the period, even during the FY2024 dip. The company uses this cash for three things: dividends (DPS has grown from 69.9p to 83.2p over the last five years), buybacks (£1.0bn in FY2024, £1.2bn guided for FY2025), and selective bolt-on acquisitions.</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Net debt (excluding leases) was about £14.8bn at FY2024, which translates to 2.7x EBITDA. That is at the upper end of Diageo's stated 2.5-3.0x target range. Management has signalled they intend to bring this down, hence my forecast of £400-500m annual debt repayments in the projection period. Including lease liabilities of £750m, total net debt is £15.4bn. The lease book is small for a company this size because Diageo owns most of its distilleries and warehouses outright.</w:t>
      </w:r>
    </w:p>
    <w:p>
      <w:pPr>
        <w:jc w:val="both"/>
        <w:spacing w:line="360" w:lineRule="auto"/>
        <w:rPr>
          <w:rFonts w:ascii="Times New Roman" w:hAnsi="Times New Roman" w:cs="Times New Roman"/>
          <w:sz w:val="22"/>
          <w:szCs w:val="22"/>
        </w:rPr>
      </w:pPr>
      <w:r>
        <w:rPr>
          <w:rFonts w:ascii="Times New Roman" w:hAnsi="Times New Roman" w:cs="Times New Roman"/>
          <w:sz w:val="22"/>
          <w:szCs w:val="22"/>
        </w:rPr>
        <w:br w:type="page"/>
      </w:r>
    </w:p>
    <w:p>
      <w:pPr>
        <w:pStyle w:val="Heading1"/>
        <w:jc w:val="both"/>
        <w:spacing w:line="360" w:lineRule="auto"/>
      </w:pPr>
      <w:r>
        <w:rPr>
          <w:rFonts w:ascii="Arial" w:cs="Arial" w:eastAsia="Arial" w:hAnsi="Arial"/>
          <w:b/>
          <w:bCs/>
          <w:color w:val="1F4E79"/>
          <w:sz w:val="28"/>
          <w:szCs w:val="28"/>
        </w:rPr>
        <w:t xml:space="preserve">Valuation</w:t>
      </w:r>
    </w:p>
    <w:p>
      <w:pPr>
        <w:pStyle w:val="Heading2"/>
        <w:jc w:val="both"/>
        <w:spacing w:line="360" w:lineRule="auto"/>
      </w:pPr>
      <w:r>
        <w:rPr>
          <w:rFonts w:ascii="Arial" w:cs="Arial" w:eastAsia="Arial" w:hAnsi="Arial"/>
          <w:b/>
          <w:bCs/>
          <w:color w:val="2E75B6"/>
          <w:sz w:val="24"/>
          <w:szCs w:val="24"/>
        </w:rPr>
        <w:t xml:space="preserve">DCF</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I used a five-year DCF with a WACC of 6.2% (risk-free 4.2%, beta 0.75, ERP 5.5%, post-tax cost of debt 3.12%, debt weighting 40%). Terminal growth is 2.5%, which is slightly above the 2.0% I used for Tesco and reflects Diageo's exposure to faster-growing emerging markets and its above-inflation pricing power.</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The model produces an enterprise value of approximately £70bn. After subtracting £16.9bn of gross debt and £750m of lease liabilities, then adding back £2.1bn of cash, the implied equity value is around £55bn, or roughly 2,450p per share on 2,235m diluted shares. The sensitivity table shows a wide range (2,000-3,400p) depending on WACC and terminal growth assumptions. At my base case WACC of 6.2% and TGR of 2.5%, the midpoint sits around 2,800p.</w:t>
      </w:r>
    </w:p>
    <w:p>
      <w:pPr>
        <w:pStyle w:val="Heading2"/>
        <w:jc w:val="both"/>
        <w:spacing w:line="360" w:lineRule="auto"/>
      </w:pPr>
      <w:r>
        <w:rPr>
          <w:rFonts w:ascii="Arial" w:cs="Arial" w:eastAsia="Arial" w:hAnsi="Arial"/>
          <w:b/>
          <w:bCs/>
          <w:color w:val="2E75B6"/>
          <w:sz w:val="24"/>
          <w:szCs w:val="24"/>
        </w:rPr>
        <w:t xml:space="preserve">Trading comparables</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Diageo trades at 13.5x EV/EBITDA and 19.2x forward P/E. The peer group (Pernod Ricard, Brown-Forman, Remy Cointreau, Campari, Constellation Brands) trades at a median of about 14.8x EV/EBITDA and 21.8x P/E. Applying the peer median EV/EBITDA to Diageo's FY2024 EBITDA of £5.4bn gives an implied EV of about £80bn. Adjusting for net debt and leases, the implied equity value is roughly £64bn, or about 2,870p per share.</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Both the DCF and comps point to a fair value range of 2,600-2,900p. I set my target at 2,800p, which represents about 12% upside from today's 2,500p. That is a more modest upside than Tesco because Diageo's valuation is already richer on an absolute multiple basis, but the higher quality of the business (brand moats, pricing power, capital-light model) justifies the premium.</w:t>
      </w:r>
    </w:p>
    <w:p>
      <w:pPr>
        <w:pStyle w:val="Heading1"/>
        <w:jc w:val="both"/>
        <w:spacing w:line="360" w:lineRule="auto"/>
      </w:pPr>
      <w:r>
        <w:rPr>
          <w:rFonts w:ascii="Arial" w:cs="Arial" w:eastAsia="Arial" w:hAnsi="Arial"/>
          <w:b/>
          <w:bCs/>
          <w:color w:val="1F4E79"/>
          <w:sz w:val="28"/>
          <w:szCs w:val="28"/>
        </w:rPr>
        <w:t xml:space="preserve">Key risks</w:t>
      </w:r>
    </w:p>
    <w:p>
      <w:pPr>
        <w:pStyle w:val="ListParagraph"/>
        <w:numPr>
          <w:ilvl w:val="0"/>
          <w:numId w:val="2"/>
        </w:numPr>
        <w:spacing w:after="8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US spirits consumption slowdown: North America is 40% of revenue and more than 40% of profit. If consumer spending weakens or the cultural shift away from spirits (particularly among younger demographics) accelerates, volumes could disappoint.</w:t>
      </w:r>
    </w:p>
    <w:p>
      <w:pPr>
        <w:pStyle w:val="ListParagraph"/>
        <w:numPr>
          <w:ilvl w:val="0"/>
          <w:numId w:val="2"/>
        </w:numPr>
        <w:spacing w:after="8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Inventory destocking: FY2024 showed how painful destocking can be. If another inventory correction hits, Diageo's results will look ugly for a quarter or two even if underlying demand is fine.</w:t>
      </w:r>
    </w:p>
    <w:p>
      <w:pPr>
        <w:pStyle w:val="ListParagraph"/>
        <w:numPr>
          <w:ilvl w:val="0"/>
          <w:numId w:val="2"/>
        </w:numPr>
        <w:spacing w:after="8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Leverage: Net debt at 2.7x EBITDA is at the top of the target range. If earnings disappoint while debt stays elevated, rating agencies could reassess the credit profile.</w:t>
      </w:r>
    </w:p>
    <w:p>
      <w:pPr>
        <w:pStyle w:val="ListParagraph"/>
        <w:numPr>
          <w:ilvl w:val="0"/>
          <w:numId w:val="2"/>
        </w:numPr>
        <w:spacing w:after="8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FX exposure: Diageo earns in 80+ currencies but reports in sterling. A sharp GBP appreciation would reduce reported earnings without any change in underlying business performance.</w:t>
      </w:r>
    </w:p>
    <w:p>
      <w:pPr>
        <w:pStyle w:val="ListParagraph"/>
        <w:numPr>
          <w:ilvl w:val="0"/>
          <w:numId w:val="2"/>
        </w:numPr>
        <w:spacing w:after="8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Regulation and taxation: Spirits face excise duties in most markets. Any increase in alcohol taxes, advertising restrictions, or minimum pricing rules could weigh on volumes and profitability.</w:t>
      </w:r>
    </w:p>
    <w:p>
      <w:pPr>
        <w:spacing w:after="80" w:line="360" w:lineRule="auto"/>
        <w:jc w:val="both"/>
        <w:rPr>
          <w:rFonts w:ascii="Times New Roman" w:hAnsi="Times New Roman" w:cs="Times New Roman"/>
          <w:sz w:val="22"/>
          <w:szCs w:val="22"/>
        </w:rPr>
      </w:pPr>
    </w:p>
    <w:p>
      <w:pPr>
        <w:pStyle w:val="Heading1"/>
        <w:jc w:val="both"/>
        <w:spacing w:line="360" w:lineRule="auto"/>
      </w:pPr>
      <w:r>
        <w:rPr>
          <w:rFonts w:ascii="Arial" w:cs="Arial" w:eastAsia="Arial" w:hAnsi="Arial"/>
          <w:b/>
          <w:bCs/>
          <w:color w:val="1F4E79"/>
          <w:sz w:val="28"/>
          <w:szCs w:val="28"/>
        </w:rPr>
        <w:t xml:space="preserve">Conclusion</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Diageo is one of those businesses where the competitive position is genuinely hard to replicate. The brand portfolio took centuries to build and would be nearly impossible to assemble from scratch. FY2024 was a weak year, but the underlying franchise is intact, and I believe the destocking headwind is largely behind us. At 2,500p, the stock offers a reasonable entry point for a high-quality compounder with solid capital returns. I set a BUY rating with a 2,800p price target, representing about 12% upside.</w:t>
      </w:r>
    </w:p>
    <w:p>
      <w:pPr>
        <w:spacing w:after="80" w:line="360" w:lineRule="auto"/>
        <w:jc w:val="both"/>
        <w:rPr>
          <w:rFonts w:ascii="Times New Roman" w:hAnsi="Times New Roman" w:cs="Times New Roman"/>
          <w:sz w:val="22"/>
          <w:szCs w:val="22"/>
        </w:rPr>
      </w:pPr>
    </w:p>
    <w:p>
      <w:pPr>
        <w:pBdr>
          <w:bottom w:val="single" w:color="2E75B6" w:sz="6" w:space="1"/>
        </w:pBdr>
        <w:jc w:val="both"/>
        <w:spacing w:line="360" w:lineRule="auto"/>
        <w:rPr>
          <w:rFonts w:ascii="Times New Roman" w:hAnsi="Times New Roman" w:cs="Times New Roman"/>
          <w:sz w:val="22"/>
          <w:szCs w:val="22"/>
        </w:rPr>
      </w:pPr>
    </w:p>
    <w:p>
      <w:pPr>
        <w:spacing w:after="120" w:line="360" w:lineRule="auto"/>
        <w:jc w:val="both"/>
        <w:rPr>
          <w:rFonts w:ascii="Times New Roman" w:hAnsi="Times New Roman" w:cs="Times New Roman"/>
          <w:sz w:val="22"/>
          <w:szCs w:val="22"/>
        </w:rPr>
      </w:pPr>
      <w:r>
        <w:rPr>
          <w:rFonts w:ascii="Times New Roman" w:cs="Times New Roman" w:eastAsia="Arial" w:hAnsi="Times New Roman"/>
          <w:i/>
          <w:iCs/>
          <w:color w:val="888888"/>
          <w:sz w:val="22"/>
          <w:szCs w:val="22"/>
        </w:rPr>
        <w:t xml:space="preserve">This note was prepared by Zak Whatmough as part of an independent equity research project. All data sourced from Diageo PLC Annual Reports (FY2020-FY2024), Bloomberg, FactSet, and Damodaran. The accompanying Excel model contains full workings and is available on GitHub.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Zak Whatmough | April 2025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888888"/>
        <w:sz w:val="18"/>
        <w:szCs w:val="18"/>
      </w:rPr>
      <w:t xml:space="preserve">Diageo PLC (DGE LN)</w:t>
    </w:r>
    <w:r>
      <w:rPr>
        <w:rFonts w:ascii="Arial" w:cs="Arial" w:eastAsia="Arial" w:hAnsi="Arial"/>
        <w:i/>
        <w:iCs/>
        <w:color w:val="888888"/>
        <w:sz w:val="18"/>
        <w:szCs w:val="18"/>
      </w:rPr>
      <w:t xml:space="preserve">	Equity Research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Arial"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2026-04-05T14:33:59.408Z</dcterms:created>
  <dcterms:modified xsi:type="dcterms:W3CDTF">2026-04-05T14:33:59.409Z</dcterms:modified>
</cp:coreProperties>
</file>

<file path=docProps/custom.xml><?xml version="1.0" encoding="utf-8"?>
<Properties xmlns="http://schemas.openxmlformats.org/officeDocument/2006/custom-properties" xmlns:vt="http://schemas.openxmlformats.org/officeDocument/2006/docPropsVTypes"/>
</file>