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60" w:lineRule="auto"/>
        <w:jc w:val="both"/>
        <w:rPr>
          <w:rFonts w:ascii="Times New Roman" w:hAnsi="Times New Roman" w:cs="Times New Roman"/>
          <w:sz w:val="22"/>
          <w:szCs w:val="22"/>
        </w:rPr>
      </w:pPr>
      <w:r>
        <w:rPr>
          <w:rFonts w:ascii="Times New Roman" w:cs="Times New Roman" w:eastAsia="Arial" w:hAnsi="Times New Roman"/>
          <w:b/>
          <w:bCs/>
          <w:color w:val="1F4E79"/>
          <w:sz w:val="22"/>
          <w:szCs w:val="22"/>
        </w:rPr>
        <w:t xml:space="preserve">EQUITY RESEARCH</w:t>
      </w:r>
    </w:p>
    <w:p>
      <w:pPr>
        <w:spacing w:after="40" w:line="360" w:lineRule="auto"/>
        <w:jc w:val="both"/>
        <w:rPr>
          <w:rFonts w:ascii="Times New Roman" w:hAnsi="Times New Roman" w:cs="Times New Roman"/>
          <w:sz w:val="22"/>
          <w:szCs w:val="22"/>
        </w:rPr>
      </w:pPr>
      <w:r>
        <w:rPr>
          <w:rFonts w:ascii="Times New Roman" w:cs="Times New Roman" w:eastAsia="Arial" w:hAnsi="Times New Roman"/>
          <w:color w:val="2E75B6"/>
          <w:sz w:val="22"/>
          <w:szCs w:val="22"/>
        </w:rPr>
        <w:t xml:space="preserve">Tesco PLC  |  TSCO LN  |  Food &amp; Staples Retailing</w:t>
      </w:r>
    </w:p>
    <w:p>
      <w:pPr>
        <w:pBdr>
          <w:bottom w:val="single" w:color="2E75B6" w:sz="6" w:space="1"/>
        </w:pBdr>
        <w:jc w:val="both"/>
        <w:spacing w:line="360" w:lineRule="auto"/>
        <w:rPr>
          <w:rFonts w:ascii="Times New Roman" w:hAnsi="Times New Roman" w:cs="Times New Roman"/>
          <w:sz w:val="22"/>
          <w:szCs w:val="22"/>
        </w:rPr>
      </w:pPr>
    </w:p>
    <w:p>
      <w:pPr>
        <w:spacing w:after="80" w:line="360" w:lineRule="auto"/>
        <w:jc w:val="both"/>
        <w:rPr>
          <w:rFonts w:ascii="Times New Roman" w:hAnsi="Times New Roman" w:cs="Times New Roman"/>
          <w:sz w:val="22"/>
          <w:szCs w:val="22"/>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FFFFFF"/>
                <w:sz w:val="22"/>
                <w:szCs w:val="22"/>
              </w:rPr>
              <w:t xml:space="preserve">Rating</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FFFFFF"/>
                <w:sz w:val="22"/>
                <w:szCs w:val="22"/>
              </w:rPr>
              <w:t xml:space="preserve">Target Price</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FFFFFF"/>
                <w:sz w:val="22"/>
                <w:szCs w:val="22"/>
              </w:rPr>
              <w:t xml:space="preserve">Current Price</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FFFFFF"/>
                <w:sz w:val="22"/>
                <w:szCs w:val="22"/>
              </w:rPr>
              <w:t xml:space="preserve">Upside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val="false"/>
                <w:bCs w:val="false"/>
                <w:color w:val="000000"/>
                <w:sz w:val="22"/>
                <w:szCs w:val="22"/>
              </w:rPr>
              <w:t xml:space="preserve">BUY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val="false"/>
                <w:bCs w:val="false"/>
                <w:color w:val="000000"/>
                <w:sz w:val="22"/>
                <w:szCs w:val="22"/>
              </w:rPr>
              <w:t xml:space="preserve">310p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val="false"/>
                <w:bCs w:val="false"/>
                <w:color w:val="000000"/>
                <w:sz w:val="22"/>
                <w:szCs w:val="22"/>
              </w:rPr>
              <w:t xml:space="preserve">260p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val="false"/>
                <w:bCs w:val="false"/>
                <w:color w:val="000000"/>
                <w:sz w:val="22"/>
                <w:szCs w:val="22"/>
              </w:rPr>
              <w:t xml:space="preserve">+19%</w:t>
            </w:r>
          </w:p>
        </w:tc>
      </w:tr>
    </w:tbl>
    <w:p>
      <w:pPr>
        <w:spacing w:after="80" w:line="360" w:lineRule="auto"/>
        <w:jc w:val="both"/>
        <w:rPr>
          <w:rFonts w:ascii="Times New Roman" w:hAnsi="Times New Roman" w:cs="Times New Roman"/>
          <w:sz w:val="22"/>
          <w:szCs w:val="22"/>
        </w:r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FFFFFF"/>
                <w:sz w:val="22"/>
                <w:szCs w:val="22"/>
              </w:rPr>
              <w:t xml:space="preserve">Market Cap</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FFFFFF"/>
                <w:sz w:val="22"/>
                <w:szCs w:val="22"/>
              </w:rPr>
              <w:t xml:space="preserve">EV/EBITDA (FY24)</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FFFFFF"/>
                <w:sz w:val="22"/>
                <w:szCs w:val="22"/>
              </w:rPr>
              <w:t xml:space="preserve">P/E (fwd)</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FFFFFF"/>
                <w:sz w:val="22"/>
                <w:szCs w:val="22"/>
              </w:rPr>
              <w:t xml:space="preserve">Dividend Yield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val="false"/>
                <w:bCs w:val="false"/>
                <w:color w:val="000000"/>
                <w:sz w:val="22"/>
                <w:szCs w:val="22"/>
              </w:rPr>
              <w:t xml:space="preserve">£18.7bn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val="false"/>
                <w:bCs w:val="false"/>
                <w:color w:val="000000"/>
                <w:sz w:val="22"/>
                <w:szCs w:val="22"/>
              </w:rPr>
              <w:t xml:space="preserve">4.6x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val="false"/>
                <w:bCs w:val="false"/>
                <w:color w:val="000000"/>
                <w:sz w:val="22"/>
                <w:szCs w:val="22"/>
              </w:rPr>
              <w:t xml:space="preserve">12.5x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both"/>
              <w:spacing w:line="360" w:lineRule="auto"/>
              <w:rPr>
                <w:rFonts w:ascii="Times New Roman" w:hAnsi="Times New Roman" w:cs="Times New Roman"/>
                <w:sz w:val="22"/>
                <w:szCs w:val="22"/>
              </w:rPr>
            </w:pPr>
            <w:r>
              <w:rPr>
                <w:rFonts w:ascii="Times New Roman" w:cs="Times New Roman" w:eastAsia="Arial" w:hAnsi="Times New Roman"/>
                <w:b w:val="false"/>
                <w:bCs w:val="false"/>
                <w:color w:val="000000"/>
                <w:sz w:val="22"/>
                <w:szCs w:val="22"/>
              </w:rPr>
              <w:t xml:space="preserve">4.7%</w:t>
            </w:r>
          </w:p>
        </w:tc>
      </w:tr>
    </w:tbl>
    <w:p>
      <w:pPr>
        <w:spacing w:after="120" w:line="360" w:lineRule="auto"/>
        <w:jc w:val="both"/>
        <w:rPr>
          <w:rFonts w:ascii="Times New Roman" w:hAnsi="Times New Roman" w:cs="Times New Roman"/>
          <w:sz w:val="22"/>
          <w:szCs w:val="22"/>
        </w:rPr>
      </w:pPr>
    </w:p>
    <w:p>
      <w:pPr>
        <w:pStyle w:val="Heading1"/>
        <w:jc w:val="both"/>
        <w:spacing w:line="360" w:lineRule="auto"/>
      </w:pPr>
      <w:r>
        <w:rPr>
          <w:rFonts w:ascii="Arial" w:cs="Arial" w:eastAsia="Arial" w:hAnsi="Arial"/>
          <w:b/>
          <w:bCs/>
          <w:color w:val="1F4E79"/>
          <w:sz w:val="28"/>
          <w:szCs w:val="28"/>
        </w:rPr>
        <w:t xml:space="preserve">Investment thesis</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Tesco is the UK's largest grocer with roughly 27% market share, and it trades at a discount to European food retail peers on most metrics. The stock is at 260p as of April 2025. My DCF points to around 310p, which is about 19% above where it sits today. The comps analysis lands in a similar range.</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Three things drive the thesis. First, revenue should keep growing at low single digits as Tesco takes share through its Clubcard loyalty scheme and online grocery business, both of which have been gaining traction since 2021. Second, operating margins have room to expand toward the 10% level management flagged at their 2023 Capital Markets Day, up from around 9.5% currently. Third, the balance sheet is in good shape after several years of deleveraging, and the company is returning cash aggressively through both dividends and buybacks.</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The main risk is that competition in UK grocery stays intense. Aldi and Lidl continue to open stores, and any price war would compress margins. I address this in the risk section below.</w:t>
      </w:r>
    </w:p>
    <w:p>
      <w:pPr>
        <w:spacing w:after="40" w:line="360" w:lineRule="auto"/>
        <w:jc w:val="both"/>
        <w:rPr>
          <w:rFonts w:ascii="Times New Roman" w:hAnsi="Times New Roman" w:cs="Times New Roman"/>
          <w:sz w:val="22"/>
          <w:szCs w:val="22"/>
        </w:rPr>
      </w:pPr>
    </w:p>
    <w:p>
      <w:pPr>
        <w:pStyle w:val="Heading1"/>
        <w:jc w:val="both"/>
        <w:spacing w:line="360" w:lineRule="auto"/>
      </w:pPr>
      <w:r>
        <w:rPr>
          <w:rFonts w:ascii="Arial" w:cs="Arial" w:eastAsia="Arial" w:hAnsi="Arial"/>
          <w:b/>
          <w:bCs/>
          <w:color w:val="1F4E79"/>
          <w:sz w:val="28"/>
          <w:szCs w:val="28"/>
        </w:rPr>
        <w:t xml:space="preserve">Company overview</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Tesco operates about 4,700 stores across the UK, Ireland, Czech Republic, Slovakia, and Hungary. The UK and Republic of Ireland segment accounts for roughly 90% of group revenue, with Central Europe making up the rest. The business also includes Tesco Bank (personal finance products) and a wholesale operation (Booker Group, acquired in 2018).</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The company went through a difficult period between 2014 and 2017 after an accounting scandal and a failed international expansion. Since then, under CEO Ken Murphy (appointed 2020), the business has been simplified and refocused. Tesco sold its operations in Thailand, Malaysia, and Poland, paid down debt, and invested in pricing and digital. The Clubcard programme now has over 21 million active users in the UK, which gives Tesco useful data on shopping patterns and a tool for targeted promotions.</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Online grocery grew rapidly during COVID and has stayed at a structurally higher level. Tesco's online sales were around 13% of UK food revenue in FY2024, served through a network of urban fulfilment centres and in-store picking.</w:t>
      </w:r>
    </w:p>
    <w:p>
      <w:pPr>
        <w:jc w:val="both"/>
        <w:spacing w:line="360" w:lineRule="auto"/>
        <w:rPr>
          <w:rFonts w:ascii="Times New Roman" w:hAnsi="Times New Roman" w:cs="Times New Roman"/>
          <w:sz w:val="22"/>
          <w:szCs w:val="22"/>
        </w:rPr>
      </w:pPr>
      <w:r>
        <w:rPr>
          <w:rFonts w:ascii="Times New Roman" w:hAnsi="Times New Roman" w:cs="Times New Roman"/>
          <w:sz w:val="22"/>
          <w:szCs w:val="22"/>
        </w:rPr>
        <w:br w:type="page"/>
      </w:r>
    </w:p>
    <w:p>
      <w:pPr>
        <w:pStyle w:val="Heading1"/>
        <w:jc w:val="both"/>
        <w:spacing w:line="360" w:lineRule="auto"/>
      </w:pPr>
      <w:r>
        <w:rPr>
          <w:rFonts w:ascii="Arial" w:cs="Arial" w:eastAsia="Arial" w:hAnsi="Arial"/>
          <w:b/>
          <w:bCs/>
          <w:color w:val="1F4E79"/>
          <w:sz w:val="28"/>
          <w:szCs w:val="28"/>
        </w:rPr>
        <w:t xml:space="preserve">Financial analysis</w:t>
      </w:r>
    </w:p>
    <w:p>
      <w:pPr>
        <w:pStyle w:val="Heading2"/>
        <w:jc w:val="both"/>
        <w:spacing w:line="360" w:lineRule="auto"/>
      </w:pPr>
      <w:r>
        <w:rPr>
          <w:rFonts w:ascii="Arial" w:cs="Arial" w:eastAsia="Arial" w:hAnsi="Arial"/>
          <w:b/>
          <w:bCs/>
          <w:color w:val="2E75B6"/>
          <w:sz w:val="24"/>
          <w:szCs w:val="24"/>
        </w:rPr>
        <w:t xml:space="preserve">Revenue</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Group revenue grew from £58.1bn in FY2020 to £68.2bn in FY2024, a compound annual growth rate of about 4.1%. A lot of this was inflation-driven (food CPI ran at 10-15% in 2022-23), but underlying volume trends were positive too. Tesco gained about 50bps of market share over this period according to Kantar data.</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I forecast UK revenue growing at 3.0% in FY2025 and FY2026, slowing to 2.0% by FY2029 as food inflation normalises. Central Europe grows at 2.0-2.5%, which is conservative given those markets tend to run hotter than the UK. Total group revenue reaches about £75bn by FY2029 on my numbers.</w:t>
      </w:r>
    </w:p>
    <w:p>
      <w:pPr>
        <w:pStyle w:val="Heading2"/>
        <w:jc w:val="both"/>
        <w:spacing w:line="360" w:lineRule="auto"/>
      </w:pPr>
      <w:r>
        <w:rPr>
          <w:rFonts w:ascii="Arial" w:cs="Arial" w:eastAsia="Arial" w:hAnsi="Arial"/>
          <w:b/>
          <w:bCs/>
          <w:color w:val="2E75B6"/>
          <w:sz w:val="24"/>
          <w:szCs w:val="24"/>
        </w:rPr>
        <w:t xml:space="preserve">Profitability</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EBITDA margins improved from 9.2% in FY2020 to 9.5% in FY2024. Management has guided toward 10%+ medium term, which I think is achievable but not certain. My model assumes a gradual ramp from 9.6% in FY2025 to 9.8% in FY2029. That is below management's target, which I think is appropriate given the competitive environment.</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Below EBITDA, depreciation runs at about £3.7-3.9bn per year, reflecting the large store estate and IFRS 16 right-of-use assets. EBIT margins are therefore lower, at around 3.5-4.0%. Net finance costs have been falling as Tesco pays down bonds, running at £710m in FY2024 versus £700m in FY2020 (the improvement is more visible excluding IFRS 16 lease interest).</w:t>
      </w:r>
    </w:p>
    <w:p>
      <w:pPr>
        <w:pStyle w:val="Heading2"/>
        <w:jc w:val="both"/>
        <w:spacing w:line="360" w:lineRule="auto"/>
      </w:pPr>
      <w:r>
        <w:rPr>
          <w:rFonts w:ascii="Arial" w:cs="Arial" w:eastAsia="Arial" w:hAnsi="Arial"/>
          <w:b/>
          <w:bCs/>
          <w:color w:val="2E75B6"/>
          <w:sz w:val="24"/>
          <w:szCs w:val="24"/>
        </w:rPr>
        <w:t xml:space="preserve">Capital allocation</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Tesco generates significant free cash flow. Unlevered FCF was about £4.3bn in FY2024. After debt service, the company still has ample room for shareholder returns. Management has been running a buyback programme (£1bn in FY2024, £750m guided for FY2025) alongside a progressive dividend (DPS grew from 5.5p in FY2020 to 12.1p in FY2024). Total capital returns to shareholders were £1.9bn in FY2024.</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Net debt (excluding IFRS 16 leases) was about £1.9bn at FY2024, which is 0.3x EBITDA. Including leases it is higher at around 1.3x, but that is comfortable for a grocery business with predictable cash flows.</w:t>
      </w:r>
    </w:p>
    <w:p>
      <w:pPr>
        <w:jc w:val="both"/>
        <w:spacing w:line="360" w:lineRule="auto"/>
        <w:rPr>
          <w:rFonts w:ascii="Times New Roman" w:hAnsi="Times New Roman" w:cs="Times New Roman"/>
          <w:sz w:val="22"/>
          <w:szCs w:val="22"/>
        </w:rPr>
      </w:pPr>
      <w:r>
        <w:rPr>
          <w:rFonts w:ascii="Times New Roman" w:hAnsi="Times New Roman" w:cs="Times New Roman"/>
          <w:sz w:val="22"/>
          <w:szCs w:val="22"/>
        </w:rPr>
        <w:br w:type="page"/>
      </w:r>
    </w:p>
    <w:p>
      <w:pPr>
        <w:pStyle w:val="Heading1"/>
        <w:jc w:val="both"/>
        <w:spacing w:line="360" w:lineRule="auto"/>
      </w:pPr>
      <w:r>
        <w:rPr>
          <w:rFonts w:ascii="Arial" w:cs="Arial" w:eastAsia="Arial" w:hAnsi="Arial"/>
          <w:b/>
          <w:bCs/>
          <w:color w:val="1F4E79"/>
          <w:sz w:val="28"/>
          <w:szCs w:val="28"/>
        </w:rPr>
        <w:t xml:space="preserve">Valuation</w:t>
      </w:r>
    </w:p>
    <w:p>
      <w:pPr>
        <w:pStyle w:val="Heading2"/>
        <w:jc w:val="both"/>
        <w:spacing w:line="360" w:lineRule="auto"/>
      </w:pPr>
      <w:r>
        <w:rPr>
          <w:rFonts w:ascii="Arial" w:cs="Arial" w:eastAsia="Arial" w:hAnsi="Arial"/>
          <w:b/>
          <w:bCs/>
          <w:color w:val="2E75B6"/>
          <w:sz w:val="24"/>
          <w:szCs w:val="24"/>
        </w:rPr>
        <w:t xml:space="preserve">DCF</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I built a five year DCF using a WACC of 6.6% (derived from CAPM: risk-free rate 4.2%, beta 0.65, equity risk premium 5.5%, with a 35% debt weighting at a post-tax cost of debt of 3.75%). Terminal growth is 2.0%, which is roughly in line with long run UK nominal GDP.</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The DCF gives an enterprise value of around £33bn. Subtracting net debt of £4.7bn (bonds) and £11.1bn (lease liabilities), then adding back £2.8bn of cash, I get an equity value of approximately £20bn, or about 280p per share on 7,200m diluted shares. The sensitivity table in the Excel model shows a range of roughly 220-340p depending on WACC and terminal growth assumptions.</w:t>
      </w:r>
    </w:p>
    <w:p>
      <w:pPr>
        <w:pStyle w:val="Heading2"/>
        <w:jc w:val="both"/>
        <w:spacing w:line="360" w:lineRule="auto"/>
      </w:pPr>
      <w:r>
        <w:rPr>
          <w:rFonts w:ascii="Arial" w:cs="Arial" w:eastAsia="Arial" w:hAnsi="Arial"/>
          <w:b/>
          <w:bCs/>
          <w:color w:val="2E75B6"/>
          <w:sz w:val="24"/>
          <w:szCs w:val="24"/>
        </w:rPr>
        <w:t xml:space="preserve">Trading comparables</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Tesco trades at 4.6x EV/EBITDA and 12.5x forward P/E. The peer group (Sainsbury's, M&amp;S, Ahold Delhaize, Carrefour) trades at a median of about 5.25x EV/EBITDA and 11.6x P/E. Applying the peer median EV/EBITDA of 5.25x to Tesco's FY2024 EBITDA of £6.5bn and adjusting for net debt and leases, the implied equity value is about £20-22bn, or roughly 280-310p per share.</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Both approaches converge around 280-310p, which supports a BUY rating with a 310p target.</w:t>
      </w:r>
    </w:p>
    <w:p>
      <w:pPr>
        <w:pStyle w:val="Heading1"/>
        <w:jc w:val="both"/>
        <w:spacing w:line="360" w:lineRule="auto"/>
      </w:pPr>
      <w:r>
        <w:rPr>
          <w:rFonts w:ascii="Arial" w:cs="Arial" w:eastAsia="Arial" w:hAnsi="Arial"/>
          <w:b/>
          <w:bCs/>
          <w:color w:val="1F4E79"/>
          <w:sz w:val="28"/>
          <w:szCs w:val="28"/>
        </w:rPr>
        <w:t xml:space="preserve">Key risks</w:t>
      </w:r>
    </w:p>
    <w:p>
      <w:pPr>
        <w:pStyle w:val="ListParagraph"/>
        <w:numPr>
          <w:ilvl w:val="0"/>
          <w:numId w:val="2"/>
        </w:numPr>
        <w:spacing w:after="8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Grocery price war: Aldi and Lidl are still expanding in the UK. If the discounters trigger a sustained price war, Tesco's margin expansion could stall or reverse. This is the most likely downside scenario.</w:t>
      </w:r>
    </w:p>
    <w:p>
      <w:pPr>
        <w:pStyle w:val="ListParagraph"/>
        <w:numPr>
          <w:ilvl w:val="0"/>
          <w:numId w:val="2"/>
        </w:numPr>
        <w:spacing w:after="8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Inflation reversal: If food deflation takes hold, top line growth would slow and Tesco would need to find cost savings to protect margins.</w:t>
      </w:r>
    </w:p>
    <w:p>
      <w:pPr>
        <w:pStyle w:val="ListParagraph"/>
        <w:numPr>
          <w:ilvl w:val="0"/>
          <w:numId w:val="2"/>
        </w:numPr>
        <w:spacing w:after="8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IFRS 16 and leverage: The lease liabilities are large (£11bn+). A change in lease accounting rules or a sharp rise in interest rates could increase reported leverage.</w:t>
      </w:r>
    </w:p>
    <w:p>
      <w:pPr>
        <w:pStyle w:val="ListParagraph"/>
        <w:numPr>
          <w:ilvl w:val="0"/>
          <w:numId w:val="2"/>
        </w:numPr>
        <w:spacing w:after="8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Regulatory: The Competition and Markets Authority could scrutinise supplier practices or Clubcard pricing strategies, particularly if political pressure around food prices intensifies.</w:t>
      </w:r>
    </w:p>
    <w:p>
      <w:pPr>
        <w:spacing w:after="80" w:line="360" w:lineRule="auto"/>
        <w:jc w:val="both"/>
        <w:rPr>
          <w:rFonts w:ascii="Times New Roman" w:hAnsi="Times New Roman" w:cs="Times New Roman"/>
          <w:sz w:val="22"/>
          <w:szCs w:val="22"/>
        </w:rPr>
      </w:pPr>
    </w:p>
    <w:p>
      <w:pPr>
        <w:pStyle w:val="Heading1"/>
        <w:jc w:val="both"/>
        <w:spacing w:line="360" w:lineRule="auto"/>
      </w:pPr>
      <w:r>
        <w:rPr>
          <w:rFonts w:ascii="Arial" w:cs="Arial" w:eastAsia="Arial" w:hAnsi="Arial"/>
          <w:b/>
          <w:bCs/>
          <w:color w:val="1F4E79"/>
          <w:sz w:val="28"/>
          <w:szCs w:val="28"/>
        </w:rPr>
        <w:t xml:space="preserve">Conclusion</w:t>
      </w:r>
    </w:p>
    <w:p>
      <w:pPr>
        <w:spacing w:after="12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Tesco is a well-run business with a dominant market position, improving profitability, and a management team that has been disciplined about capital allocation. The stock trades at a discount to peers and my DCF suggests meaningful upside from current levels. I set a BUY rating with a 310p price target, representing roughly 19% upside from the current 260p.</w:t>
      </w:r>
    </w:p>
    <w:p>
      <w:pPr>
        <w:spacing w:after="80" w:line="360" w:lineRule="auto"/>
        <w:jc w:val="both"/>
        <w:rPr>
          <w:rFonts w:ascii="Times New Roman" w:hAnsi="Times New Roman" w:cs="Times New Roman"/>
          <w:sz w:val="22"/>
          <w:szCs w:val="22"/>
        </w:rPr>
      </w:pPr>
    </w:p>
    <w:p>
      <w:pPr>
        <w:pBdr>
          <w:bottom w:val="single" w:color="2E75B6" w:sz="6" w:space="1"/>
        </w:pBdr>
        <w:jc w:val="both"/>
        <w:spacing w:line="360" w:lineRule="auto"/>
        <w:rPr>
          <w:rFonts w:ascii="Times New Roman" w:hAnsi="Times New Roman" w:cs="Times New Roman"/>
          <w:sz w:val="22"/>
          <w:szCs w:val="22"/>
        </w:rPr>
      </w:pPr>
    </w:p>
    <w:p>
      <w:pPr>
        <w:spacing w:after="120" w:line="360" w:lineRule="auto"/>
        <w:jc w:val="both"/>
        <w:rPr>
          <w:rFonts w:ascii="Times New Roman" w:hAnsi="Times New Roman" w:cs="Times New Roman"/>
          <w:sz w:val="22"/>
          <w:szCs w:val="22"/>
        </w:rPr>
      </w:pPr>
      <w:r>
        <w:rPr>
          <w:rFonts w:ascii="Times New Roman" w:cs="Times New Roman" w:eastAsia="Arial" w:hAnsi="Times New Roman"/>
          <w:i/>
          <w:iCs/>
          <w:color w:val="888888"/>
          <w:sz w:val="22"/>
          <w:szCs w:val="22"/>
        </w:rPr>
        <w:t xml:space="preserve">This note was prepared by Zak Whatmough as part of an independent equity research project. All data sourced from Tesco PLC Annual Reports (FY2020-FY2024), Bloomberg, FactSet, and Damodaran. The accompanying Excel model contains full workings and is available on GitHub.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Zak Whatmough | April 2025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888888"/>
        <w:sz w:val="18"/>
        <w:szCs w:val="18"/>
      </w:rPr>
      <w:t xml:space="preserve">Tesco PLC (TSCO LN)</w:t>
    </w:r>
    <w:r>
      <w:rPr>
        <w:rFonts w:ascii="Arial" w:cs="Arial" w:eastAsia="Arial" w:hAnsi="Arial"/>
        <w:i/>
        <w:iCs/>
        <w:color w:val="888888"/>
        <w:sz w:val="18"/>
        <w:szCs w:val="18"/>
      </w:rPr>
      <w:t xml:space="preserve">	Equity Research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Arial"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2026-04-05T14:12:33.072Z</dcterms:created>
  <dcterms:modified xsi:type="dcterms:W3CDTF">2026-04-05T14:12:33.072Z</dcterms:modified>
</cp:coreProperties>
</file>

<file path=docProps/custom.xml><?xml version="1.0" encoding="utf-8"?>
<Properties xmlns="http://schemas.openxmlformats.org/officeDocument/2006/custom-properties" xmlns:vt="http://schemas.openxmlformats.org/officeDocument/2006/docPropsVTypes"/>
</file>