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before="0" w:after="0" w:line="360" w:lineRule="auto"/>
        <w:ind w:left="110" w:right="110"/>
        <w:jc w:val="both"/>
        <w:rPr>
          <w:rFonts w:ascii="Times New Roman" w:hAnsi="Times New Roman" w:cs="Times New Roman"/>
          <w:sz w:val="22"/>
          <w:szCs w:val="22"/>
        </w:rPr>
      </w:pPr>
      <w:r>
        <w:rPr>
          <w:rFonts w:ascii="Times New Roman" w:cs="Times New Roman" w:eastAsia="Arial" w:hAnsi="Times New Roman"/>
          <w:b/>
          <w:bCs/>
          <w:color w:val="FFFFFF"/>
          <w:sz w:val="22"/>
          <w:szCs w:val="22"/>
        </w:rPr>
        <w:t xml:space="preserve">AI Infrastructure: The Picks-and-Shovels Play Beyond the Model Race</w:t>
      </w:r>
    </w:p>
    <w:p>
      <w:pPr>
        <w:shd w:fill="1B4F72" w:val="clear"/>
        <w:tabs>
          <w:tab w:val="right" w:pos="10724"/>
        </w:tabs>
        <w:spacing w:before="0" w:after="0" w:line="360" w:lineRule="auto"/>
        <w:ind w:left="110" w:right="110"/>
        <w:jc w:val="both"/>
        <w:rPr>
          <w:rFonts w:ascii="Times New Roman" w:hAnsi="Times New Roman" w:cs="Times New Roman"/>
          <w:sz w:val="22"/>
          <w:szCs w:val="22"/>
        </w:rPr>
      </w:pPr>
      <w:r>
        <w:rPr>
          <w:rFonts w:ascii="Times New Roman" w:cs="Times New Roman" w:eastAsia="Arial" w:hAnsi="Times New Roman"/>
          <w:color w:val="FFFFFF"/>
          <w:sz w:val="22"/>
          <w:szCs w:val="22"/>
        </w:rPr>
        <w:t xml:space="preserve">Zak Whatmough  ·  Sector: Technology / Infrastructure  ·  March 2026</w:t>
      </w:r>
      <w:r>
        <w:rPr>
          <w:rFonts w:ascii="Times New Roman" w:cs="Times New Roman" w:eastAsia="Arial" w:hAnsi="Times New Roman"/>
          <w:sz w:val="22"/>
          <w:szCs w:val="22"/>
        </w:rPr>
        <w:t xml:space="preserve">	</w:t>
      </w:r>
      <w:r>
        <w:rPr>
          <w:rFonts w:ascii="Times New Roman" w:cs="Times New Roman" w:eastAsia="Arial" w:hAnsi="Times New Roman"/>
          <w:b/>
          <w:bCs/>
          <w:color w:val="F9E79F"/>
          <w:sz w:val="22"/>
          <w:szCs w:val="22"/>
        </w:rPr>
        <w:t xml:space="preserve">RISK-REWARD INCREASINGLY FAVOURABLE</w:t>
      </w:r>
    </w:p>
    <w:p>
      <w:pPr>
        <w:spacing w:before="80" w:after="80" w:line="360" w:lineRule="auto"/>
        <w:jc w:val="both"/>
        <w:rPr>
          <w:rFonts w:ascii="Times New Roman" w:hAnsi="Times New Roman" w:cs="Times New Roman"/>
          <w:sz w:val="22"/>
          <w:szCs w:val="22"/>
        </w:rPr>
      </w:pPr>
      <w:r>
        <w:rPr>
          <w:rFonts w:ascii="Times New Roman" w:cs="Times New Roman" w:eastAsia="Arial" w:hAnsi="Times New Roman"/>
          <w:color w:val="1C2833"/>
          <w:sz w:val="22"/>
          <w:szCs w:val="22"/>
        </w:rPr>
        <w:t xml:space="preserve">As hyperscaler capex accelerates toward $600bn in 2026, the structural beneficiaries are not the model makers — but the enablers: power, cooling, and networking infrastructure, which trade at a material discount to their end-demand.</w:t>
      </w:r>
    </w:p>
    <w:p>
      <w:pPr>
        <w:pBdr>
          <w:bottom w:val="single" w:color="2E86AB" w:sz="5" w:space="2"/>
        </w:pBdr>
        <w:spacing w:before="0" w:after="8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
      </w:r>
    </w:p>
    <w:tbl>
      <w:tblPr>
        <w:tblW w:type="dxa" w:w="10944"/>
        <w:tblBorders>
          <w:top w:val="single" w:color="auto" w:sz="4"/>
          <w:left w:val="single" w:color="auto" w:sz="4"/>
          <w:bottom w:val="single" w:color="auto" w:sz="4"/>
          <w:right w:val="single" w:color="auto" w:sz="4"/>
          <w:insideH w:val="single" w:color="auto" w:sz="4"/>
          <w:insideV w:val="single" w:color="auto" w:sz="4"/>
        </w:tblBorders>
      </w:tblPr>
      <w:tblGrid>
        <w:gridCol w:w="6300"/>
        <w:gridCol w:w="4644"/>
      </w:tblGrid>
      <w:tr>
        <w:tc>
          <w:tcPr>
            <w:tcW w:type="dxa" w:w="6300"/>
            <w:tcBorders>
              <w:top w:val="none" w:color="FFFFFF" w:sz="0"/>
              <w:left w:val="none" w:color="FFFFFF" w:sz="0"/>
              <w:bottom w:val="none" w:color="FFFFFF" w:sz="0"/>
              <w:right w:val="none" w:color="FFFFFF" w:sz="0"/>
            </w:tcBorders>
            <w:tcMar>
              <w:top w:type="dxa" w:w="0"/>
              <w:left w:type="dxa" w:w="0"/>
              <w:bottom w:type="dxa" w:w="0"/>
              <w:right w:type="dxa" w:w="130"/>
            </w:tcMar>
            <w:vAlign w:val="top"/>
          </w:tcPr>
          <w:p>
            <w:pPr>
              <w:shd w:fill="2E86AB" w:val="clear"/>
              <w:spacing w:before="0" w:after="70" w:line="360" w:lineRule="auto"/>
              <w:ind w:left="80" w:right="80"/>
              <w:jc w:val="both"/>
              <w:rPr>
                <w:rFonts w:ascii="Times New Roman" w:hAnsi="Times New Roman" w:cs="Times New Roman"/>
                <w:sz w:val="22"/>
                <w:szCs w:val="22"/>
              </w:rPr>
            </w:pPr>
            <w:r>
              <w:rPr>
                <w:rFonts w:ascii="Times New Roman" w:cs="Times New Roman" w:eastAsia="Arial" w:hAnsi="Times New Roman"/>
                <w:b/>
                <w:bCs/>
                <w:color w:val="FFFFFF"/>
                <w:sz w:val="22"/>
                <w:szCs w:val="22"/>
              </w:rPr>
              <w:t xml:space="preserve">INVESTMENT THESIS</w:t>
            </w:r>
          </w:p>
          <w:p>
            <w:pPr>
              <w:spacing w:before="0" w:after="65" w:line="360" w:lineRule="auto"/>
              <w:ind w:left="200" w:hanging="200"/>
              <w:jc w:val="both"/>
              <w:rPr>
                <w:rFonts w:ascii="Times New Roman" w:hAnsi="Times New Roman" w:cs="Times New Roman"/>
                <w:sz w:val="22"/>
                <w:szCs w:val="22"/>
              </w:rPr>
            </w:pPr>
            <w:r>
              <w:rPr>
                <w:rFonts w:ascii="Times New Roman" w:cs="Times New Roman" w:eastAsia="Arial" w:hAnsi="Times New Roman"/>
                <w:b/>
                <w:bCs/>
                <w:color w:val="2E86AB"/>
                <w:sz w:val="22"/>
                <w:szCs w:val="22"/>
              </w:rPr>
              <w:t xml:space="preserve">–  </w:t>
            </w:r>
            <w:r>
              <w:rPr>
                <w:rFonts w:ascii="Times New Roman" w:cs="Times New Roman" w:eastAsia="Arial" w:hAnsi="Times New Roman"/>
                <w:b/>
                <w:bCs/>
                <w:color w:val="1C2833"/>
                <w:sz w:val="22"/>
                <w:szCs w:val="22"/>
              </w:rPr>
              <w:t xml:space="preserve">Capex visibility: </w:t>
            </w:r>
            <w:r>
              <w:rPr>
                <w:rFonts w:ascii="Times New Roman" w:cs="Times New Roman" w:eastAsia="Arial" w:hAnsi="Times New Roman"/>
                <w:color w:val="1C2833"/>
                <w:sz w:val="22"/>
                <w:szCs w:val="22"/>
              </w:rPr>
              <w:t xml:space="preserve">The Big-5 hyperscalers have committed $600–690bn in 2026 capex, ~75% directed to AI infrastructure. Vertiv reports order backlog growth of +35% YoY — providing multi-year, contracted revenue for enabling suppliers.</w:t>
            </w:r>
          </w:p>
          <w:p>
            <w:pPr>
              <w:spacing w:before="0" w:after="65" w:line="360" w:lineRule="auto"/>
              <w:ind w:left="200" w:hanging="200"/>
              <w:jc w:val="both"/>
              <w:rPr>
                <w:rFonts w:ascii="Times New Roman" w:hAnsi="Times New Roman" w:cs="Times New Roman"/>
                <w:sz w:val="22"/>
                <w:szCs w:val="22"/>
              </w:rPr>
            </w:pPr>
            <w:r>
              <w:rPr>
                <w:rFonts w:ascii="Times New Roman" w:cs="Times New Roman" w:eastAsia="Arial" w:hAnsi="Times New Roman"/>
                <w:b/>
                <w:bCs/>
                <w:color w:val="2E86AB"/>
                <w:sz w:val="22"/>
                <w:szCs w:val="22"/>
              </w:rPr>
              <w:t xml:space="preserve">–  </w:t>
            </w:r>
            <w:r>
              <w:rPr>
                <w:rFonts w:ascii="Times New Roman" w:cs="Times New Roman" w:eastAsia="Arial" w:hAnsi="Times New Roman"/>
                <w:b/>
                <w:bCs/>
                <w:color w:val="1C2833"/>
                <w:sz w:val="22"/>
                <w:szCs w:val="22"/>
              </w:rPr>
              <w:t xml:space="preserve">Power as binding constraint: </w:t>
            </w:r>
            <w:r>
              <w:rPr>
                <w:rFonts w:ascii="Times New Roman" w:cs="Times New Roman" w:eastAsia="Arial" w:hAnsi="Times New Roman"/>
                <w:color w:val="1C2833"/>
                <w:sz w:val="22"/>
                <w:szCs w:val="22"/>
              </w:rPr>
              <w:t xml:space="preserve">US data-centre electricity demand is projected to reach 76GW in 2026 — up from 25GW in 2022 (S&amp;P Global). Morgan Stanley estimates a 49GW grid shortfall by 2028. This cannot be resolved by software — it must be built.</w:t>
            </w:r>
          </w:p>
          <w:p>
            <w:pPr>
              <w:spacing w:before="0" w:after="65" w:line="360" w:lineRule="auto"/>
              <w:ind w:left="200" w:hanging="200"/>
              <w:jc w:val="both"/>
              <w:rPr>
                <w:rFonts w:ascii="Times New Roman" w:hAnsi="Times New Roman" w:cs="Times New Roman"/>
                <w:sz w:val="22"/>
                <w:szCs w:val="22"/>
              </w:rPr>
            </w:pPr>
            <w:r>
              <w:rPr>
                <w:rFonts w:ascii="Times New Roman" w:cs="Times New Roman" w:eastAsia="Arial" w:hAnsi="Times New Roman"/>
                <w:b/>
                <w:bCs/>
                <w:color w:val="2E86AB"/>
                <w:sz w:val="22"/>
                <w:szCs w:val="22"/>
              </w:rPr>
              <w:t xml:space="preserve">–  </w:t>
            </w:r>
            <w:r>
              <w:rPr>
                <w:rFonts w:ascii="Times New Roman" w:cs="Times New Roman" w:eastAsia="Arial" w:hAnsi="Times New Roman"/>
                <w:b/>
                <w:bCs/>
                <w:color w:val="1C2833"/>
                <w:sz w:val="22"/>
                <w:szCs w:val="22"/>
              </w:rPr>
              <w:t xml:space="preserve">Mispriced enablers: </w:t>
            </w:r>
            <w:r>
              <w:rPr>
                <w:rFonts w:ascii="Times New Roman" w:cs="Times New Roman" w:eastAsia="Arial" w:hAnsi="Times New Roman"/>
                <w:color w:val="1C2833"/>
                <w:sz w:val="22"/>
                <w:szCs w:val="22"/>
              </w:rPr>
              <w:t xml:space="preserve">Vertiv (VRT) and Quanta (PWR) trade at 22–23x forward P/E — industrial-sector multiples — despite AI-linked revenue growing 15–18% annually. AI-facing peers trade at 35–45x: a ~40–50% valuation discount with equivalent demand exposure.</w:t>
            </w:r>
          </w:p>
          <w:p>
            <w:pPr>
              <w:spacing w:before="0" w:after="75" w:line="360" w:lineRule="auto"/>
              <w:jc w:val="both"/>
              <w:rPr>
                <w:rFonts w:ascii="Times New Roman" w:hAnsi="Times New Roman" w:cs="Times New Roman"/>
                <w:sz w:val="22"/>
                <w:szCs w:val="22"/>
              </w:rPr>
            </w:pPr>
          </w:p>
          <w:p>
            <w:pPr>
              <w:shd w:fill="2E86AB" w:val="clear"/>
              <w:spacing w:before="0" w:after="70" w:line="360" w:lineRule="auto"/>
              <w:ind w:left="80" w:right="80"/>
              <w:jc w:val="both"/>
              <w:rPr>
                <w:rFonts w:ascii="Times New Roman" w:hAnsi="Times New Roman" w:cs="Times New Roman"/>
                <w:sz w:val="22"/>
                <w:szCs w:val="22"/>
              </w:rPr>
            </w:pPr>
            <w:r>
              <w:rPr>
                <w:rFonts w:ascii="Times New Roman" w:cs="Times New Roman" w:eastAsia="Arial" w:hAnsi="Times New Roman"/>
                <w:b/>
                <w:bCs/>
                <w:color w:val="FFFFFF"/>
                <w:sz w:val="22"/>
                <w:szCs w:val="22"/>
              </w:rPr>
              <w:t xml:space="preserve">MARKET CONTEXT</w:t>
            </w:r>
          </w:p>
          <w:p>
            <w:pPr>
              <w:spacing w:before="0" w:after="65" w:line="360" w:lineRule="auto"/>
              <w:jc w:val="both"/>
              <w:rPr>
                <w:rFonts w:ascii="Times New Roman" w:hAnsi="Times New Roman" w:cs="Times New Roman"/>
                <w:sz w:val="22"/>
                <w:szCs w:val="22"/>
              </w:rPr>
            </w:pPr>
            <w:r>
              <w:rPr>
                <w:rFonts w:ascii="Times New Roman" w:cs="Times New Roman" w:eastAsia="Arial" w:hAnsi="Times New Roman"/>
                <w:color w:val="1C2833"/>
                <w:sz w:val="22"/>
                <w:szCs w:val="22"/>
              </w:rPr>
              <w:t xml:space="preserve">AI server rack power density has increased ~7–10× since 2020 — from under 10kW per rack to 100kW+ for modern GPU clusters — forcing a fundamental redesign of data-centre infrastructure. This is not a software problem.</w:t>
            </w:r>
          </w:p>
          <w:p>
            <w:pPr>
              <w:spacing w:before="0" w:after="0" w:line="360" w:lineRule="auto"/>
              <w:jc w:val="both"/>
              <w:rPr>
                <w:rFonts w:ascii="Times New Roman" w:hAnsi="Times New Roman" w:cs="Times New Roman"/>
                <w:sz w:val="22"/>
                <w:szCs w:val="22"/>
              </w:rPr>
            </w:pPr>
            <w:r>
              <w:rPr>
                <w:rFonts w:ascii="Times New Roman" w:cs="Times New Roman" w:eastAsia="Arial" w:hAnsi="Times New Roman"/>
                <w:color w:val="1C2833"/>
                <w:sz w:val="22"/>
                <w:szCs w:val="22"/>
              </w:rPr>
              <w:t xml:space="preserve">Five hyperscalers will spend $600–690bn in 2026 capex; Goldman Sachs projects $1.15tn cumulatively 2025–27. AI capex contributed more to US GDP growth in H1 2025 than consumer spending. The investment opportunity is the gap between this structural demand and the market’s still-industrial pricing of the enablers.</w:t>
            </w:r>
          </w:p>
          <w:p>
            <w:pPr>
              <w:spacing w:before="0" w:after="75" w:line="360" w:lineRule="auto"/>
              <w:jc w:val="both"/>
              <w:rPr>
                <w:rFonts w:ascii="Times New Roman" w:hAnsi="Times New Roman" w:cs="Times New Roman"/>
                <w:sz w:val="22"/>
                <w:szCs w:val="22"/>
              </w:rPr>
            </w:pPr>
          </w:p>
          <w:p>
            <w:pPr>
              <w:shd w:fill="2E86AB" w:val="clear"/>
              <w:spacing w:before="0" w:after="70" w:line="360" w:lineRule="auto"/>
              <w:ind w:left="80" w:right="80"/>
              <w:jc w:val="both"/>
              <w:rPr>
                <w:rFonts w:ascii="Times New Roman" w:hAnsi="Times New Roman" w:cs="Times New Roman"/>
                <w:sz w:val="22"/>
                <w:szCs w:val="22"/>
              </w:rPr>
            </w:pPr>
            <w:r>
              <w:rPr>
                <w:rFonts w:ascii="Times New Roman" w:cs="Times New Roman" w:eastAsia="Arial" w:hAnsi="Times New Roman"/>
                <w:b/>
                <w:bCs/>
                <w:color w:val="FFFFFF"/>
                <w:sz w:val="22"/>
                <w:szCs w:val="22"/>
              </w:rPr>
              <w:t xml:space="preserve">RERATING CATALYSTS</w:t>
            </w:r>
          </w:p>
          <w:p>
            <w:pPr>
              <w:spacing w:before="0" w:after="65" w:line="360" w:lineRule="auto"/>
              <w:ind w:left="200" w:hanging="200"/>
              <w:jc w:val="both"/>
              <w:rPr>
                <w:rFonts w:ascii="Times New Roman" w:hAnsi="Times New Roman" w:cs="Times New Roman"/>
                <w:sz w:val="22"/>
                <w:szCs w:val="22"/>
              </w:rPr>
            </w:pPr>
            <w:r>
              <w:rPr>
                <w:rFonts w:ascii="Times New Roman" w:cs="Times New Roman" w:eastAsia="Arial" w:hAnsi="Times New Roman"/>
                <w:b/>
                <w:bCs/>
                <w:color w:val="2E86AB"/>
                <w:sz w:val="22"/>
                <w:szCs w:val="22"/>
              </w:rPr>
              <w:t xml:space="preserve">–  </w:t>
            </w:r>
            <w:r>
              <w:rPr>
                <w:rFonts w:ascii="Times New Roman" w:cs="Times New Roman" w:eastAsia="Arial" w:hAnsi="Times New Roman"/>
                <w:b/>
                <w:bCs/>
                <w:color w:val="1C2833"/>
                <w:sz w:val="22"/>
                <w:szCs w:val="22"/>
              </w:rPr>
              <w:t xml:space="preserve">Q1 2026 earnings: </w:t>
            </w:r>
            <w:r>
              <w:rPr>
                <w:rFonts w:ascii="Times New Roman" w:cs="Times New Roman" w:eastAsia="Arial" w:hAnsi="Times New Roman"/>
                <w:color w:val="1C2833"/>
                <w:sz w:val="22"/>
                <w:szCs w:val="22"/>
              </w:rPr>
              <w:t xml:space="preserve">Backlog-to-revenue conversion prints from VRT, GEV, and PWR confirm demand continuation.</w:t>
            </w:r>
          </w:p>
          <w:p>
            <w:pPr>
              <w:spacing w:before="0" w:after="65" w:line="360" w:lineRule="auto"/>
              <w:ind w:left="200" w:hanging="200"/>
              <w:jc w:val="both"/>
              <w:rPr>
                <w:rFonts w:ascii="Times New Roman" w:hAnsi="Times New Roman" w:cs="Times New Roman"/>
                <w:sz w:val="22"/>
                <w:szCs w:val="22"/>
              </w:rPr>
            </w:pPr>
            <w:r>
              <w:rPr>
                <w:rFonts w:ascii="Times New Roman" w:cs="Times New Roman" w:eastAsia="Arial" w:hAnsi="Times New Roman"/>
                <w:b/>
                <w:bCs/>
                <w:color w:val="2E86AB"/>
                <w:sz w:val="22"/>
                <w:szCs w:val="22"/>
              </w:rPr>
              <w:t xml:space="preserve">–  </w:t>
            </w:r>
            <w:r>
              <w:rPr>
                <w:rFonts w:ascii="Times New Roman" w:cs="Times New Roman" w:eastAsia="Arial" w:hAnsi="Times New Roman"/>
                <w:b/>
                <w:bCs/>
                <w:color w:val="1C2833"/>
                <w:sz w:val="22"/>
                <w:szCs w:val="22"/>
              </w:rPr>
              <w:t xml:space="preserve">Hyperscaler PPAs: </w:t>
            </w:r>
            <w:r>
              <w:rPr>
                <w:rFonts w:ascii="Times New Roman" w:cs="Times New Roman" w:eastAsia="Arial" w:hAnsi="Times New Roman"/>
                <w:color w:val="1C2833"/>
                <w:sz w:val="22"/>
                <w:szCs w:val="22"/>
              </w:rPr>
              <w:t xml:space="preserve">Long-term power purchase agreements quantify locked-in demand for grid suppliers.</w:t>
            </w:r>
          </w:p>
          <w:p>
            <w:pPr>
              <w:spacing w:before="0" w:after="65" w:line="360" w:lineRule="auto"/>
              <w:ind w:left="200" w:hanging="200"/>
              <w:jc w:val="both"/>
              <w:rPr>
                <w:rFonts w:ascii="Times New Roman" w:hAnsi="Times New Roman" w:cs="Times New Roman"/>
                <w:sz w:val="22"/>
                <w:szCs w:val="22"/>
              </w:rPr>
            </w:pPr>
            <w:r>
              <w:rPr>
                <w:rFonts w:ascii="Times New Roman" w:cs="Times New Roman" w:eastAsia="Arial" w:hAnsi="Times New Roman"/>
                <w:b/>
                <w:bCs/>
                <w:color w:val="2E86AB"/>
                <w:sz w:val="22"/>
                <w:szCs w:val="22"/>
              </w:rPr>
              <w:t xml:space="preserve">–  </w:t>
            </w:r>
            <w:r>
              <w:rPr>
                <w:rFonts w:ascii="Times New Roman" w:cs="Times New Roman" w:eastAsia="Arial" w:hAnsi="Times New Roman"/>
                <w:b/>
                <w:bCs/>
                <w:color w:val="1C2833"/>
                <w:sz w:val="22"/>
                <w:szCs w:val="22"/>
              </w:rPr>
              <w:t xml:space="preserve">Multiple re-rating: </w:t>
            </w:r>
            <w:r>
              <w:rPr>
                <w:rFonts w:ascii="Times New Roman" w:cs="Times New Roman" w:eastAsia="Arial" w:hAnsi="Times New Roman"/>
                <w:color w:val="1C2833"/>
                <w:sz w:val="22"/>
                <w:szCs w:val="22"/>
              </w:rPr>
              <w:t xml:space="preserve">Market recognition that enabler revenue is AI-linked, not industrial — the primary return driver.</w:t>
            </w:r>
          </w:p>
        </w:tc>
        <w:tc>
          <w:tcPr>
            <w:tcW w:type="dxa" w:w="4644"/>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hd w:fill="2E86AB" w:val="clear"/>
              <w:spacing w:before="0" w:after="70" w:line="360" w:lineRule="auto"/>
              <w:ind w:left="80" w:right="80"/>
              <w:jc w:val="both"/>
              <w:rPr>
                <w:rFonts w:ascii="Times New Roman" w:hAnsi="Times New Roman" w:cs="Times New Roman"/>
                <w:sz w:val="22"/>
                <w:szCs w:val="22"/>
              </w:rPr>
            </w:pPr>
            <w:r>
              <w:rPr>
                <w:rFonts w:ascii="Times New Roman" w:cs="Times New Roman" w:eastAsia="Arial" w:hAnsi="Times New Roman"/>
                <w:b/>
                <w:bCs/>
                <w:color w:val="FFFFFF"/>
                <w:sz w:val="22"/>
                <w:szCs w:val="22"/>
              </w:rPr>
              <w:t xml:space="preserve">VALUATION DISPERSION — ENABLERS vs PEERS</w:t>
            </w:r>
          </w:p>
          <w:p>
            <w:pPr>
              <w:spacing w:before="0" w:after="70" w:line="360" w:lineRule="auto"/>
              <w:jc w:val="both"/>
              <w:rPr>
                <w:rFonts w:ascii="Times New Roman" w:hAnsi="Times New Roman" w:cs="Times New Roman"/>
                <w:sz w:val="22"/>
                <w:szCs w:val="22"/>
              </w:rPr>
            </w:pPr>
            <w:r>
              <w:rPr>
                <w:rFonts w:ascii="Times New Roman" w:hAnsi="Times New Roman" w:cs="Times New Roman"/>
                <w:sz w:val="22"/>
                <w:szCs w:val="22"/>
              </w:rPr>
              <w:drawing>
                <wp:inline distT="0" distB="0" distL="0" distR="0">
                  <wp:extent cx="2743200" cy="1647825"/>
                  <wp:effectExtent t="0" r="0" b="0" l="0"/>
                  <wp:docPr id="1" name="ValChart" descr="Forward P/E: enablers vs AI-facing peers" title="Valuation Dispers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43200" cy="1647825"/>
                          </a:xfrm>
                          <a:prstGeom prst="rect">
                            <a:avLst/>
                          </a:prstGeom>
                        </pic:spPr>
                      </pic:pic>
                    </a:graphicData>
                  </a:graphic>
                </wp:inline>
              </w:drawing>
            </w:r>
          </w:p>
          <w:p>
            <w:pPr>
              <w:shd w:fill="2E86AB" w:val="clear"/>
              <w:spacing w:before="0" w:after="70" w:line="360" w:lineRule="auto"/>
              <w:ind w:left="80" w:right="80"/>
              <w:jc w:val="both"/>
              <w:rPr>
                <w:rFonts w:ascii="Times New Roman" w:hAnsi="Times New Roman" w:cs="Times New Roman"/>
                <w:sz w:val="22"/>
                <w:szCs w:val="22"/>
              </w:rPr>
            </w:pPr>
            <w:r>
              <w:rPr>
                <w:rFonts w:ascii="Times New Roman" w:cs="Times New Roman" w:eastAsia="Arial" w:hAnsi="Times New Roman"/>
                <w:b/>
                <w:bCs/>
                <w:color w:val="FFFFFF"/>
                <w:sz w:val="22"/>
                <w:szCs w:val="22"/>
              </w:rPr>
              <w:t xml:space="preserve">KEY METRICS</w:t>
            </w:r>
          </w:p>
          <w:tbl>
            <w:tblPr>
              <w:tblW w:type="dxa" w:w="4644"/>
              <w:tblBorders>
                <w:top w:val="single" w:color="auto" w:sz="4"/>
                <w:left w:val="single" w:color="auto" w:sz="4"/>
                <w:bottom w:val="single" w:color="auto" w:sz="4"/>
                <w:right w:val="single" w:color="auto" w:sz="4"/>
                <w:insideH w:val="single" w:color="auto" w:sz="4"/>
                <w:insideV w:val="single" w:color="auto" w:sz="4"/>
              </w:tblBorders>
            </w:tblPr>
            <w:tblGrid>
              <w:gridCol w:w="1370"/>
              <w:gridCol w:w="3274"/>
            </w:tblGrid>
            <w:tr>
              <w:tc>
                <w:tcPr>
                  <w:tcW w:type="dxa" w:w="1370"/>
                  <w:tcBorders>
                    <w:top w:val="single" w:color="CCCCCC" w:sz="1"/>
                    <w:left w:val="single" w:color="CCCCCC" w:sz="1"/>
                    <w:bottom w:val="single" w:color="CCCCCC" w:sz="1"/>
                    <w:right w:val="single" w:color="CCCCCC" w:sz="1"/>
                  </w:tcBorders>
                  <w:shd w:fill="F4F6F8" w:val="clear"/>
                  <w:tcMar>
                    <w:top w:type="dxa" w:w="50"/>
                    <w:left w:type="dxa" w:w="50"/>
                    <w:bottom w:type="dxa" w:w="50"/>
                    <w:right w:type="dxa" w:w="50"/>
                  </w:tcMar>
                  <w:vAlign w:val="cente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2E86AB"/>
                      <w:sz w:val="22"/>
                      <w:szCs w:val="22"/>
                    </w:rPr>
                    <w:t xml:space="preserve">49 GW</w:t>
                  </w:r>
                </w:p>
              </w:tc>
              <w:tc>
                <w:tcPr>
                  <w:tcW w:type="dxa" w:w="3274"/>
                  <w:tcBorders>
                    <w:top w:val="single" w:color="CCCCCC" w:sz="1"/>
                    <w:left w:val="single" w:color="CCCCCC" w:sz="1"/>
                    <w:bottom w:val="single" w:color="CCCCCC" w:sz="1"/>
                    <w:right w:val="single" w:color="CCCCCC" w:sz="1"/>
                  </w:tcBorders>
                  <w:shd w:fill="F4F6F8" w:val="clear"/>
                  <w:tcMar>
                    <w:top w:type="dxa" w:w="50"/>
                    <w:left w:type="dxa" w:w="70"/>
                    <w:bottom w:type="dxa" w:w="50"/>
                    <w:right w:type="dxa" w:w="50"/>
                  </w:tcMar>
                  <w:vAlign w:val="center"/>
                </w:tcPr>
                <w:p>
                  <w:pPr>
                    <w:jc w:val="both"/>
                    <w:spacing w:line="360" w:lineRule="auto"/>
                    <w:rPr>
                      <w:rFonts w:ascii="Times New Roman" w:hAnsi="Times New Roman" w:cs="Times New Roman"/>
                      <w:sz w:val="22"/>
                      <w:szCs w:val="22"/>
                    </w:rPr>
                  </w:pPr>
                  <w:r>
                    <w:rPr>
                      <w:rFonts w:ascii="Times New Roman" w:cs="Times New Roman" w:eastAsia="Arial" w:hAnsi="Times New Roman"/>
                      <w:color w:val="1C2833"/>
                      <w:sz w:val="22"/>
                      <w:szCs w:val="22"/>
                    </w:rPr>
                    <w:t xml:space="preserve">Projected US grid shortfall
by 2028 (Morgan Stanley)</w:t>
                  </w:r>
                </w:p>
              </w:tc>
            </w:tr>
            <w:tr>
              <w:tc>
                <w:tcPr>
                  <w:tcW w:type="dxa" w:w="1370"/>
                  <w:tcBorders>
                    <w:top w:val="single" w:color="CCCCCC" w:sz="1"/>
                    <w:left w:val="single" w:color="CCCCCC" w:sz="1"/>
                    <w:bottom w:val="single" w:color="CCCCCC" w:sz="1"/>
                    <w:right w:val="single" w:color="CCCCCC" w:sz="1"/>
                  </w:tcBorders>
                  <w:shd w:fill="FFFFFF" w:val="clear"/>
                  <w:tcMar>
                    <w:top w:type="dxa" w:w="50"/>
                    <w:left w:type="dxa" w:w="50"/>
                    <w:bottom w:type="dxa" w:w="50"/>
                    <w:right w:type="dxa" w:w="50"/>
                  </w:tcMar>
                  <w:vAlign w:val="cente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2E86AB"/>
                      <w:sz w:val="22"/>
                      <w:szCs w:val="22"/>
                    </w:rPr>
                    <w:t xml:space="preserve">$1.15tn</w:t>
                  </w:r>
                </w:p>
              </w:tc>
              <w:tc>
                <w:tcPr>
                  <w:tcW w:type="dxa" w:w="3274"/>
                  <w:tcBorders>
                    <w:top w:val="single" w:color="CCCCCC" w:sz="1"/>
                    <w:left w:val="single" w:color="CCCCCC" w:sz="1"/>
                    <w:bottom w:val="single" w:color="CCCCCC" w:sz="1"/>
                    <w:right w:val="single" w:color="CCCCCC" w:sz="1"/>
                  </w:tcBorders>
                  <w:shd w:fill="FFFFFF" w:val="clear"/>
                  <w:tcMar>
                    <w:top w:type="dxa" w:w="50"/>
                    <w:left w:type="dxa" w:w="70"/>
                    <w:bottom w:type="dxa" w:w="50"/>
                    <w:right w:type="dxa" w:w="50"/>
                  </w:tcMar>
                  <w:vAlign w:val="center"/>
                </w:tcPr>
                <w:p>
                  <w:pPr>
                    <w:jc w:val="both"/>
                    <w:spacing w:line="360" w:lineRule="auto"/>
                    <w:rPr>
                      <w:rFonts w:ascii="Times New Roman" w:hAnsi="Times New Roman" w:cs="Times New Roman"/>
                      <w:sz w:val="22"/>
                      <w:szCs w:val="22"/>
                    </w:rPr>
                  </w:pPr>
                  <w:r>
                    <w:rPr>
                      <w:rFonts w:ascii="Times New Roman" w:cs="Times New Roman" w:eastAsia="Arial" w:hAnsi="Times New Roman"/>
                      <w:color w:val="1C2833"/>
                      <w:sz w:val="22"/>
                      <w:szCs w:val="22"/>
                    </w:rPr>
                    <w:t xml:space="preserve">Cumulative hyperscaler capex
2025–27E (Goldman Sachs)</w:t>
                  </w:r>
                </w:p>
              </w:tc>
            </w:tr>
            <w:tr>
              <w:tc>
                <w:tcPr>
                  <w:tcW w:type="dxa" w:w="1370"/>
                  <w:tcBorders>
                    <w:top w:val="single" w:color="CCCCCC" w:sz="1"/>
                    <w:left w:val="single" w:color="CCCCCC" w:sz="1"/>
                    <w:bottom w:val="single" w:color="CCCCCC" w:sz="1"/>
                    <w:right w:val="single" w:color="CCCCCC" w:sz="1"/>
                  </w:tcBorders>
                  <w:shd w:fill="F4F6F8" w:val="clear"/>
                  <w:tcMar>
                    <w:top w:type="dxa" w:w="50"/>
                    <w:left w:type="dxa" w:w="50"/>
                    <w:bottom w:type="dxa" w:w="50"/>
                    <w:right w:type="dxa" w:w="50"/>
                  </w:tcMar>
                  <w:vAlign w:val="center"/>
                </w:tcPr>
                <w:p>
                  <w:pPr>
                    <w:jc w:val="both"/>
                    <w:spacing w:line="360" w:lineRule="auto"/>
                    <w:rPr>
                      <w:rFonts w:ascii="Times New Roman" w:hAnsi="Times New Roman" w:cs="Times New Roman"/>
                      <w:sz w:val="22"/>
                      <w:szCs w:val="22"/>
                    </w:rPr>
                  </w:pPr>
                  <w:r>
                    <w:rPr>
                      <w:rFonts w:ascii="Times New Roman" w:cs="Times New Roman" w:eastAsia="Arial" w:hAnsi="Times New Roman"/>
                      <w:b/>
                      <w:bCs/>
                      <w:color w:val="2E86AB"/>
                      <w:sz w:val="22"/>
                      <w:szCs w:val="22"/>
                    </w:rPr>
                    <w:t xml:space="preserve">~40%</w:t>
                  </w:r>
                </w:p>
              </w:tc>
              <w:tc>
                <w:tcPr>
                  <w:tcW w:type="dxa" w:w="3274"/>
                  <w:tcBorders>
                    <w:top w:val="single" w:color="CCCCCC" w:sz="1"/>
                    <w:left w:val="single" w:color="CCCCCC" w:sz="1"/>
                    <w:bottom w:val="single" w:color="CCCCCC" w:sz="1"/>
                    <w:right w:val="single" w:color="CCCCCC" w:sz="1"/>
                  </w:tcBorders>
                  <w:shd w:fill="F4F6F8" w:val="clear"/>
                  <w:tcMar>
                    <w:top w:type="dxa" w:w="50"/>
                    <w:left w:type="dxa" w:w="70"/>
                    <w:bottom w:type="dxa" w:w="50"/>
                    <w:right w:type="dxa" w:w="50"/>
                  </w:tcMar>
                  <w:vAlign w:val="center"/>
                </w:tcPr>
                <w:p>
                  <w:pPr>
                    <w:jc w:val="both"/>
                    <w:spacing w:line="360" w:lineRule="auto"/>
                    <w:rPr>
                      <w:rFonts w:ascii="Times New Roman" w:hAnsi="Times New Roman" w:cs="Times New Roman"/>
                      <w:sz w:val="22"/>
                      <w:szCs w:val="22"/>
                    </w:rPr>
                  </w:pPr>
                  <w:r>
                    <w:rPr>
                      <w:rFonts w:ascii="Times New Roman" w:cs="Times New Roman" w:eastAsia="Arial" w:hAnsi="Times New Roman"/>
                      <w:color w:val="1C2833"/>
                      <w:sz w:val="22"/>
                      <w:szCs w:val="22"/>
                    </w:rPr>
                    <w:t xml:space="preserve">Enabler valuation discount
vs AI-facing peers (consensus)</w:t>
                  </w:r>
                </w:p>
              </w:tc>
            </w:tr>
          </w:tbl>
          <w:p>
            <w:pPr>
              <w:spacing w:before="0" w:after="70" w:line="360" w:lineRule="auto"/>
              <w:jc w:val="both"/>
              <w:rPr>
                <w:rFonts w:ascii="Times New Roman" w:hAnsi="Times New Roman" w:cs="Times New Roman"/>
                <w:sz w:val="22"/>
                <w:szCs w:val="22"/>
              </w:rPr>
            </w:pPr>
          </w:p>
          <w:p>
            <w:pPr>
              <w:shd w:fill="2E86AB" w:val="clear"/>
              <w:spacing w:before="0" w:after="70" w:line="360" w:lineRule="auto"/>
              <w:ind w:left="80" w:right="80"/>
              <w:jc w:val="both"/>
              <w:rPr>
                <w:rFonts w:ascii="Times New Roman" w:hAnsi="Times New Roman" w:cs="Times New Roman"/>
                <w:sz w:val="22"/>
                <w:szCs w:val="22"/>
              </w:rPr>
            </w:pPr>
            <w:r>
              <w:rPr>
                <w:rFonts w:ascii="Times New Roman" w:cs="Times New Roman" w:eastAsia="Arial" w:hAnsi="Times New Roman"/>
                <w:b/>
                <w:bCs/>
                <w:color w:val="FFFFFF"/>
                <w:sz w:val="22"/>
                <w:szCs w:val="22"/>
              </w:rPr>
              <w:t xml:space="preserve">POWER CONSTRAINT — DEMAND vs GRID CAPACITY</w:t>
            </w:r>
          </w:p>
          <w:p>
            <w:pPr>
              <w:spacing w:before="0" w:after="0" w:line="360" w:lineRule="auto"/>
              <w:jc w:val="both"/>
              <w:rPr>
                <w:rFonts w:ascii="Times New Roman" w:hAnsi="Times New Roman" w:cs="Times New Roman"/>
                <w:sz w:val="22"/>
                <w:szCs w:val="22"/>
              </w:rPr>
            </w:pPr>
            <w:r>
              <w:rPr>
                <w:rFonts w:ascii="Times New Roman" w:hAnsi="Times New Roman" w:cs="Times New Roman"/>
                <w:sz w:val="22"/>
                <w:szCs w:val="22"/>
              </w:rPr>
              <w:drawing>
                <wp:inline distT="0" distB="0" distL="0" distR="0">
                  <wp:extent cx="2743200" cy="1438275"/>
                  <wp:effectExtent t="0" r="0" b="0" l="0"/>
                  <wp:docPr id="1" name="PowChart" descr="DC demand growth vs available grid connections" title="Power Constrain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1438275"/>
                          </a:xfrm>
                          <a:prstGeom prst="rect">
                            <a:avLst/>
                          </a:prstGeom>
                        </pic:spPr>
                      </pic:pic>
                    </a:graphicData>
                  </a:graphic>
                </wp:inline>
              </w:drawing>
            </w:r>
          </w:p>
        </w:tc>
      </w:tr>
    </w:tbl>
    <w:p>
      <w:pPr>
        <w:pBdr>
          <w:bottom w:val="single" w:color="2E86AB" w:sz="5" w:space="2"/>
        </w:pBdr>
        <w:spacing w:before="90" w:after="80" w:line="360" w:lineRule="auto"/>
        <w:jc w:val="both"/>
        <w:rPr>
          <w:rFonts w:ascii="Times New Roman" w:hAnsi="Times New Roman" w:cs="Times New Roman"/>
          <w:sz w:val="22"/>
          <w:szCs w:val="22"/>
        </w:rPr>
      </w:pPr>
      <w:r>
        <w:rPr>
          <w:rFonts w:ascii="Times New Roman" w:cs="Times New Roman" w:eastAsia="Arial" w:hAnsi="Times New Roman"/>
          <w:sz w:val="22"/>
          <w:szCs w:val="22"/>
        </w:rPr>
        <w:t xml:space="preserve"/>
      </w:r>
    </w:p>
    <w:tbl>
      <w:tblPr>
        <w:tblW w:type="dxa" w:w="10944"/>
        <w:tblBorders>
          <w:top w:val="single" w:color="auto" w:sz="4"/>
          <w:left w:val="single" w:color="auto" w:sz="4"/>
          <w:bottom w:val="single" w:color="auto" w:sz="4"/>
          <w:right w:val="single" w:color="auto" w:sz="4"/>
          <w:insideH w:val="single" w:color="auto" w:sz="4"/>
          <w:insideV w:val="single" w:color="auto" w:sz="4"/>
        </w:tblBorders>
      </w:tblPr>
      <w:tblGrid>
        <w:gridCol w:w="6300"/>
        <w:gridCol w:w="4644"/>
      </w:tblGrid>
      <w:tr>
        <w:tc>
          <w:tcPr>
            <w:tcW w:type="dxa" w:w="6300"/>
            <w:tcBorders>
              <w:top w:val="none" w:color="FFFFFF" w:sz="0"/>
              <w:left w:val="none" w:color="FFFFFF" w:sz="0"/>
              <w:bottom w:val="none" w:color="FFFFFF" w:sz="0"/>
              <w:right w:val="none" w:color="FFFFFF" w:sz="0"/>
            </w:tcBorders>
            <w:tcMar>
              <w:top w:type="dxa" w:w="0"/>
              <w:left w:type="dxa" w:w="0"/>
              <w:bottom w:type="dxa" w:w="0"/>
              <w:right w:type="dxa" w:w="130"/>
            </w:tcMar>
            <w:vAlign w:val="top"/>
          </w:tcPr>
          <w:p>
            <w:pPr>
              <w:shd w:fill="7B241C" w:val="clear"/>
              <w:spacing w:before="0" w:after="70" w:line="360" w:lineRule="auto"/>
              <w:ind w:left="80" w:right="80"/>
              <w:jc w:val="both"/>
              <w:rPr>
                <w:rFonts w:ascii="Times New Roman" w:hAnsi="Times New Roman" w:cs="Times New Roman"/>
                <w:sz w:val="22"/>
                <w:szCs w:val="22"/>
              </w:rPr>
            </w:pPr>
            <w:r>
              <w:rPr>
                <w:rFonts w:ascii="Times New Roman" w:cs="Times New Roman" w:eastAsia="Arial" w:hAnsi="Times New Roman"/>
                <w:b/>
                <w:bCs/>
                <w:color w:val="FFFFFF"/>
                <w:sz w:val="22"/>
                <w:szCs w:val="22"/>
              </w:rPr>
              <w:t xml:space="preserve">KEY RISKS</w:t>
            </w:r>
          </w:p>
          <w:p>
            <w:pPr>
              <w:spacing w:before="0" w:after="65" w:line="360" w:lineRule="auto"/>
              <w:ind w:left="200" w:hanging="200"/>
              <w:jc w:val="both"/>
              <w:rPr>
                <w:rFonts w:ascii="Times New Roman" w:hAnsi="Times New Roman" w:cs="Times New Roman"/>
                <w:sz w:val="22"/>
                <w:szCs w:val="22"/>
              </w:rPr>
            </w:pPr>
            <w:r>
              <w:rPr>
                <w:rFonts w:ascii="Times New Roman" w:cs="Times New Roman" w:eastAsia="Arial" w:hAnsi="Times New Roman"/>
                <w:b/>
                <w:bCs/>
                <w:color w:val="2E86AB"/>
                <w:sz w:val="22"/>
                <w:szCs w:val="22"/>
              </w:rPr>
              <w:t xml:space="preserve">–  </w:t>
            </w:r>
            <w:r>
              <w:rPr>
                <w:rFonts w:ascii="Times New Roman" w:cs="Times New Roman" w:eastAsia="Arial" w:hAnsi="Times New Roman"/>
                <w:b/>
                <w:bCs/>
                <w:color w:val="1C2833"/>
                <w:sz w:val="22"/>
                <w:szCs w:val="22"/>
              </w:rPr>
              <w:t xml:space="preserve">AI monetisation lag: </w:t>
            </w:r>
            <w:r>
              <w:rPr>
                <w:rFonts w:ascii="Times New Roman" w:cs="Times New Roman" w:eastAsia="Arial" w:hAnsi="Times New Roman"/>
                <w:color w:val="1C2833"/>
                <w:sz w:val="22"/>
                <w:szCs w:val="22"/>
              </w:rPr>
              <w:t xml:space="preserve">If hyperscaler ROI disappoints, spending could reverse sharply, causing demand destruction across the enabling supply chain.</w:t>
            </w:r>
          </w:p>
          <w:p>
            <w:pPr>
              <w:spacing w:before="0" w:after="65" w:line="360" w:lineRule="auto"/>
              <w:ind w:left="200" w:hanging="200"/>
              <w:jc w:val="both"/>
              <w:rPr>
                <w:rFonts w:ascii="Times New Roman" w:hAnsi="Times New Roman" w:cs="Times New Roman"/>
                <w:sz w:val="22"/>
                <w:szCs w:val="22"/>
              </w:rPr>
            </w:pPr>
            <w:r>
              <w:rPr>
                <w:rFonts w:ascii="Times New Roman" w:cs="Times New Roman" w:eastAsia="Arial" w:hAnsi="Times New Roman"/>
                <w:b/>
                <w:bCs/>
                <w:color w:val="2E86AB"/>
                <w:sz w:val="22"/>
                <w:szCs w:val="22"/>
              </w:rPr>
              <w:t xml:space="preserve">–  </w:t>
            </w:r>
            <w:r>
              <w:rPr>
                <w:rFonts w:ascii="Times New Roman" w:cs="Times New Roman" w:eastAsia="Arial" w:hAnsi="Times New Roman"/>
                <w:b/>
                <w:bCs/>
                <w:color w:val="1C2833"/>
                <w:sz w:val="22"/>
                <w:szCs w:val="22"/>
              </w:rPr>
              <w:t xml:space="preserve">Grid permitting delays: </w:t>
            </w:r>
            <w:r>
              <w:rPr>
                <w:rFonts w:ascii="Times New Roman" w:cs="Times New Roman" w:eastAsia="Arial" w:hAnsi="Times New Roman"/>
                <w:color w:val="1C2833"/>
                <w:sz w:val="22"/>
                <w:szCs w:val="22"/>
              </w:rPr>
              <w:t xml:space="preserve">US interconnection queue holds ~2,600GW of backlogged projects; regulatory bottlenecks could slow DC expansion independent of capital.</w:t>
            </w:r>
          </w:p>
          <w:p>
            <w:pPr>
              <w:spacing w:before="0" w:after="65" w:line="360" w:lineRule="auto"/>
              <w:ind w:left="200" w:hanging="200"/>
              <w:jc w:val="both"/>
              <w:rPr>
                <w:rFonts w:ascii="Times New Roman" w:hAnsi="Times New Roman" w:cs="Times New Roman"/>
                <w:sz w:val="22"/>
                <w:szCs w:val="22"/>
              </w:rPr>
            </w:pPr>
            <w:r>
              <w:rPr>
                <w:rFonts w:ascii="Times New Roman" w:cs="Times New Roman" w:eastAsia="Arial" w:hAnsi="Times New Roman"/>
                <w:b/>
                <w:bCs/>
                <w:color w:val="2E86AB"/>
                <w:sz w:val="22"/>
                <w:szCs w:val="22"/>
              </w:rPr>
              <w:t xml:space="preserve">–  </w:t>
            </w:r>
            <w:r>
              <w:rPr>
                <w:rFonts w:ascii="Times New Roman" w:cs="Times New Roman" w:eastAsia="Arial" w:hAnsi="Times New Roman"/>
                <w:b/>
                <w:bCs/>
                <w:color w:val="1C2833"/>
                <w:sz w:val="22"/>
                <w:szCs w:val="22"/>
              </w:rPr>
              <w:t xml:space="preserve">Export controls / geopolitics: </w:t>
            </w:r>
            <w:r>
              <w:rPr>
                <w:rFonts w:ascii="Times New Roman" w:cs="Times New Roman" w:eastAsia="Arial" w:hAnsi="Times New Roman"/>
                <w:color w:val="1C2833"/>
                <w:sz w:val="22"/>
                <w:szCs w:val="22"/>
              </w:rPr>
              <w:t xml:space="preserve">Semiconductor restrictions could disrupt supply chains and dampen compute demand forecasts in key markets.</w:t>
            </w:r>
          </w:p>
          <w:p>
            <w:pPr>
              <w:spacing w:before="0" w:after="65" w:line="360" w:lineRule="auto"/>
              <w:ind w:left="200" w:hanging="200"/>
              <w:jc w:val="both"/>
              <w:rPr>
                <w:rFonts w:ascii="Times New Roman" w:hAnsi="Times New Roman" w:cs="Times New Roman"/>
                <w:sz w:val="22"/>
                <w:szCs w:val="22"/>
              </w:rPr>
            </w:pPr>
            <w:r>
              <w:rPr>
                <w:rFonts w:ascii="Times New Roman" w:cs="Times New Roman" w:eastAsia="Arial" w:hAnsi="Times New Roman"/>
                <w:b/>
                <w:bCs/>
                <w:color w:val="2E86AB"/>
                <w:sz w:val="22"/>
                <w:szCs w:val="22"/>
              </w:rPr>
              <w:t xml:space="preserve">–  </w:t>
            </w:r>
            <w:r>
              <w:rPr>
                <w:rFonts w:ascii="Times New Roman" w:cs="Times New Roman" w:eastAsia="Arial" w:hAnsi="Times New Roman"/>
                <w:b/>
                <w:bCs/>
                <w:color w:val="1C2833"/>
                <w:sz w:val="22"/>
                <w:szCs w:val="22"/>
              </w:rPr>
              <w:t xml:space="preserve">Efficiency improvements / overbuild: </w:t>
            </w:r>
            <w:r>
              <w:rPr>
                <w:rFonts w:ascii="Times New Roman" w:cs="Times New Roman" w:eastAsia="Arial" w:hAnsi="Times New Roman"/>
                <w:color w:val="1C2833"/>
                <w:sz w:val="22"/>
                <w:szCs w:val="22"/>
              </w:rPr>
              <w:t xml:space="preserve">If AI model efficiency improves faster than expected — as demonstrated briefly by DeepSeek in early 2025 — compute demand could undershoot, causing overbuild across the supply chain.</w:t>
            </w:r>
          </w:p>
        </w:tc>
        <w:tc>
          <w:tcPr>
            <w:tcW w:type="dxa" w:w="4644"/>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hd w:fill="1E8449" w:val="clear"/>
              <w:spacing w:before="0" w:after="70" w:line="360" w:lineRule="auto"/>
              <w:ind w:left="80" w:right="80"/>
              <w:jc w:val="both"/>
              <w:rPr>
                <w:rFonts w:ascii="Times New Roman" w:hAnsi="Times New Roman" w:cs="Times New Roman"/>
                <w:sz w:val="22"/>
                <w:szCs w:val="22"/>
              </w:rPr>
            </w:pPr>
            <w:r>
              <w:rPr>
                <w:rFonts w:ascii="Times New Roman" w:cs="Times New Roman" w:eastAsia="Arial" w:hAnsi="Times New Roman"/>
                <w:b/>
                <w:bCs/>
                <w:color w:val="FFFFFF"/>
                <w:sz w:val="22"/>
                <w:szCs w:val="22"/>
              </w:rPr>
              <w:t xml:space="preserve">CONCLUSION</w:t>
            </w:r>
          </w:p>
          <w:p>
            <w:pPr>
              <w:spacing w:before="0" w:after="65" w:line="360" w:lineRule="auto"/>
              <w:jc w:val="both"/>
              <w:rPr>
                <w:rFonts w:ascii="Times New Roman" w:hAnsi="Times New Roman" w:cs="Times New Roman"/>
                <w:sz w:val="22"/>
                <w:szCs w:val="22"/>
              </w:rPr>
            </w:pPr>
            <w:r>
              <w:rPr>
                <w:rFonts w:ascii="Times New Roman" w:cs="Times New Roman" w:eastAsia="Arial" w:hAnsi="Times New Roman"/>
                <w:b/>
                <w:bCs/>
                <w:color w:val="1E8449"/>
                <w:sz w:val="22"/>
                <w:szCs w:val="22"/>
              </w:rPr>
              <w:t xml:space="preserve">Risk-reward increasingly favourable relative to hyperscaler equities</w:t>
            </w:r>
          </w:p>
          <w:p>
            <w:pPr>
              <w:spacing w:before="0" w:after="65" w:line="360" w:lineRule="auto"/>
              <w:jc w:val="both"/>
              <w:rPr>
                <w:rFonts w:ascii="Times New Roman" w:hAnsi="Times New Roman" w:cs="Times New Roman"/>
                <w:sz w:val="22"/>
                <w:szCs w:val="22"/>
              </w:rPr>
            </w:pPr>
            <w:r>
              <w:rPr>
                <w:rFonts w:ascii="Times New Roman" w:cs="Times New Roman" w:eastAsia="Arial" w:hAnsi="Times New Roman"/>
                <w:color w:val="1C2833"/>
                <w:sz w:val="22"/>
                <w:szCs w:val="22"/>
              </w:rPr>
              <w:t xml:space="preserve">The enabling infrastructure layer trades at a structural discount to its end-demand despite locked-in revenue characteristics (long-cycle contracts, confirmed order backlogs). The return catalyst is multiple re-rating — from industrial to AI-infrastructure pricing — not earnings surprise alone.</w:t>
            </w:r>
          </w:p>
          <w:p>
            <w:pPr>
              <w:spacing w:before="0" w:after="65" w:line="360" w:lineRule="auto"/>
              <w:jc w:val="both"/>
              <w:rPr>
                <w:rFonts w:ascii="Times New Roman" w:hAnsi="Times New Roman" w:cs="Times New Roman"/>
                <w:sz w:val="22"/>
                <w:szCs w:val="22"/>
              </w:rPr>
            </w:pPr>
            <w:r>
              <w:rPr>
                <w:rFonts w:ascii="Times New Roman" w:cs="Times New Roman" w:eastAsia="Arial" w:hAnsi="Times New Roman"/>
                <w:b/>
                <w:bCs/>
                <w:color w:val="1C2833"/>
                <w:sz w:val="22"/>
                <w:szCs w:val="22"/>
              </w:rPr>
              <w:t xml:space="preserve">Watch: </w:t>
            </w:r>
            <w:r>
              <w:rPr>
                <w:rFonts w:ascii="Times New Roman" w:cs="Times New Roman" w:eastAsia="Arial" w:hAnsi="Times New Roman"/>
                <w:color w:val="1C2833"/>
                <w:sz w:val="22"/>
                <w:szCs w:val="22"/>
              </w:rPr>
              <w:t xml:space="preserve">Q1 2026 earnings from VRT, GEV, and PWR. Exit condition: material capex guidance cuts from more than two hyperscalers in the same quarter.</w:t>
            </w:r>
          </w:p>
          <w:p>
            <w:pPr>
              <w:spacing w:before="50" w:after="0" w:line="360" w:lineRule="auto"/>
              <w:jc w:val="both"/>
              <w:rPr>
                <w:rFonts w:ascii="Times New Roman" w:hAnsi="Times New Roman" w:cs="Times New Roman"/>
                <w:sz w:val="22"/>
                <w:szCs w:val="22"/>
              </w:rPr>
            </w:pPr>
            <w:r>
              <w:rPr>
                <w:rFonts w:ascii="Times New Roman" w:cs="Times New Roman" w:eastAsia="Arial" w:hAnsi="Times New Roman"/>
                <w:b/>
                <w:bCs/>
                <w:color w:val="1C2833"/>
                <w:sz w:val="22"/>
                <w:szCs w:val="22"/>
              </w:rPr>
              <w:t xml:space="preserve">Key names: </w:t>
            </w:r>
            <w:r>
              <w:rPr>
                <w:rFonts w:ascii="Times New Roman" w:cs="Times New Roman" w:eastAsia="Arial" w:hAnsi="Times New Roman"/>
                <w:b/>
                <w:bCs/>
                <w:color w:val="2E86AB"/>
                <w:sz w:val="22"/>
                <w:szCs w:val="22"/>
              </w:rPr>
              <w:t xml:space="preserve">Vertiv (VRT) · GE Vernova (GEV) · Quanta (PWR) · Arista (ANET)</w:t>
            </w:r>
          </w:p>
        </w:tc>
      </w:tr>
    </w:tbl>
    <w:sectPr>
      <w:footerReference w:type="default" r:id="rId6"/>
      <w:pgSz w:w="12240" w:h="15840" w:orient="portrait"/>
      <w:pgMar w:top="648" w:right="648" w:bottom="800" w:left="64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026"/>
      </w:tabs>
      <w:spacing w:before="70" w:after="0"/>
    </w:pPr>
    <w:r>
      <w:rPr>
        <w:rFonts w:ascii="Arial" w:cs="Arial" w:eastAsia="Arial" w:hAnsi="Arial"/>
        <w:color w:val="7F8C8D"/>
        <w:sz w:val="13"/>
        <w:szCs w:val="13"/>
      </w:rPr>
      <w:t xml:space="preserve">FOR EDUCATIONAL PURPOSES ONLY — NOT INVESTMENT ADVICE.  Sources: Goldman Sachs, Morgan Stanley, IEA, S&amp;P Global, BofA, CreditSights.</w:t>
    </w:r>
    <w:r>
      <w:rPr>
        <w:rFonts w:ascii="Arial" w:cs="Arial" w:eastAsia="Arial" w:hAnsi="Arial"/>
        <w:sz w:val="13"/>
        <w:szCs w:val="13"/>
      </w:rPr>
      <w:t xml:space="preserve">	</w:t>
    </w:r>
    <w:r>
      <w:rPr>
        <w:rFonts w:ascii="Arial" w:cs="Arial" w:eastAsia="Arial" w:hAnsi="Arial"/>
        <w:color w:val="7F8C8D"/>
        <w:sz w:val="13"/>
        <w:szCs w:val="13"/>
      </w:rPr>
      <w:t xml:space="preserve">Zak Whatmough  |  March 2026  |  Memo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Arial" w:hAnsi="Times New Roman"/>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c49978545d05e9af891b5c650b663b821ccf8c68.png"/><Relationship Id="rId8" Type="http://schemas.openxmlformats.org/officeDocument/2006/relationships/image" Target="media/23f1e506c3907fedcf7b58a2298615b43efc3f4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2026-03-02T17:45:43.392Z</dcterms:created>
  <dcterms:modified xsi:type="dcterms:W3CDTF">2026-03-02T17:45:43.393Z</dcterms:modified>
</cp:coreProperties>
</file>

<file path=docProps/custom.xml><?xml version="1.0" encoding="utf-8"?>
<Properties xmlns="http://schemas.openxmlformats.org/officeDocument/2006/custom-properties" xmlns:vt="http://schemas.openxmlformats.org/officeDocument/2006/docPropsVTypes"/>
</file>